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D2" w:rsidRDefault="00405AD2" w:rsidP="00E201F5">
      <w:pPr>
        <w:spacing w:after="0" w:line="480" w:lineRule="auto"/>
        <w:rPr>
          <w:rFonts w:eastAsia="Calibri" w:cstheme="minorHAnsi"/>
          <w:b/>
          <w:lang w:val="en-US"/>
        </w:rPr>
      </w:pPr>
      <w:bookmarkStart w:id="0" w:name="_GoBack"/>
      <w:bookmarkEnd w:id="0"/>
      <w:r w:rsidRPr="00405AD2">
        <w:rPr>
          <w:rFonts w:eastAsia="Calibri" w:cstheme="minorHAnsi"/>
          <w:b/>
          <w:lang w:val="en-US"/>
        </w:rPr>
        <w:t>Adjuvant dendritic cell vaccination in high-risk uveal melanoma</w:t>
      </w:r>
    </w:p>
    <w:p w:rsidR="00391173" w:rsidRPr="00065035" w:rsidRDefault="00391173" w:rsidP="00E201F5">
      <w:pPr>
        <w:spacing w:after="0" w:line="480" w:lineRule="auto"/>
        <w:rPr>
          <w:rFonts w:cstheme="minorHAnsi"/>
        </w:rPr>
      </w:pPr>
      <w:r w:rsidRPr="00065035">
        <w:rPr>
          <w:rFonts w:cstheme="minorHAnsi"/>
        </w:rPr>
        <w:t>Kalijn F. Bol</w:t>
      </w:r>
      <w:r w:rsidRPr="00065035">
        <w:rPr>
          <w:rFonts w:cstheme="minorHAnsi"/>
          <w:vertAlign w:val="superscript"/>
        </w:rPr>
        <w:t>1,2</w:t>
      </w:r>
      <w:r w:rsidRPr="00065035">
        <w:rPr>
          <w:rFonts w:cstheme="minorHAnsi"/>
        </w:rPr>
        <w:t xml:space="preserve">, </w:t>
      </w:r>
      <w:r w:rsidR="00263946" w:rsidRPr="00065035">
        <w:rPr>
          <w:rFonts w:cstheme="minorHAnsi"/>
        </w:rPr>
        <w:t>Thomas van den Bosch</w:t>
      </w:r>
      <w:r w:rsidR="00AC0042">
        <w:rPr>
          <w:rFonts w:cstheme="minorHAnsi"/>
          <w:vertAlign w:val="superscript"/>
        </w:rPr>
        <w:t>7</w:t>
      </w:r>
      <w:r w:rsidR="004E1045" w:rsidRPr="00065035">
        <w:rPr>
          <w:rFonts w:cstheme="minorHAnsi"/>
        </w:rPr>
        <w:t>*</w:t>
      </w:r>
      <w:r w:rsidR="00263946" w:rsidRPr="00065035">
        <w:rPr>
          <w:rFonts w:cstheme="minorHAnsi"/>
        </w:rPr>
        <w:t xml:space="preserve">, </w:t>
      </w:r>
      <w:r w:rsidR="004B1329" w:rsidRPr="00065035">
        <w:rPr>
          <w:rFonts w:cstheme="minorHAnsi"/>
        </w:rPr>
        <w:t>Gerty Schreibelt</w:t>
      </w:r>
      <w:r w:rsidR="004B1329" w:rsidRPr="00065035">
        <w:rPr>
          <w:rFonts w:cstheme="minorHAnsi"/>
          <w:vertAlign w:val="superscript"/>
        </w:rPr>
        <w:t>1</w:t>
      </w:r>
      <w:r w:rsidR="004E1045" w:rsidRPr="00065035">
        <w:rPr>
          <w:rFonts w:cstheme="minorHAnsi"/>
        </w:rPr>
        <w:t>*</w:t>
      </w:r>
      <w:r w:rsidR="004B1329" w:rsidRPr="00065035">
        <w:rPr>
          <w:rFonts w:cstheme="minorHAnsi"/>
        </w:rPr>
        <w:t xml:space="preserve">, </w:t>
      </w:r>
      <w:r w:rsidR="004E1045" w:rsidRPr="00065035">
        <w:rPr>
          <w:rFonts w:cstheme="minorHAnsi"/>
        </w:rPr>
        <w:t>Hanneke W. Mensink</w:t>
      </w:r>
      <w:r w:rsidR="00AC0042">
        <w:rPr>
          <w:rFonts w:cstheme="minorHAnsi"/>
          <w:vertAlign w:val="superscript"/>
        </w:rPr>
        <w:t>7</w:t>
      </w:r>
      <w:r w:rsidR="004E1045" w:rsidRPr="00065035">
        <w:rPr>
          <w:rFonts w:cstheme="minorHAnsi"/>
          <w:vertAlign w:val="superscript"/>
        </w:rPr>
        <w:t>,</w:t>
      </w:r>
      <w:r w:rsidR="00AC0042">
        <w:rPr>
          <w:rFonts w:cstheme="minorHAnsi"/>
          <w:vertAlign w:val="superscript"/>
        </w:rPr>
        <w:t>8</w:t>
      </w:r>
      <w:r w:rsidR="004E1045" w:rsidRPr="00065035">
        <w:rPr>
          <w:rFonts w:cstheme="minorHAnsi"/>
        </w:rPr>
        <w:t xml:space="preserve">*, </w:t>
      </w:r>
      <w:r w:rsidR="004B1329" w:rsidRPr="00065035">
        <w:rPr>
          <w:rFonts w:cstheme="minorHAnsi"/>
        </w:rPr>
        <w:t>Jan E.E. Keunen</w:t>
      </w:r>
      <w:r w:rsidR="00AC0042">
        <w:rPr>
          <w:rFonts w:cstheme="minorHAnsi"/>
          <w:vertAlign w:val="superscript"/>
        </w:rPr>
        <w:t>3</w:t>
      </w:r>
      <w:r w:rsidR="004B1329" w:rsidRPr="00065035">
        <w:rPr>
          <w:rFonts w:cstheme="minorHAnsi"/>
        </w:rPr>
        <w:t>, Emine Kiliç</w:t>
      </w:r>
      <w:r w:rsidR="00F07C05">
        <w:rPr>
          <w:rFonts w:cstheme="minorHAnsi"/>
          <w:vertAlign w:val="superscript"/>
        </w:rPr>
        <w:t>9</w:t>
      </w:r>
      <w:r w:rsidR="004B1329" w:rsidRPr="00065035">
        <w:rPr>
          <w:rFonts w:cstheme="minorHAnsi"/>
        </w:rPr>
        <w:t>, Wouter J. Japing</w:t>
      </w:r>
      <w:r w:rsidR="00AC0042">
        <w:rPr>
          <w:rFonts w:cstheme="minorHAnsi"/>
          <w:vertAlign w:val="superscript"/>
        </w:rPr>
        <w:t>10</w:t>
      </w:r>
      <w:r w:rsidR="004B1329" w:rsidRPr="00065035">
        <w:rPr>
          <w:rFonts w:cstheme="minorHAnsi"/>
        </w:rPr>
        <w:t>, K</w:t>
      </w:r>
      <w:r w:rsidR="007D6E5A" w:rsidRPr="00065035">
        <w:rPr>
          <w:rFonts w:cstheme="minorHAnsi"/>
        </w:rPr>
        <w:t xml:space="preserve">aspar </w:t>
      </w:r>
      <w:r w:rsidR="004B1329" w:rsidRPr="00065035">
        <w:rPr>
          <w:rFonts w:cstheme="minorHAnsi"/>
        </w:rPr>
        <w:t>W. Geul</w:t>
      </w:r>
      <w:r w:rsidR="00AC0042">
        <w:rPr>
          <w:rFonts w:cstheme="minorHAnsi"/>
          <w:vertAlign w:val="superscript"/>
        </w:rPr>
        <w:t>11</w:t>
      </w:r>
      <w:r w:rsidR="004B1329" w:rsidRPr="00065035">
        <w:rPr>
          <w:rFonts w:cstheme="minorHAnsi"/>
        </w:rPr>
        <w:t xml:space="preserve">, </w:t>
      </w:r>
      <w:r w:rsidR="00F24745" w:rsidRPr="00065035">
        <w:rPr>
          <w:rFonts w:cstheme="minorHAnsi"/>
        </w:rPr>
        <w:t>Harm Westdorp</w:t>
      </w:r>
      <w:r w:rsidR="00F24745" w:rsidRPr="00065035">
        <w:rPr>
          <w:rFonts w:cstheme="minorHAnsi"/>
          <w:vertAlign w:val="superscript"/>
        </w:rPr>
        <w:t>1,2</w:t>
      </w:r>
      <w:r w:rsidR="00F24745" w:rsidRPr="00065035">
        <w:rPr>
          <w:rFonts w:cstheme="minorHAnsi"/>
        </w:rPr>
        <w:t xml:space="preserve">, </w:t>
      </w:r>
      <w:r w:rsidR="004B1329" w:rsidRPr="00065035">
        <w:rPr>
          <w:rFonts w:cstheme="minorHAnsi"/>
        </w:rPr>
        <w:t>Steve Boudewijns</w:t>
      </w:r>
      <w:r w:rsidR="004B1329" w:rsidRPr="00065035">
        <w:rPr>
          <w:rFonts w:cstheme="minorHAnsi"/>
          <w:vertAlign w:val="superscript"/>
        </w:rPr>
        <w:t>1,2</w:t>
      </w:r>
      <w:r w:rsidR="004B1329" w:rsidRPr="00065035">
        <w:rPr>
          <w:rFonts w:cstheme="minorHAnsi"/>
        </w:rPr>
        <w:t xml:space="preserve">, </w:t>
      </w:r>
      <w:r w:rsidR="008C73A2" w:rsidRPr="00065035">
        <w:rPr>
          <w:rFonts w:cstheme="minorHAnsi"/>
        </w:rPr>
        <w:t>Sandra A.J. Croockewit</w:t>
      </w:r>
      <w:r w:rsidR="00AC0042">
        <w:rPr>
          <w:rFonts w:cstheme="minorHAnsi"/>
          <w:vertAlign w:val="superscript"/>
        </w:rPr>
        <w:t>4</w:t>
      </w:r>
      <w:r w:rsidR="008C73A2" w:rsidRPr="00065035">
        <w:rPr>
          <w:rFonts w:cstheme="minorHAnsi"/>
        </w:rPr>
        <w:t>, Michelle M. van Rossum</w:t>
      </w:r>
      <w:r w:rsidR="00AC0042">
        <w:rPr>
          <w:rFonts w:cstheme="minorHAnsi"/>
          <w:vertAlign w:val="superscript"/>
        </w:rPr>
        <w:t>5</w:t>
      </w:r>
      <w:r w:rsidR="008C73A2" w:rsidRPr="00065035">
        <w:rPr>
          <w:rFonts w:cstheme="minorHAnsi"/>
        </w:rPr>
        <w:t xml:space="preserve">, </w:t>
      </w:r>
      <w:r w:rsidR="00CE7F7E" w:rsidRPr="00065035">
        <w:rPr>
          <w:rFonts w:cstheme="minorHAnsi"/>
        </w:rPr>
        <w:t>Anna L. de Goede</w:t>
      </w:r>
      <w:r w:rsidR="00AC0042">
        <w:rPr>
          <w:rFonts w:cstheme="minorHAnsi"/>
          <w:vertAlign w:val="superscript"/>
        </w:rPr>
        <w:t>6</w:t>
      </w:r>
      <w:r w:rsidR="00CE7F7E" w:rsidRPr="00065035">
        <w:rPr>
          <w:rFonts w:cstheme="minorHAnsi"/>
        </w:rPr>
        <w:t xml:space="preserve">, </w:t>
      </w:r>
      <w:r w:rsidR="00987C3C" w:rsidRPr="00065035">
        <w:rPr>
          <w:rFonts w:cstheme="minorHAnsi"/>
        </w:rPr>
        <w:t>Nicole C. Naus</w:t>
      </w:r>
      <w:r w:rsidR="00F07C05">
        <w:rPr>
          <w:rFonts w:cstheme="minorHAnsi"/>
          <w:vertAlign w:val="superscript"/>
        </w:rPr>
        <w:t>9</w:t>
      </w:r>
      <w:r w:rsidR="00987C3C" w:rsidRPr="00065035">
        <w:rPr>
          <w:rFonts w:cstheme="minorHAnsi"/>
        </w:rPr>
        <w:t xml:space="preserve">, </w:t>
      </w:r>
      <w:r w:rsidR="003B4724" w:rsidRPr="00065035">
        <w:rPr>
          <w:rFonts w:cstheme="minorHAnsi"/>
        </w:rPr>
        <w:t>Winette T.A. van der Graaf</w:t>
      </w:r>
      <w:r w:rsidR="003B4724" w:rsidRPr="00065035">
        <w:rPr>
          <w:rFonts w:cstheme="minorHAnsi"/>
          <w:vertAlign w:val="superscript"/>
        </w:rPr>
        <w:t>2</w:t>
      </w:r>
      <w:r w:rsidR="00065035" w:rsidRPr="00065035">
        <w:rPr>
          <w:rFonts w:cstheme="minorHAnsi"/>
          <w:vertAlign w:val="superscript"/>
        </w:rPr>
        <w:t>,12</w:t>
      </w:r>
      <w:r w:rsidR="003B4724" w:rsidRPr="00065035">
        <w:rPr>
          <w:rFonts w:cstheme="minorHAnsi"/>
        </w:rPr>
        <w:t xml:space="preserve">, </w:t>
      </w:r>
      <w:r w:rsidR="00263946" w:rsidRPr="00065035">
        <w:rPr>
          <w:rFonts w:cstheme="minorHAnsi"/>
        </w:rPr>
        <w:t xml:space="preserve">Winald </w:t>
      </w:r>
      <w:r w:rsidR="004801C7" w:rsidRPr="00065035">
        <w:rPr>
          <w:rFonts w:cstheme="minorHAnsi"/>
        </w:rPr>
        <w:t xml:space="preserve">R. </w:t>
      </w:r>
      <w:r w:rsidR="00263946" w:rsidRPr="00065035">
        <w:rPr>
          <w:rFonts w:cstheme="minorHAnsi"/>
        </w:rPr>
        <w:t>Gerritsen</w:t>
      </w:r>
      <w:r w:rsidR="004801C7" w:rsidRPr="00065035">
        <w:rPr>
          <w:rFonts w:cstheme="minorHAnsi"/>
          <w:vertAlign w:val="superscript"/>
        </w:rPr>
        <w:t>2</w:t>
      </w:r>
      <w:r w:rsidR="00263946" w:rsidRPr="00065035">
        <w:rPr>
          <w:rFonts w:cstheme="minorHAnsi"/>
        </w:rPr>
        <w:t xml:space="preserve">, </w:t>
      </w:r>
      <w:r w:rsidR="00E20C84" w:rsidRPr="00065035">
        <w:rPr>
          <w:rFonts w:cstheme="minorHAnsi"/>
        </w:rPr>
        <w:t>Annelies de Klein</w:t>
      </w:r>
      <w:r w:rsidR="00AC0042">
        <w:rPr>
          <w:rFonts w:cstheme="minorHAnsi"/>
          <w:vertAlign w:val="superscript"/>
        </w:rPr>
        <w:t>8</w:t>
      </w:r>
      <w:r w:rsidR="00E20C84" w:rsidRPr="00065035">
        <w:rPr>
          <w:rFonts w:cstheme="minorHAnsi"/>
        </w:rPr>
        <w:t xml:space="preserve">, </w:t>
      </w:r>
      <w:r w:rsidR="008C73A2" w:rsidRPr="00065035">
        <w:rPr>
          <w:rFonts w:cstheme="minorHAnsi"/>
        </w:rPr>
        <w:t>Cornelis J.A. Punt</w:t>
      </w:r>
      <w:r w:rsidR="008C73A2" w:rsidRPr="00065035">
        <w:rPr>
          <w:rFonts w:cstheme="minorHAnsi"/>
          <w:vertAlign w:val="superscript"/>
        </w:rPr>
        <w:t>1</w:t>
      </w:r>
      <w:r w:rsidR="00065035">
        <w:rPr>
          <w:rFonts w:cstheme="minorHAnsi"/>
          <w:vertAlign w:val="superscript"/>
        </w:rPr>
        <w:t>3</w:t>
      </w:r>
      <w:r w:rsidR="008C73A2" w:rsidRPr="00065035">
        <w:rPr>
          <w:rFonts w:cstheme="minorHAnsi"/>
        </w:rPr>
        <w:t>, Carl G. Figdor</w:t>
      </w:r>
      <w:r w:rsidR="008C73A2" w:rsidRPr="00065035">
        <w:rPr>
          <w:rFonts w:cstheme="minorHAnsi"/>
          <w:vertAlign w:val="superscript"/>
        </w:rPr>
        <w:t>1</w:t>
      </w:r>
      <w:r w:rsidR="008C73A2" w:rsidRPr="00065035">
        <w:rPr>
          <w:rFonts w:cstheme="minorHAnsi"/>
        </w:rPr>
        <w:t xml:space="preserve">, </w:t>
      </w:r>
      <w:r w:rsidR="004B1329" w:rsidRPr="00065035">
        <w:rPr>
          <w:rFonts w:cstheme="minorHAnsi"/>
        </w:rPr>
        <w:t xml:space="preserve">Victoria </w:t>
      </w:r>
      <w:r w:rsidR="004A7544">
        <w:rPr>
          <w:rFonts w:cstheme="minorHAnsi"/>
        </w:rPr>
        <w:t xml:space="preserve">M. </w:t>
      </w:r>
      <w:r w:rsidR="004B1329" w:rsidRPr="00065035">
        <w:rPr>
          <w:rFonts w:cstheme="minorHAnsi"/>
        </w:rPr>
        <w:t>Cohen</w:t>
      </w:r>
      <w:r w:rsidR="008C73A2" w:rsidRPr="00065035">
        <w:rPr>
          <w:rFonts w:cstheme="minorHAnsi"/>
          <w:vertAlign w:val="superscript"/>
        </w:rPr>
        <w:t>1</w:t>
      </w:r>
      <w:r w:rsidR="00065035">
        <w:rPr>
          <w:rFonts w:cstheme="minorHAnsi"/>
          <w:vertAlign w:val="superscript"/>
        </w:rPr>
        <w:t>4</w:t>
      </w:r>
      <w:r w:rsidR="004B1329" w:rsidRPr="00065035">
        <w:rPr>
          <w:rFonts w:cstheme="minorHAnsi"/>
        </w:rPr>
        <w:t>,</w:t>
      </w:r>
      <w:r w:rsidR="00AF31B9" w:rsidRPr="00065035">
        <w:rPr>
          <w:rFonts w:cstheme="minorHAnsi"/>
        </w:rPr>
        <w:t xml:space="preserve"> </w:t>
      </w:r>
      <w:r w:rsidRPr="00065035">
        <w:rPr>
          <w:rFonts w:cstheme="minorHAnsi"/>
        </w:rPr>
        <w:t>Dion Paridaens</w:t>
      </w:r>
      <w:r w:rsidR="00AC0042">
        <w:rPr>
          <w:rFonts w:cstheme="minorHAnsi"/>
          <w:vertAlign w:val="superscript"/>
        </w:rPr>
        <w:t>7</w:t>
      </w:r>
      <w:r w:rsidR="00B33575">
        <w:rPr>
          <w:rFonts w:cstheme="minorHAnsi"/>
          <w:vertAlign w:val="superscript"/>
        </w:rPr>
        <w:t>,</w:t>
      </w:r>
      <w:r w:rsidR="00AC0042">
        <w:rPr>
          <w:rFonts w:cstheme="minorHAnsi"/>
          <w:vertAlign w:val="superscript"/>
        </w:rPr>
        <w:t>9</w:t>
      </w:r>
      <w:r w:rsidRPr="00065035">
        <w:rPr>
          <w:rFonts w:cstheme="minorHAnsi"/>
        </w:rPr>
        <w:t>, I. Jolanda M. de Vries</w:t>
      </w:r>
      <w:r w:rsidRPr="00065035">
        <w:rPr>
          <w:rFonts w:cstheme="minorHAnsi"/>
          <w:vertAlign w:val="superscript"/>
        </w:rPr>
        <w:t>1,2</w:t>
      </w:r>
      <w:r w:rsidRPr="00065035">
        <w:rPr>
          <w:rFonts w:cstheme="minorHAnsi"/>
        </w:rPr>
        <w:t xml:space="preserve">. </w:t>
      </w:r>
    </w:p>
    <w:p w:rsidR="00391173" w:rsidRPr="00065035" w:rsidRDefault="00391173" w:rsidP="00E201F5">
      <w:pPr>
        <w:pStyle w:val="NoSpacing"/>
        <w:spacing w:line="480" w:lineRule="auto"/>
        <w:rPr>
          <w:rFonts w:asciiTheme="minorHAnsi" w:hAnsiTheme="minorHAnsi" w:cstheme="minorHAnsi"/>
        </w:rPr>
      </w:pPr>
    </w:p>
    <w:p w:rsidR="00391173" w:rsidRPr="00065035" w:rsidRDefault="00391173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 w:rsidRPr="00065035">
        <w:rPr>
          <w:rFonts w:asciiTheme="minorHAnsi" w:hAnsiTheme="minorHAnsi" w:cstheme="minorHAnsi"/>
          <w:vertAlign w:val="superscript"/>
          <w:lang w:val="en-US"/>
        </w:rPr>
        <w:t>1</w:t>
      </w:r>
      <w:r w:rsidRPr="00065035">
        <w:rPr>
          <w:rFonts w:asciiTheme="minorHAnsi" w:hAnsiTheme="minorHAnsi" w:cstheme="minorHAnsi"/>
          <w:lang w:val="en-US"/>
        </w:rPr>
        <w:t xml:space="preserve">Department of Tumor Immunology </w:t>
      </w:r>
      <w:r w:rsidR="00F07C05">
        <w:rPr>
          <w:rFonts w:asciiTheme="minorHAnsi" w:hAnsiTheme="minorHAnsi" w:cstheme="minorHAnsi"/>
          <w:lang w:val="en-US"/>
        </w:rPr>
        <w:t>(</w:t>
      </w:r>
      <w:r w:rsidRPr="00065035">
        <w:rPr>
          <w:rFonts w:asciiTheme="minorHAnsi" w:hAnsiTheme="minorHAnsi" w:cstheme="minorHAnsi"/>
          <w:lang w:val="en-US"/>
        </w:rPr>
        <w:t>Radboud Institute for Molecular Life Sciences</w:t>
      </w:r>
      <w:r w:rsidR="00F07C05">
        <w:rPr>
          <w:rFonts w:asciiTheme="minorHAnsi" w:hAnsiTheme="minorHAnsi" w:cstheme="minorHAnsi"/>
          <w:lang w:val="en-US"/>
        </w:rPr>
        <w:t>)</w:t>
      </w:r>
      <w:r w:rsidRPr="00065035">
        <w:rPr>
          <w:rFonts w:asciiTheme="minorHAnsi" w:hAnsiTheme="minorHAnsi" w:cstheme="minorHAnsi"/>
          <w:lang w:val="en-US"/>
        </w:rPr>
        <w:t xml:space="preserve">, </w:t>
      </w:r>
      <w:r w:rsidR="004B1718" w:rsidRPr="00065035">
        <w:rPr>
          <w:rFonts w:asciiTheme="minorHAnsi" w:hAnsiTheme="minorHAnsi" w:cstheme="minorHAnsi"/>
          <w:vertAlign w:val="superscript"/>
          <w:lang w:val="en-US"/>
        </w:rPr>
        <w:t>2</w:t>
      </w:r>
      <w:r w:rsidR="004B1718" w:rsidRPr="00065035">
        <w:rPr>
          <w:rFonts w:asciiTheme="minorHAnsi" w:hAnsiTheme="minorHAnsi" w:cstheme="minorHAnsi"/>
          <w:lang w:val="en-US"/>
        </w:rPr>
        <w:t xml:space="preserve">Department of Medical Oncology, </w:t>
      </w:r>
      <w:r w:rsidR="00AC0042">
        <w:rPr>
          <w:rFonts w:asciiTheme="minorHAnsi" w:hAnsiTheme="minorHAnsi" w:cstheme="minorHAnsi"/>
          <w:vertAlign w:val="superscript"/>
          <w:lang w:val="en-US"/>
        </w:rPr>
        <w:t>3</w:t>
      </w:r>
      <w:r w:rsidR="004B1718" w:rsidRPr="00065035">
        <w:rPr>
          <w:rFonts w:asciiTheme="minorHAnsi" w:hAnsiTheme="minorHAnsi" w:cstheme="minorHAnsi"/>
          <w:lang w:val="en-US"/>
        </w:rPr>
        <w:t xml:space="preserve">Department of Ophthalmology,  </w:t>
      </w:r>
      <w:r w:rsidR="00AC0042">
        <w:rPr>
          <w:rFonts w:asciiTheme="minorHAnsi" w:hAnsiTheme="minorHAnsi" w:cstheme="minorHAnsi"/>
          <w:vertAlign w:val="superscript"/>
          <w:lang w:val="en-US"/>
        </w:rPr>
        <w:t>4</w:t>
      </w:r>
      <w:r w:rsidR="004B1718" w:rsidRPr="00065035">
        <w:rPr>
          <w:rFonts w:asciiTheme="minorHAnsi" w:hAnsiTheme="minorHAnsi" w:cstheme="minorHAnsi"/>
          <w:lang w:val="en-US"/>
        </w:rPr>
        <w:t xml:space="preserve">Department of Hematology, </w:t>
      </w:r>
      <w:r w:rsidR="00AC0042">
        <w:rPr>
          <w:rFonts w:asciiTheme="minorHAnsi" w:hAnsiTheme="minorHAnsi" w:cstheme="minorHAnsi"/>
          <w:vertAlign w:val="superscript"/>
          <w:lang w:val="en-US"/>
        </w:rPr>
        <w:t>5</w:t>
      </w:r>
      <w:r w:rsidR="004B1718" w:rsidRPr="00065035">
        <w:rPr>
          <w:rFonts w:asciiTheme="minorHAnsi" w:hAnsiTheme="minorHAnsi" w:cstheme="minorHAnsi"/>
          <w:lang w:val="en-US"/>
        </w:rPr>
        <w:t xml:space="preserve">Department of Dermatology, </w:t>
      </w:r>
      <w:r w:rsidR="00AC0042">
        <w:rPr>
          <w:rFonts w:asciiTheme="minorHAnsi" w:hAnsiTheme="minorHAnsi" w:cstheme="minorHAnsi"/>
          <w:vertAlign w:val="superscript"/>
          <w:lang w:val="en-US"/>
        </w:rPr>
        <w:t>6</w:t>
      </w:r>
      <w:r w:rsidR="004B1718" w:rsidRPr="00065035">
        <w:rPr>
          <w:rFonts w:asciiTheme="minorHAnsi" w:hAnsiTheme="minorHAnsi" w:cstheme="minorHAnsi"/>
          <w:lang w:val="en-US"/>
        </w:rPr>
        <w:t xml:space="preserve">Department of Pharmacy, </w:t>
      </w:r>
      <w:r w:rsidRPr="00065035">
        <w:rPr>
          <w:rFonts w:asciiTheme="minorHAnsi" w:hAnsiTheme="minorHAnsi" w:cstheme="minorHAnsi"/>
          <w:lang w:val="en-US"/>
        </w:rPr>
        <w:t xml:space="preserve">Radboud </w:t>
      </w:r>
      <w:r w:rsidR="00CE7F7E" w:rsidRPr="00065035">
        <w:rPr>
          <w:rFonts w:asciiTheme="minorHAnsi" w:hAnsiTheme="minorHAnsi" w:cstheme="minorHAnsi"/>
          <w:lang w:val="en-US"/>
        </w:rPr>
        <w:t>u</w:t>
      </w:r>
      <w:r w:rsidRPr="00065035">
        <w:rPr>
          <w:rFonts w:asciiTheme="minorHAnsi" w:hAnsiTheme="minorHAnsi" w:cstheme="minorHAnsi"/>
          <w:lang w:val="en-US"/>
        </w:rPr>
        <w:t xml:space="preserve">niversity </w:t>
      </w:r>
      <w:r w:rsidR="00CE7F7E" w:rsidRPr="00065035">
        <w:rPr>
          <w:rFonts w:asciiTheme="minorHAnsi" w:hAnsiTheme="minorHAnsi" w:cstheme="minorHAnsi"/>
          <w:lang w:val="en-US"/>
        </w:rPr>
        <w:t>m</w:t>
      </w:r>
      <w:r w:rsidRPr="00065035">
        <w:rPr>
          <w:rFonts w:asciiTheme="minorHAnsi" w:hAnsiTheme="minorHAnsi" w:cstheme="minorHAnsi"/>
          <w:lang w:val="en-US"/>
        </w:rPr>
        <w:t xml:space="preserve">edical </w:t>
      </w:r>
      <w:r w:rsidR="00CE7F7E" w:rsidRPr="00065035">
        <w:rPr>
          <w:rFonts w:asciiTheme="minorHAnsi" w:hAnsiTheme="minorHAnsi" w:cstheme="minorHAnsi"/>
          <w:lang w:val="en-US"/>
        </w:rPr>
        <w:t>c</w:t>
      </w:r>
      <w:r w:rsidRPr="00065035">
        <w:rPr>
          <w:rFonts w:asciiTheme="minorHAnsi" w:hAnsiTheme="minorHAnsi" w:cstheme="minorHAnsi"/>
          <w:lang w:val="en-US"/>
        </w:rPr>
        <w:t>entre, Nijmegen, the Netherlands</w:t>
      </w:r>
    </w:p>
    <w:p w:rsidR="00397559" w:rsidRPr="00065035" w:rsidRDefault="00AC0042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vertAlign w:val="superscript"/>
          <w:lang w:val="en-US"/>
        </w:rPr>
        <w:t>7</w:t>
      </w:r>
      <w:r w:rsidR="00397559" w:rsidRPr="00065035">
        <w:rPr>
          <w:rFonts w:asciiTheme="minorHAnsi" w:hAnsiTheme="minorHAnsi" w:cstheme="minorHAnsi"/>
          <w:lang w:val="en-US"/>
        </w:rPr>
        <w:t>Department of O</w:t>
      </w:r>
      <w:r w:rsidR="00B33575">
        <w:rPr>
          <w:rFonts w:asciiTheme="minorHAnsi" w:hAnsiTheme="minorHAnsi" w:cstheme="minorHAnsi"/>
          <w:lang w:val="en-US"/>
        </w:rPr>
        <w:t>cular Oncology</w:t>
      </w:r>
      <w:r w:rsidR="00397559" w:rsidRPr="00065035">
        <w:rPr>
          <w:rFonts w:asciiTheme="minorHAnsi" w:hAnsiTheme="minorHAnsi" w:cstheme="minorHAnsi"/>
          <w:lang w:val="en-US"/>
        </w:rPr>
        <w:t>, Rotterdam Eye Hospital, Rotterdam, the Netherlands</w:t>
      </w:r>
    </w:p>
    <w:p w:rsidR="00391173" w:rsidRPr="00065035" w:rsidRDefault="00AC0042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vertAlign w:val="superscript"/>
          <w:lang w:val="en-US"/>
        </w:rPr>
        <w:t>8</w:t>
      </w:r>
      <w:r w:rsidR="00B33575" w:rsidRPr="00065035">
        <w:rPr>
          <w:rFonts w:asciiTheme="minorHAnsi" w:hAnsiTheme="minorHAnsi" w:cstheme="minorHAnsi"/>
          <w:lang w:val="en-US"/>
        </w:rPr>
        <w:t>Department of Clinical Genetics</w:t>
      </w:r>
      <w:r w:rsidR="00B33575">
        <w:rPr>
          <w:rFonts w:asciiTheme="minorHAnsi" w:hAnsiTheme="minorHAnsi" w:cstheme="minorHAnsi"/>
          <w:lang w:val="en-US"/>
        </w:rPr>
        <w:t>,</w:t>
      </w:r>
      <w:r w:rsidR="00B33575" w:rsidRPr="00065035">
        <w:rPr>
          <w:rFonts w:asciiTheme="minorHAnsi" w:hAnsiTheme="minorHAnsi" w:cstheme="minorHAnsi"/>
          <w:vertAlign w:val="superscript"/>
          <w:lang w:val="en-US"/>
        </w:rPr>
        <w:t xml:space="preserve"> </w:t>
      </w:r>
      <w:r>
        <w:rPr>
          <w:rFonts w:asciiTheme="minorHAnsi" w:hAnsiTheme="minorHAnsi" w:cstheme="minorHAnsi"/>
          <w:vertAlign w:val="superscript"/>
          <w:lang w:val="en-US"/>
        </w:rPr>
        <w:t>9</w:t>
      </w:r>
      <w:r w:rsidR="00391173" w:rsidRPr="00065035">
        <w:rPr>
          <w:rFonts w:asciiTheme="minorHAnsi" w:hAnsiTheme="minorHAnsi" w:cstheme="minorHAnsi"/>
          <w:lang w:val="en-US"/>
        </w:rPr>
        <w:t xml:space="preserve">Department of Ophthalmology, </w:t>
      </w:r>
      <w:r w:rsidR="00987C3C" w:rsidRPr="00065035">
        <w:rPr>
          <w:rFonts w:asciiTheme="minorHAnsi" w:hAnsiTheme="minorHAnsi" w:cstheme="minorHAnsi"/>
          <w:lang w:val="en-US"/>
        </w:rPr>
        <w:t>Erasmus Medical Centre</w:t>
      </w:r>
      <w:r w:rsidR="00391173" w:rsidRPr="00065035">
        <w:rPr>
          <w:rFonts w:asciiTheme="minorHAnsi" w:hAnsiTheme="minorHAnsi" w:cstheme="minorHAnsi"/>
          <w:lang w:val="en-US"/>
        </w:rPr>
        <w:t>, Rotterdam, the Netherlands</w:t>
      </w:r>
    </w:p>
    <w:p w:rsidR="004B1329" w:rsidRPr="00065035" w:rsidRDefault="00AC0042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vertAlign w:val="superscript"/>
          <w:lang w:val="en-US"/>
        </w:rPr>
        <w:t>10</w:t>
      </w:r>
      <w:r w:rsidR="004B1329" w:rsidRPr="00065035">
        <w:rPr>
          <w:rFonts w:asciiTheme="minorHAnsi" w:hAnsiTheme="minorHAnsi" w:cstheme="minorHAnsi"/>
          <w:lang w:val="en-US"/>
        </w:rPr>
        <w:t>Department of Ophthalmology, University Medical Center Groningen, Groningen, the Netherlands</w:t>
      </w:r>
    </w:p>
    <w:p w:rsidR="004B1329" w:rsidRPr="00065035" w:rsidRDefault="00AC0042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vertAlign w:val="superscript"/>
          <w:lang w:val="en-US"/>
        </w:rPr>
        <w:t>11</w:t>
      </w:r>
      <w:r w:rsidR="004B1329" w:rsidRPr="00065035">
        <w:rPr>
          <w:rFonts w:asciiTheme="minorHAnsi" w:hAnsiTheme="minorHAnsi" w:cstheme="minorHAnsi"/>
          <w:lang w:val="en-US"/>
        </w:rPr>
        <w:t>Department of Internal Medicine, Sint Fran</w:t>
      </w:r>
      <w:r w:rsidR="007918C3" w:rsidRPr="00065035">
        <w:rPr>
          <w:rFonts w:asciiTheme="minorHAnsi" w:hAnsiTheme="minorHAnsi" w:cstheme="minorHAnsi"/>
          <w:lang w:val="en-US"/>
        </w:rPr>
        <w:t>ciscus H</w:t>
      </w:r>
      <w:r w:rsidR="004B1329" w:rsidRPr="00065035">
        <w:rPr>
          <w:rFonts w:asciiTheme="minorHAnsi" w:hAnsiTheme="minorHAnsi" w:cstheme="minorHAnsi"/>
          <w:lang w:val="en-US"/>
        </w:rPr>
        <w:t>ospital, Rotterdam, the Netherlands</w:t>
      </w:r>
    </w:p>
    <w:p w:rsidR="00AC0042" w:rsidRPr="00065035" w:rsidRDefault="00AC0042" w:rsidP="00AC0042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 w:rsidRPr="00403670">
        <w:rPr>
          <w:rFonts w:asciiTheme="minorHAnsi" w:hAnsiTheme="minorHAnsi" w:cstheme="minorHAnsi"/>
          <w:vertAlign w:val="superscript"/>
          <w:lang w:val="en-US"/>
        </w:rPr>
        <w:t>1</w:t>
      </w:r>
      <w:r>
        <w:rPr>
          <w:rFonts w:asciiTheme="minorHAnsi" w:hAnsiTheme="minorHAnsi" w:cstheme="minorHAnsi"/>
          <w:vertAlign w:val="superscript"/>
          <w:lang w:val="en-US"/>
        </w:rPr>
        <w:t>2</w:t>
      </w:r>
      <w:r w:rsidRPr="00403670">
        <w:rPr>
          <w:rFonts w:asciiTheme="minorHAnsi" w:hAnsiTheme="minorHAnsi" w:cstheme="minorHAnsi"/>
          <w:lang w:val="en-US"/>
        </w:rPr>
        <w:t>Department of Medical Oncology, The Institute of Cancer Research and the Royal Marsden NHS Foundation Trust, London, United Kingdom</w:t>
      </w:r>
    </w:p>
    <w:p w:rsidR="00391173" w:rsidRPr="00065035" w:rsidRDefault="008C73A2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 w:rsidRPr="00065035">
        <w:rPr>
          <w:rFonts w:asciiTheme="minorHAnsi" w:hAnsiTheme="minorHAnsi" w:cstheme="minorHAnsi"/>
          <w:vertAlign w:val="superscript"/>
          <w:lang w:val="en-US"/>
        </w:rPr>
        <w:t>1</w:t>
      </w:r>
      <w:r w:rsidR="00065035">
        <w:rPr>
          <w:rFonts w:asciiTheme="minorHAnsi" w:hAnsiTheme="minorHAnsi" w:cstheme="minorHAnsi"/>
          <w:vertAlign w:val="superscript"/>
          <w:lang w:val="en-US"/>
        </w:rPr>
        <w:t>3</w:t>
      </w:r>
      <w:r w:rsidR="00391173" w:rsidRPr="00065035">
        <w:rPr>
          <w:rFonts w:asciiTheme="minorHAnsi" w:hAnsiTheme="minorHAnsi" w:cstheme="minorHAnsi"/>
          <w:lang w:val="en-US"/>
        </w:rPr>
        <w:t>Department of Medical Oncology, Academic Medical Center, Amsterdam, the Netherlands</w:t>
      </w:r>
    </w:p>
    <w:p w:rsidR="00B13C23" w:rsidRDefault="008C73A2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 w:rsidRPr="00065035">
        <w:rPr>
          <w:rFonts w:asciiTheme="minorHAnsi" w:hAnsiTheme="minorHAnsi" w:cstheme="minorHAnsi"/>
          <w:vertAlign w:val="superscript"/>
          <w:lang w:val="en-US"/>
        </w:rPr>
        <w:t>1</w:t>
      </w:r>
      <w:r w:rsidR="00065035">
        <w:rPr>
          <w:rFonts w:asciiTheme="minorHAnsi" w:hAnsiTheme="minorHAnsi" w:cstheme="minorHAnsi"/>
          <w:vertAlign w:val="superscript"/>
          <w:lang w:val="en-US"/>
        </w:rPr>
        <w:t>4</w:t>
      </w:r>
      <w:r w:rsidR="00BD3796" w:rsidRPr="00065035">
        <w:rPr>
          <w:rFonts w:asciiTheme="minorHAnsi" w:hAnsiTheme="minorHAnsi" w:cstheme="minorHAnsi"/>
          <w:lang w:val="en-US"/>
        </w:rPr>
        <w:t>Depar</w:t>
      </w:r>
      <w:r w:rsidR="00397559" w:rsidRPr="00065035">
        <w:rPr>
          <w:rFonts w:asciiTheme="minorHAnsi" w:hAnsiTheme="minorHAnsi" w:cstheme="minorHAnsi"/>
          <w:lang w:val="en-US"/>
        </w:rPr>
        <w:t>t</w:t>
      </w:r>
      <w:r w:rsidR="00BD3796" w:rsidRPr="00065035">
        <w:rPr>
          <w:rFonts w:asciiTheme="minorHAnsi" w:hAnsiTheme="minorHAnsi" w:cstheme="minorHAnsi"/>
          <w:lang w:val="en-US"/>
        </w:rPr>
        <w:t>ment of Ophthalmology,</w:t>
      </w:r>
      <w:r w:rsidR="00B13C23" w:rsidRPr="00065035">
        <w:rPr>
          <w:rFonts w:asciiTheme="minorHAnsi" w:hAnsiTheme="minorHAnsi" w:cstheme="minorHAnsi"/>
          <w:lang w:val="en-US"/>
        </w:rPr>
        <w:t xml:space="preserve"> Moorfields Eye Hospital and St. Bartholomew's Hospital, London, United Kingdom</w:t>
      </w:r>
    </w:p>
    <w:p w:rsidR="00391173" w:rsidRDefault="00391173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</w:p>
    <w:p w:rsidR="00D53C0D" w:rsidRPr="00BC4F95" w:rsidRDefault="00D53C0D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* Authors contributed equally.</w:t>
      </w:r>
    </w:p>
    <w:p w:rsidR="00141713" w:rsidRDefault="00866913" w:rsidP="00E201F5">
      <w:pPr>
        <w:spacing w:after="0" w:line="480" w:lineRule="auto"/>
        <w:rPr>
          <w:rFonts w:eastAsia="Times" w:cstheme="minorHAnsi"/>
          <w:color w:val="231F20"/>
          <w:lang w:val="en-US"/>
        </w:rPr>
      </w:pPr>
      <w:r w:rsidRPr="00BC4F95">
        <w:rPr>
          <w:rFonts w:eastAsia="Times" w:cstheme="minorHAnsi"/>
          <w:color w:val="231F20"/>
          <w:lang w:val="en-US"/>
        </w:rPr>
        <w:t xml:space="preserve">Correspondence should be addressed to I. Jolanda M. de Vries. Department of Tumor Immunology, Radboud Institute for Molecular Life Sciences, PO Box 9101, 6500 HB Nijmegen, the Netherlands. Email: </w:t>
      </w:r>
      <w:r w:rsidRPr="0067743F">
        <w:rPr>
          <w:rFonts w:eastAsia="Times" w:cstheme="minorHAnsi"/>
          <w:lang w:val="en-US"/>
        </w:rPr>
        <w:t>Jolanda.deVries@radboudumc.nl</w:t>
      </w:r>
      <w:r w:rsidRPr="00BC4F95">
        <w:rPr>
          <w:rFonts w:eastAsia="Times" w:cstheme="minorHAnsi"/>
          <w:color w:val="231F20"/>
          <w:lang w:val="en-US"/>
        </w:rPr>
        <w:t xml:space="preserve"> Phone: + 31 24 3617600; Fax: + 31 24 3540339.</w:t>
      </w:r>
    </w:p>
    <w:p w:rsidR="005A6FF6" w:rsidRDefault="005A6FF6" w:rsidP="00E201F5">
      <w:pPr>
        <w:spacing w:after="0" w:line="480" w:lineRule="auto"/>
        <w:rPr>
          <w:rFonts w:eastAsia="Times" w:cstheme="minorHAnsi"/>
          <w:color w:val="231F20"/>
          <w:lang w:val="en-US"/>
        </w:rPr>
      </w:pPr>
    </w:p>
    <w:p w:rsidR="00E07FB7" w:rsidRDefault="00E07FB7" w:rsidP="00E201F5">
      <w:pPr>
        <w:spacing w:after="0" w:line="480" w:lineRule="auto"/>
        <w:rPr>
          <w:rFonts w:eastAsia="Times" w:cstheme="minorHAnsi"/>
          <w:color w:val="231F20"/>
          <w:lang w:val="en-US"/>
        </w:rPr>
      </w:pPr>
      <w:r w:rsidRPr="00E07FB7">
        <w:rPr>
          <w:rFonts w:eastAsia="Times" w:cstheme="minorHAnsi"/>
          <w:color w:val="231F20"/>
          <w:lang w:val="en-US"/>
        </w:rPr>
        <w:t>This article contains a</w:t>
      </w:r>
      <w:r w:rsidR="00F27514">
        <w:rPr>
          <w:rFonts w:eastAsia="Times" w:cstheme="minorHAnsi"/>
          <w:color w:val="231F20"/>
          <w:lang w:val="en-US"/>
        </w:rPr>
        <w:t xml:space="preserve">dditional online-only material: </w:t>
      </w:r>
      <w:r w:rsidR="004A24DA" w:rsidRPr="00F21B68">
        <w:rPr>
          <w:rFonts w:eastAsia="Times" w:cstheme="minorHAnsi"/>
          <w:color w:val="231F20"/>
          <w:lang w:val="en-US"/>
        </w:rPr>
        <w:t xml:space="preserve">Supplementary </w:t>
      </w:r>
      <w:r w:rsidR="008C353E" w:rsidRPr="00F21B68">
        <w:rPr>
          <w:rFonts w:eastAsia="Times" w:cstheme="minorHAnsi"/>
          <w:color w:val="231F20"/>
          <w:lang w:val="en-US"/>
        </w:rPr>
        <w:t>Table 1</w:t>
      </w:r>
      <w:r w:rsidR="00F27514">
        <w:rPr>
          <w:rFonts w:eastAsia="Times" w:cstheme="minorHAnsi"/>
          <w:color w:val="231F20"/>
          <w:lang w:val="en-US"/>
        </w:rPr>
        <w:t xml:space="preserve"> (</w:t>
      </w:r>
      <w:r w:rsidR="00F27514" w:rsidRPr="00F27514">
        <w:rPr>
          <w:lang w:val="en-US"/>
        </w:rPr>
        <w:t xml:space="preserve">available at </w:t>
      </w:r>
      <w:r w:rsidR="00F27514" w:rsidRPr="001D57F4">
        <w:rPr>
          <w:lang w:val="en-US"/>
        </w:rPr>
        <w:t>http://aaojournal.org</w:t>
      </w:r>
      <w:r w:rsidR="00F27514" w:rsidRPr="00F27514">
        <w:rPr>
          <w:lang w:val="en-US"/>
        </w:rPr>
        <w:t>)</w:t>
      </w:r>
      <w:r w:rsidRPr="00F21B68">
        <w:rPr>
          <w:rFonts w:eastAsia="Times" w:cstheme="minorHAnsi"/>
          <w:color w:val="231F20"/>
          <w:lang w:val="en-US"/>
        </w:rPr>
        <w:t>.</w:t>
      </w:r>
    </w:p>
    <w:p w:rsidR="00A12EC0" w:rsidRPr="007B744C" w:rsidRDefault="00A12EC0" w:rsidP="00E201F5">
      <w:pPr>
        <w:spacing w:after="0" w:line="480" w:lineRule="auto"/>
        <w:rPr>
          <w:rFonts w:cstheme="minorHAnsi"/>
          <w:b/>
          <w:lang w:val="en-US"/>
        </w:rPr>
      </w:pPr>
    </w:p>
    <w:p w:rsidR="00320992" w:rsidRDefault="00320992" w:rsidP="00E201F5">
      <w:pPr>
        <w:spacing w:after="0" w:line="48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</w:t>
      </w:r>
      <w:r w:rsidR="008079C0">
        <w:rPr>
          <w:rFonts w:cstheme="minorHAnsi"/>
          <w:b/>
          <w:lang w:val="en-US"/>
        </w:rPr>
        <w:t>inancial support</w:t>
      </w:r>
    </w:p>
    <w:p w:rsidR="00320992" w:rsidRPr="00BC4F95" w:rsidRDefault="00320992" w:rsidP="00E201F5">
      <w:pPr>
        <w:spacing w:after="0" w:line="480" w:lineRule="auto"/>
        <w:rPr>
          <w:rFonts w:cstheme="minorHAnsi"/>
          <w:lang w:val="en-US"/>
        </w:rPr>
      </w:pPr>
      <w:r w:rsidRPr="00BC4F95">
        <w:rPr>
          <w:rFonts w:cstheme="minorHAnsi"/>
          <w:lang w:val="en-US"/>
        </w:rPr>
        <w:t xml:space="preserve">This work was supported by grants from the Dutch Cancer Society (KUN2010-4722, KUN2009-4402), The Netherlands Organization for Scientific Research (95100106), the Nijmeegs Offensief Tegen Kanker (NOTK), the </w:t>
      </w:r>
      <w:r w:rsidRPr="00BC4F95">
        <w:rPr>
          <w:rStyle w:val="apple-style-span"/>
          <w:rFonts w:cstheme="minorHAnsi"/>
          <w:lang w:val="en-US"/>
        </w:rPr>
        <w:t>Combined Ophthalmic Research Rotterdam Foundation and the Stichting Wetenschappelijk Onderzoek het Oogziekenhuis</w:t>
      </w:r>
      <w:r w:rsidR="004D712D">
        <w:rPr>
          <w:rStyle w:val="apple-style-span"/>
          <w:rFonts w:cstheme="minorHAnsi"/>
          <w:lang w:val="en-US"/>
        </w:rPr>
        <w:t xml:space="preserve"> (SWOO)</w:t>
      </w:r>
      <w:r w:rsidRPr="00BC4F95">
        <w:rPr>
          <w:rStyle w:val="apple-style-span"/>
          <w:rFonts w:cstheme="minorHAnsi"/>
          <w:lang w:val="en-US"/>
        </w:rPr>
        <w:t xml:space="preserve">. </w:t>
      </w:r>
      <w:r w:rsidRPr="00BC4F95">
        <w:rPr>
          <w:rFonts w:cstheme="minorHAnsi"/>
          <w:lang w:val="en-US"/>
        </w:rPr>
        <w:t>C.F. recei</w:t>
      </w:r>
      <w:r w:rsidR="00276B2B">
        <w:rPr>
          <w:rFonts w:cstheme="minorHAnsi"/>
          <w:lang w:val="en-US"/>
        </w:rPr>
        <w:t>ved the NWO Spinoza award and a</w:t>
      </w:r>
      <w:r w:rsidRPr="00BC4F95">
        <w:rPr>
          <w:rFonts w:cstheme="minorHAnsi"/>
          <w:lang w:val="en-US"/>
        </w:rPr>
        <w:t xml:space="preserve"> Eu</w:t>
      </w:r>
      <w:r w:rsidR="00276B2B">
        <w:rPr>
          <w:rFonts w:cstheme="minorHAnsi"/>
          <w:lang w:val="en-US"/>
        </w:rPr>
        <w:t>r</w:t>
      </w:r>
      <w:r w:rsidRPr="00BC4F95">
        <w:rPr>
          <w:rFonts w:cstheme="minorHAnsi"/>
          <w:lang w:val="en-US"/>
        </w:rPr>
        <w:t>opean Research Council Advanced grant (ERC-2010-AdG-269019-PATHFINDER). JdV received a NWO-Vici grant (918.14.655).</w:t>
      </w:r>
      <w:r w:rsidR="004A24DA">
        <w:rPr>
          <w:rFonts w:cstheme="minorHAnsi"/>
          <w:lang w:val="en-US"/>
        </w:rPr>
        <w:t xml:space="preserve"> </w:t>
      </w:r>
      <w:r w:rsidRPr="00320992">
        <w:rPr>
          <w:rFonts w:cstheme="minorHAnsi"/>
          <w:lang w:val="en-US"/>
        </w:rPr>
        <w:t>The sponsor or funding organization had no role in the design or conduct of this research</w:t>
      </w:r>
      <w:r>
        <w:rPr>
          <w:rFonts w:cstheme="minorHAnsi"/>
          <w:lang w:val="en-US"/>
        </w:rPr>
        <w:t>.</w:t>
      </w:r>
    </w:p>
    <w:p w:rsidR="00320992" w:rsidRDefault="00320992" w:rsidP="00E201F5">
      <w:pPr>
        <w:spacing w:after="0" w:line="480" w:lineRule="auto"/>
        <w:rPr>
          <w:rFonts w:cstheme="minorHAnsi"/>
          <w:b/>
          <w:lang w:val="en-US"/>
        </w:rPr>
      </w:pPr>
    </w:p>
    <w:p w:rsidR="005A6FF6" w:rsidRDefault="005A6FF6" w:rsidP="00E201F5">
      <w:pPr>
        <w:spacing w:after="0" w:line="48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Conflict of interest</w:t>
      </w:r>
    </w:p>
    <w:p w:rsidR="00D27B99" w:rsidRDefault="005A6FF6" w:rsidP="00E201F5">
      <w:pPr>
        <w:spacing w:after="0"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N</w:t>
      </w:r>
      <w:r w:rsidRPr="005A6FF6">
        <w:rPr>
          <w:rFonts w:cstheme="minorHAnsi"/>
          <w:lang w:val="en-US"/>
        </w:rPr>
        <w:t>o conflicting relationship exists for any author</w:t>
      </w:r>
      <w:r>
        <w:rPr>
          <w:rFonts w:cstheme="minorHAnsi"/>
          <w:lang w:val="en-US"/>
        </w:rPr>
        <w:t>.</w:t>
      </w:r>
      <w:r w:rsidR="00A12EC0">
        <w:rPr>
          <w:rFonts w:cstheme="minorHAnsi"/>
          <w:b/>
          <w:lang w:val="en-US"/>
        </w:rPr>
        <w:br w:type="column"/>
      </w:r>
      <w:r w:rsidR="00E22A6A" w:rsidRPr="00B61110">
        <w:rPr>
          <w:rFonts w:cstheme="minorHAnsi"/>
          <w:lang w:val="en-US"/>
        </w:rPr>
        <w:lastRenderedPageBreak/>
        <w:t>U</w:t>
      </w:r>
      <w:r w:rsidR="000C4283" w:rsidRPr="0032502F">
        <w:rPr>
          <w:rFonts w:cstheme="minorHAnsi"/>
          <w:lang w:val="en-US"/>
        </w:rPr>
        <w:t>veal melanoma</w:t>
      </w:r>
      <w:r w:rsidR="001B0B4F" w:rsidRPr="0032502F">
        <w:rPr>
          <w:rFonts w:cstheme="minorHAnsi"/>
          <w:lang w:val="en-US"/>
        </w:rPr>
        <w:t xml:space="preserve"> (UM)</w:t>
      </w:r>
      <w:r w:rsidR="000C4283" w:rsidRPr="0032502F">
        <w:rPr>
          <w:rFonts w:cstheme="minorHAnsi"/>
          <w:lang w:val="en-US"/>
        </w:rPr>
        <w:t xml:space="preserve"> is the most common primary intraocular malignancy in adults with an annual incidence of 4 to 10 per million in</w:t>
      </w:r>
      <w:r w:rsidR="0032502F" w:rsidRPr="0032502F">
        <w:rPr>
          <w:rFonts w:cstheme="minorHAnsi"/>
          <w:lang w:val="en-US"/>
        </w:rPr>
        <w:t xml:space="preserve"> the Caucasian population</w:t>
      </w:r>
      <w:r w:rsidR="000C4283" w:rsidRPr="0032502F">
        <w:rPr>
          <w:rFonts w:cstheme="minorHAnsi"/>
          <w:lang w:val="en-US"/>
        </w:rPr>
        <w:t xml:space="preserve">. </w:t>
      </w:r>
      <w:r w:rsidR="00BE4937">
        <w:rPr>
          <w:rFonts w:cstheme="minorHAnsi"/>
          <w:lang w:val="en-US"/>
        </w:rPr>
        <w:t xml:space="preserve">The </w:t>
      </w:r>
      <w:r w:rsidR="00823184">
        <w:rPr>
          <w:rFonts w:cstheme="minorHAnsi"/>
          <w:lang w:val="en-US"/>
        </w:rPr>
        <w:t xml:space="preserve">5-year </w:t>
      </w:r>
      <w:r w:rsidR="00BE4937">
        <w:rPr>
          <w:rFonts w:cstheme="minorHAnsi"/>
          <w:lang w:val="en-US"/>
        </w:rPr>
        <w:t>overall survival</w:t>
      </w:r>
      <w:r w:rsidR="00FD64D3">
        <w:rPr>
          <w:rFonts w:cstheme="minorHAnsi"/>
          <w:lang w:val="en-US"/>
        </w:rPr>
        <w:t xml:space="preserve"> (OS)</w:t>
      </w:r>
      <w:r w:rsidR="00823184">
        <w:rPr>
          <w:rFonts w:cstheme="minorHAnsi"/>
          <w:lang w:val="en-US"/>
        </w:rPr>
        <w:t xml:space="preserve"> rate</w:t>
      </w:r>
      <w:r w:rsidR="00BE4937">
        <w:rPr>
          <w:rFonts w:cstheme="minorHAnsi"/>
          <w:lang w:val="en-US"/>
        </w:rPr>
        <w:t xml:space="preserve"> </w:t>
      </w:r>
      <w:r w:rsidR="00CD1B72">
        <w:rPr>
          <w:rFonts w:cstheme="minorHAnsi"/>
          <w:lang w:val="en-US"/>
        </w:rPr>
        <w:t>is approximately</w:t>
      </w:r>
      <w:r w:rsidR="006176B5">
        <w:rPr>
          <w:rFonts w:cstheme="minorHAnsi"/>
          <w:lang w:val="en-US"/>
        </w:rPr>
        <w:t xml:space="preserve"> 70-</w:t>
      </w:r>
      <w:r w:rsidR="004877FD" w:rsidRPr="00BC4F95">
        <w:rPr>
          <w:rFonts w:cstheme="minorHAnsi"/>
          <w:lang w:val="en-US"/>
        </w:rPr>
        <w:t>80%</w:t>
      </w:r>
      <w:r w:rsidR="00823184">
        <w:rPr>
          <w:rFonts w:cstheme="minorHAnsi"/>
          <w:lang w:val="en-US"/>
        </w:rPr>
        <w:t>. U</w:t>
      </w:r>
      <w:r w:rsidR="00CD1B72">
        <w:rPr>
          <w:rFonts w:cstheme="minorHAnsi"/>
          <w:lang w:val="en-US"/>
        </w:rPr>
        <w:t>p to 50% of UM</w:t>
      </w:r>
      <w:r w:rsidR="00823184" w:rsidRPr="00BC4F95">
        <w:rPr>
          <w:rFonts w:cstheme="minorHAnsi"/>
          <w:lang w:val="en-US"/>
        </w:rPr>
        <w:t xml:space="preserve"> patients develop</w:t>
      </w:r>
      <w:r w:rsidR="00823184">
        <w:rPr>
          <w:rFonts w:cstheme="minorHAnsi"/>
          <w:lang w:val="en-US"/>
        </w:rPr>
        <w:t xml:space="preserve"> metastases, usually after a</w:t>
      </w:r>
      <w:r w:rsidR="00823184" w:rsidRPr="00BC4F95">
        <w:rPr>
          <w:rFonts w:cstheme="minorHAnsi"/>
          <w:lang w:val="en-US"/>
        </w:rPr>
        <w:t xml:space="preserve"> long disease-free interval (2 to 5 years)</w:t>
      </w:r>
      <w:r w:rsidR="00D27B99">
        <w:rPr>
          <w:rFonts w:cstheme="minorHAnsi"/>
          <w:lang w:val="en-US"/>
        </w:rPr>
        <w:t>.</w:t>
      </w:r>
      <w:r w:rsidR="00EB4928" w:rsidRPr="00BC4F95">
        <w:rPr>
          <w:rFonts w:cstheme="minorHAnsi"/>
          <w:lang w:val="en-US"/>
        </w:rPr>
        <w:t xml:space="preserve"> </w:t>
      </w:r>
      <w:r w:rsidR="00823184">
        <w:rPr>
          <w:rFonts w:cstheme="minorHAnsi"/>
          <w:lang w:val="en-US"/>
        </w:rPr>
        <w:t xml:space="preserve">If metastatic disease is present, the prognosis is dismal </w:t>
      </w:r>
      <w:r w:rsidR="00823184" w:rsidRPr="00BC4F95">
        <w:rPr>
          <w:rFonts w:cstheme="minorHAnsi"/>
          <w:lang w:val="en-US"/>
        </w:rPr>
        <w:t xml:space="preserve">with </w:t>
      </w:r>
      <w:r w:rsidR="00823184">
        <w:rPr>
          <w:rFonts w:cstheme="minorHAnsi"/>
          <w:lang w:val="en-US"/>
        </w:rPr>
        <w:t xml:space="preserve">a 1-year </w:t>
      </w:r>
      <w:r w:rsidR="006176B5">
        <w:rPr>
          <w:rFonts w:cstheme="minorHAnsi"/>
          <w:lang w:val="en-US"/>
        </w:rPr>
        <w:t xml:space="preserve">OS </w:t>
      </w:r>
      <w:r w:rsidR="00823184">
        <w:rPr>
          <w:rFonts w:cstheme="minorHAnsi"/>
          <w:lang w:val="en-US"/>
        </w:rPr>
        <w:t>rate of 10-40%</w:t>
      </w:r>
      <w:r w:rsidR="00823184" w:rsidRPr="00BC4F95">
        <w:rPr>
          <w:rFonts w:cstheme="minorHAnsi"/>
          <w:lang w:val="en-US"/>
        </w:rPr>
        <w:t xml:space="preserve">. </w:t>
      </w:r>
      <w:r w:rsidR="00823184">
        <w:rPr>
          <w:rFonts w:cstheme="minorHAnsi"/>
          <w:lang w:val="en-US"/>
        </w:rPr>
        <w:t>C</w:t>
      </w:r>
      <w:r w:rsidR="00823184" w:rsidRPr="00BC4F95">
        <w:rPr>
          <w:rFonts w:cstheme="minorHAnsi"/>
          <w:lang w:val="en-US"/>
        </w:rPr>
        <w:t>urrently</w:t>
      </w:r>
      <w:r w:rsidR="00823184">
        <w:rPr>
          <w:rFonts w:cstheme="minorHAnsi"/>
          <w:lang w:val="en-US"/>
        </w:rPr>
        <w:t>, no</w:t>
      </w:r>
      <w:r w:rsidR="00823184" w:rsidRPr="00BC4F95">
        <w:rPr>
          <w:rFonts w:cstheme="minorHAnsi"/>
          <w:lang w:val="en-US"/>
        </w:rPr>
        <w:t xml:space="preserve"> effective systemic treatment </w:t>
      </w:r>
      <w:r w:rsidR="00823184">
        <w:rPr>
          <w:rFonts w:cstheme="minorHAnsi"/>
          <w:lang w:val="en-US"/>
        </w:rPr>
        <w:t>improving</w:t>
      </w:r>
      <w:r w:rsidR="00823184" w:rsidRPr="00BC4F95">
        <w:rPr>
          <w:rFonts w:cstheme="minorHAnsi"/>
          <w:lang w:val="en-US"/>
        </w:rPr>
        <w:t xml:space="preserve"> </w:t>
      </w:r>
      <w:r w:rsidR="00823184">
        <w:rPr>
          <w:rFonts w:cstheme="minorHAnsi"/>
          <w:lang w:val="en-US"/>
        </w:rPr>
        <w:t>OS is available</w:t>
      </w:r>
      <w:r w:rsidR="00CD1B72">
        <w:rPr>
          <w:rFonts w:cstheme="minorHAnsi"/>
          <w:lang w:val="en-US"/>
        </w:rPr>
        <w:t xml:space="preserve"> for metastatic</w:t>
      </w:r>
      <w:r w:rsidR="007A2DFD">
        <w:rPr>
          <w:rFonts w:cstheme="minorHAnsi"/>
          <w:lang w:val="en-US"/>
        </w:rPr>
        <w:t xml:space="preserve"> UM patients</w:t>
      </w:r>
      <w:r w:rsidR="00823184">
        <w:rPr>
          <w:rFonts w:cstheme="minorHAnsi"/>
          <w:lang w:val="en-US"/>
        </w:rPr>
        <w:t xml:space="preserve">, nor has any adjuvant treatment </w:t>
      </w:r>
      <w:r w:rsidR="00360137" w:rsidRPr="00BC4F95">
        <w:rPr>
          <w:rFonts w:cstheme="minorHAnsi"/>
          <w:lang w:val="en-US"/>
        </w:rPr>
        <w:t>shown survival benefit</w:t>
      </w:r>
      <w:r w:rsidR="00486029" w:rsidRPr="00BC4F95">
        <w:rPr>
          <w:rFonts w:cstheme="minorHAnsi"/>
          <w:lang w:val="en-US"/>
        </w:rPr>
        <w:t>.</w:t>
      </w:r>
      <w:r w:rsidR="0048649D" w:rsidRPr="00BC4F95">
        <w:rPr>
          <w:rFonts w:cstheme="minorHAnsi"/>
          <w:lang w:val="en-US"/>
        </w:rPr>
        <w:t xml:space="preserve"> </w:t>
      </w:r>
    </w:p>
    <w:p w:rsidR="001341EF" w:rsidRDefault="00CF1735" w:rsidP="003F7DC1">
      <w:pPr>
        <w:spacing w:after="0" w:line="480" w:lineRule="auto"/>
        <w:rPr>
          <w:rFonts w:cstheme="minorHAnsi"/>
          <w:lang w:val="en-US"/>
        </w:rPr>
      </w:pPr>
      <w:r w:rsidRPr="00BC4F95">
        <w:rPr>
          <w:rFonts w:cstheme="minorHAnsi"/>
          <w:lang w:val="en-US"/>
        </w:rPr>
        <w:t>Our research group, as well as others</w:t>
      </w:r>
      <w:r w:rsidR="008D76F1">
        <w:rPr>
          <w:rFonts w:cstheme="minorHAnsi"/>
          <w:lang w:val="en-US"/>
        </w:rPr>
        <w:t>,</w:t>
      </w:r>
      <w:r w:rsidR="00B55703">
        <w:rPr>
          <w:rFonts w:cstheme="minorHAnsi"/>
          <w:lang w:val="en-US"/>
        </w:rPr>
        <w:t xml:space="preserve"> </w:t>
      </w:r>
      <w:r w:rsidR="00B55703" w:rsidRPr="00C43E60">
        <w:rPr>
          <w:rFonts w:cstheme="minorHAnsi"/>
          <w:lang w:val="en-US"/>
        </w:rPr>
        <w:t>have</w:t>
      </w:r>
      <w:r w:rsidRPr="00C43E60">
        <w:rPr>
          <w:rFonts w:cstheme="minorHAnsi"/>
          <w:lang w:val="en-US"/>
        </w:rPr>
        <w:t xml:space="preserve"> performed</w:t>
      </w:r>
      <w:r w:rsidRPr="00BC4F95">
        <w:rPr>
          <w:rFonts w:cstheme="minorHAnsi"/>
          <w:lang w:val="en-US"/>
        </w:rPr>
        <w:t xml:space="preserve"> several prospective dendritic cell </w:t>
      </w:r>
      <w:r w:rsidR="001B0B4F" w:rsidRPr="00BC4F95">
        <w:rPr>
          <w:rFonts w:cstheme="minorHAnsi"/>
          <w:lang w:val="en-US"/>
        </w:rPr>
        <w:t xml:space="preserve">(DC) </w:t>
      </w:r>
      <w:r w:rsidRPr="00BC4F95">
        <w:rPr>
          <w:rFonts w:cstheme="minorHAnsi"/>
          <w:lang w:val="en-US"/>
        </w:rPr>
        <w:t xml:space="preserve">vaccination studies in patients with cutaneous melanoma showing little toxicity and promising </w:t>
      </w:r>
      <w:r w:rsidR="009A7567" w:rsidRPr="00BC4F95">
        <w:rPr>
          <w:rFonts w:cstheme="minorHAnsi"/>
          <w:lang w:val="en-US"/>
        </w:rPr>
        <w:t>immunologic</w:t>
      </w:r>
      <w:r w:rsidR="00D645FD">
        <w:rPr>
          <w:rFonts w:cstheme="minorHAnsi"/>
          <w:lang w:val="en-US"/>
        </w:rPr>
        <w:t>al</w:t>
      </w:r>
      <w:r w:rsidR="009A7567" w:rsidRPr="00BC4F95">
        <w:rPr>
          <w:rFonts w:cstheme="minorHAnsi"/>
          <w:lang w:val="en-US"/>
        </w:rPr>
        <w:t xml:space="preserve"> and clinical </w:t>
      </w:r>
      <w:r w:rsidRPr="00BC4F95">
        <w:rPr>
          <w:rFonts w:cstheme="minorHAnsi"/>
          <w:lang w:val="en-US"/>
        </w:rPr>
        <w:t>results</w:t>
      </w:r>
      <w:r w:rsidR="0048649D" w:rsidRPr="00BC4F95">
        <w:rPr>
          <w:rFonts w:cstheme="minorHAnsi"/>
          <w:lang w:val="en-US"/>
        </w:rPr>
        <w:t>.</w:t>
      </w:r>
      <w:r w:rsidRPr="00BC4F95">
        <w:rPr>
          <w:rFonts w:cstheme="minorHAnsi"/>
          <w:lang w:val="en-US"/>
        </w:rPr>
        <w:t xml:space="preserve"> </w:t>
      </w:r>
      <w:r w:rsidR="001B0B4F" w:rsidRPr="00BC4F95">
        <w:rPr>
          <w:rFonts w:cstheme="minorHAnsi"/>
          <w:lang w:val="en-US"/>
        </w:rPr>
        <w:t>DC</w:t>
      </w:r>
      <w:r w:rsidR="00895714" w:rsidRPr="00BC4F95">
        <w:rPr>
          <w:rFonts w:cstheme="minorHAnsi"/>
          <w:lang w:val="en-US"/>
        </w:rPr>
        <w:t xml:space="preserve"> are antigen-presenting cells with the unique capacity to activate naïve antigen-specific T c</w:t>
      </w:r>
      <w:r w:rsidR="00FD64D3">
        <w:rPr>
          <w:rFonts w:cstheme="minorHAnsi"/>
          <w:lang w:val="en-US"/>
        </w:rPr>
        <w:t>ells, hence suitable to induce a</w:t>
      </w:r>
      <w:r w:rsidR="007A2DFD">
        <w:rPr>
          <w:rFonts w:cstheme="minorHAnsi"/>
          <w:lang w:val="en-US"/>
        </w:rPr>
        <w:t>nti</w:t>
      </w:r>
      <w:r w:rsidR="00BC4F95">
        <w:rPr>
          <w:rFonts w:cstheme="minorHAnsi"/>
          <w:lang w:val="en-US"/>
        </w:rPr>
        <w:t xml:space="preserve">tumor </w:t>
      </w:r>
      <w:r w:rsidR="00FD64D3">
        <w:rPr>
          <w:rFonts w:cstheme="minorHAnsi"/>
          <w:lang w:val="en-US"/>
        </w:rPr>
        <w:t xml:space="preserve">immune </w:t>
      </w:r>
      <w:r w:rsidR="00BC4F95">
        <w:rPr>
          <w:rFonts w:cstheme="minorHAnsi"/>
          <w:lang w:val="en-US"/>
        </w:rPr>
        <w:t>responses</w:t>
      </w:r>
      <w:r w:rsidR="00895714" w:rsidRPr="00BC4F95">
        <w:rPr>
          <w:rFonts w:cstheme="minorHAnsi"/>
          <w:lang w:val="en-US"/>
        </w:rPr>
        <w:t xml:space="preserve">. </w:t>
      </w:r>
      <w:r w:rsidRPr="00BC4F95">
        <w:rPr>
          <w:rFonts w:cstheme="minorHAnsi"/>
          <w:lang w:val="en-US"/>
        </w:rPr>
        <w:t xml:space="preserve">The tumor antigens </w:t>
      </w:r>
      <w:r w:rsidR="00C43E60">
        <w:rPr>
          <w:rFonts w:cstheme="minorHAnsi"/>
          <w:lang w:val="en-US"/>
        </w:rPr>
        <w:t>gp100 and tyrosinase</w:t>
      </w:r>
      <w:r w:rsidR="00805086">
        <w:rPr>
          <w:rFonts w:cstheme="minorHAnsi"/>
          <w:lang w:val="en-US"/>
        </w:rPr>
        <w:t>,</w:t>
      </w:r>
      <w:r w:rsidR="00C43E60">
        <w:rPr>
          <w:rFonts w:cstheme="minorHAnsi"/>
          <w:lang w:val="en-US"/>
        </w:rPr>
        <w:t xml:space="preserve"> </w:t>
      </w:r>
      <w:r w:rsidRPr="00BC4F95">
        <w:rPr>
          <w:rFonts w:cstheme="minorHAnsi"/>
          <w:lang w:val="en-US"/>
        </w:rPr>
        <w:t xml:space="preserve">used in our </w:t>
      </w:r>
      <w:r w:rsidR="00F84AC6" w:rsidRPr="00BC4F95">
        <w:rPr>
          <w:rFonts w:cstheme="minorHAnsi"/>
          <w:lang w:val="en-US"/>
        </w:rPr>
        <w:t>DC</w:t>
      </w:r>
      <w:r w:rsidRPr="00BC4F95">
        <w:rPr>
          <w:rFonts w:cstheme="minorHAnsi"/>
          <w:lang w:val="en-US"/>
        </w:rPr>
        <w:t xml:space="preserve"> vaccination studies for </w:t>
      </w:r>
      <w:r w:rsidR="00122862">
        <w:rPr>
          <w:rFonts w:cstheme="minorHAnsi"/>
          <w:lang w:val="en-US"/>
        </w:rPr>
        <w:t xml:space="preserve">cutaneous </w:t>
      </w:r>
      <w:r w:rsidRPr="00BC4F95">
        <w:rPr>
          <w:rFonts w:cstheme="minorHAnsi"/>
          <w:lang w:val="en-US"/>
        </w:rPr>
        <w:t xml:space="preserve">melanoma patients, are both expressed in human </w:t>
      </w:r>
      <w:r w:rsidR="00B20758" w:rsidRPr="00BC4F95">
        <w:rPr>
          <w:rFonts w:cstheme="minorHAnsi"/>
          <w:lang w:val="en-US"/>
        </w:rPr>
        <w:t>UM</w:t>
      </w:r>
      <w:r w:rsidRPr="00BC4F95">
        <w:rPr>
          <w:rFonts w:cstheme="minorHAnsi"/>
          <w:lang w:val="en-US"/>
        </w:rPr>
        <w:t xml:space="preserve"> tumor cells</w:t>
      </w:r>
      <w:r w:rsidR="0048649D" w:rsidRPr="00BC4F95">
        <w:rPr>
          <w:rFonts w:cstheme="minorHAnsi"/>
          <w:lang w:val="en-US"/>
        </w:rPr>
        <w:t xml:space="preserve"> </w:t>
      </w:r>
      <w:r w:rsidRPr="00BC4F95">
        <w:rPr>
          <w:rFonts w:cstheme="minorHAnsi"/>
          <w:lang w:val="en-US"/>
        </w:rPr>
        <w:t xml:space="preserve">and thus constitute an appropriate target for immunotherapy in </w:t>
      </w:r>
      <w:r w:rsidR="00B20758" w:rsidRPr="00BC4F95">
        <w:rPr>
          <w:rFonts w:cstheme="minorHAnsi"/>
          <w:lang w:val="en-US"/>
        </w:rPr>
        <w:t>UM</w:t>
      </w:r>
      <w:r w:rsidRPr="00BC4F95">
        <w:rPr>
          <w:rFonts w:cstheme="minorHAnsi"/>
          <w:lang w:val="en-US"/>
        </w:rPr>
        <w:t>.</w:t>
      </w:r>
      <w:r w:rsidR="00A83BB5" w:rsidRPr="00BC4F95">
        <w:rPr>
          <w:rFonts w:cstheme="minorHAnsi"/>
          <w:lang w:val="en-US"/>
        </w:rPr>
        <w:t xml:space="preserve"> Recently, w</w:t>
      </w:r>
      <w:r w:rsidRPr="00BC4F95">
        <w:rPr>
          <w:rFonts w:cstheme="minorHAnsi"/>
          <w:lang w:val="en-US"/>
        </w:rPr>
        <w:t xml:space="preserve">e showed that </w:t>
      </w:r>
      <w:r w:rsidR="00F84AC6" w:rsidRPr="00BC4F95">
        <w:rPr>
          <w:rFonts w:cstheme="minorHAnsi"/>
          <w:lang w:val="en-US"/>
        </w:rPr>
        <w:t>DC</w:t>
      </w:r>
      <w:r w:rsidRPr="00BC4F95">
        <w:rPr>
          <w:rFonts w:cstheme="minorHAnsi"/>
          <w:lang w:val="en-US"/>
        </w:rPr>
        <w:t xml:space="preserve"> vaccination is feasible in metastatic </w:t>
      </w:r>
      <w:r w:rsidR="00B20758" w:rsidRPr="00BC4F95">
        <w:rPr>
          <w:rFonts w:cstheme="minorHAnsi"/>
          <w:lang w:val="en-US"/>
        </w:rPr>
        <w:t>UM</w:t>
      </w:r>
      <w:r w:rsidR="00EE3C71">
        <w:rPr>
          <w:rFonts w:cstheme="minorHAnsi"/>
          <w:lang w:val="en-US"/>
        </w:rPr>
        <w:t xml:space="preserve"> and no safety concerns were detected. Furthermore</w:t>
      </w:r>
      <w:r w:rsidR="00862D45">
        <w:rPr>
          <w:rFonts w:cstheme="minorHAnsi"/>
          <w:lang w:val="en-US"/>
        </w:rPr>
        <w:t xml:space="preserve">, </w:t>
      </w:r>
      <w:r w:rsidR="00EE3C71">
        <w:rPr>
          <w:rFonts w:cstheme="minorHAnsi"/>
          <w:lang w:val="en-US"/>
        </w:rPr>
        <w:t xml:space="preserve">DC vaccination showed </w:t>
      </w:r>
      <w:r w:rsidR="00862D45">
        <w:rPr>
          <w:rFonts w:cstheme="minorHAnsi"/>
          <w:lang w:val="en-US"/>
        </w:rPr>
        <w:t xml:space="preserve">the potential </w:t>
      </w:r>
      <w:r w:rsidRPr="00BC4F95">
        <w:rPr>
          <w:rFonts w:cstheme="minorHAnsi"/>
          <w:lang w:val="en-US"/>
        </w:rPr>
        <w:t>to enhance the host’s antitumor immunity</w:t>
      </w:r>
      <w:r w:rsidR="00DD4BF4">
        <w:rPr>
          <w:rFonts w:cstheme="minorHAnsi"/>
          <w:lang w:val="en-US"/>
        </w:rPr>
        <w:t>,</w:t>
      </w:r>
      <w:r w:rsidRPr="00BC4F95">
        <w:rPr>
          <w:rFonts w:cstheme="minorHAnsi"/>
          <w:lang w:val="en-US"/>
        </w:rPr>
        <w:t xml:space="preserve"> and may be associated with longer tha</w:t>
      </w:r>
      <w:r w:rsidR="00862D45">
        <w:rPr>
          <w:rFonts w:cstheme="minorHAnsi"/>
          <w:lang w:val="en-US"/>
        </w:rPr>
        <w:t xml:space="preserve">n average </w:t>
      </w:r>
      <w:r w:rsidR="00671A50">
        <w:rPr>
          <w:rFonts w:cstheme="minorHAnsi"/>
          <w:lang w:val="en-US"/>
        </w:rPr>
        <w:t>OS</w:t>
      </w:r>
      <w:r w:rsidR="00EE3C71">
        <w:rPr>
          <w:rFonts w:cstheme="minorHAnsi"/>
          <w:lang w:val="en-US"/>
        </w:rPr>
        <w:t xml:space="preserve"> in metastatic UM</w:t>
      </w:r>
      <w:r w:rsidRPr="00BC4F95">
        <w:rPr>
          <w:rFonts w:cstheme="minorHAnsi"/>
          <w:lang w:val="en-US"/>
        </w:rPr>
        <w:t>.</w:t>
      </w:r>
      <w:r w:rsidR="008678C5" w:rsidRPr="008678C5">
        <w:rPr>
          <w:rFonts w:cstheme="minorHAnsi"/>
          <w:noProof/>
          <w:vertAlign w:val="superscript"/>
          <w:lang w:val="en-US"/>
        </w:rPr>
        <w:t>1</w:t>
      </w:r>
      <w:r w:rsidR="00363FFE">
        <w:rPr>
          <w:rFonts w:cstheme="minorHAnsi"/>
          <w:lang w:val="en-US"/>
        </w:rPr>
        <w:t xml:space="preserve"> DC vaccination </w:t>
      </w:r>
      <w:r w:rsidR="00363FFE" w:rsidRPr="00990505">
        <w:rPr>
          <w:rFonts w:cstheme="minorHAnsi"/>
          <w:lang w:val="en-US"/>
        </w:rPr>
        <w:t>may h</w:t>
      </w:r>
      <w:r w:rsidR="00363FFE">
        <w:rPr>
          <w:rFonts w:cstheme="minorHAnsi"/>
          <w:lang w:val="en-US"/>
        </w:rPr>
        <w:t>ave a more pronounced effect in the</w:t>
      </w:r>
      <w:r w:rsidR="00363FFE" w:rsidRPr="00990505">
        <w:rPr>
          <w:rFonts w:cstheme="minorHAnsi"/>
          <w:lang w:val="en-US"/>
        </w:rPr>
        <w:t xml:space="preserve"> adjuvant setting</w:t>
      </w:r>
      <w:r w:rsidR="00363FFE">
        <w:rPr>
          <w:rFonts w:cstheme="minorHAnsi"/>
          <w:lang w:val="en-US"/>
        </w:rPr>
        <w:t xml:space="preserve"> as </w:t>
      </w:r>
      <w:r w:rsidR="00A83BB5" w:rsidRPr="00BC4F95">
        <w:rPr>
          <w:rFonts w:cstheme="minorHAnsi"/>
          <w:lang w:val="en-US"/>
        </w:rPr>
        <w:t xml:space="preserve">high tumor burden </w:t>
      </w:r>
      <w:r w:rsidR="00C43E60">
        <w:rPr>
          <w:rFonts w:cstheme="minorHAnsi"/>
          <w:lang w:val="en-US"/>
        </w:rPr>
        <w:t>in</w:t>
      </w:r>
      <w:r w:rsidR="00C43E60" w:rsidRPr="00BC4F95">
        <w:rPr>
          <w:rFonts w:cstheme="minorHAnsi"/>
          <w:lang w:val="en-US"/>
        </w:rPr>
        <w:t xml:space="preserve"> metastatic patients </w:t>
      </w:r>
      <w:r w:rsidR="00A83BB5" w:rsidRPr="00BC4F95">
        <w:rPr>
          <w:rFonts w:cstheme="minorHAnsi"/>
          <w:lang w:val="en-US"/>
        </w:rPr>
        <w:t>may hamper the inductio</w:t>
      </w:r>
      <w:r w:rsidR="005B16C5">
        <w:rPr>
          <w:rFonts w:cstheme="minorHAnsi"/>
          <w:lang w:val="en-US"/>
        </w:rPr>
        <w:t>n of effective immune responses</w:t>
      </w:r>
      <w:r w:rsidR="00363FFE">
        <w:rPr>
          <w:rFonts w:cstheme="minorHAnsi"/>
          <w:lang w:val="en-US"/>
        </w:rPr>
        <w:t>.</w:t>
      </w:r>
      <w:r w:rsidR="00125C3F">
        <w:rPr>
          <w:rFonts w:cstheme="minorHAnsi"/>
          <w:lang w:val="en-US"/>
        </w:rPr>
        <w:t xml:space="preserve"> </w:t>
      </w:r>
      <w:r w:rsidR="00B55703">
        <w:rPr>
          <w:rFonts w:cstheme="minorHAnsi"/>
          <w:lang w:val="en-US"/>
        </w:rPr>
        <w:t>P</w:t>
      </w:r>
      <w:r w:rsidR="00AC328B">
        <w:rPr>
          <w:rFonts w:cstheme="minorHAnsi"/>
          <w:lang w:val="en-US"/>
        </w:rPr>
        <w:t>referably</w:t>
      </w:r>
      <w:r w:rsidR="00360137" w:rsidRPr="00BC4F95">
        <w:rPr>
          <w:rFonts w:cstheme="minorHAnsi"/>
          <w:lang w:val="en-US"/>
        </w:rPr>
        <w:t>, patients with a high risk for developme</w:t>
      </w:r>
      <w:r w:rsidR="003F7DC1">
        <w:rPr>
          <w:rFonts w:cstheme="minorHAnsi"/>
          <w:lang w:val="en-US"/>
        </w:rPr>
        <w:t>nt of metastatic disease are</w:t>
      </w:r>
      <w:r w:rsidR="00360137" w:rsidRPr="00BC4F95">
        <w:rPr>
          <w:rFonts w:cstheme="minorHAnsi"/>
          <w:lang w:val="en-US"/>
        </w:rPr>
        <w:t xml:space="preserve"> selected for adjuvant treatment. </w:t>
      </w:r>
      <w:r w:rsidR="00E22A6A">
        <w:rPr>
          <w:rFonts w:cstheme="minorHAnsi"/>
          <w:lang w:val="en-US"/>
        </w:rPr>
        <w:t xml:space="preserve">In primary </w:t>
      </w:r>
      <w:r w:rsidR="00B20758" w:rsidRPr="00BC4F95">
        <w:rPr>
          <w:rFonts w:cstheme="minorHAnsi"/>
          <w:lang w:val="en-US"/>
        </w:rPr>
        <w:t>UM</w:t>
      </w:r>
      <w:r w:rsidR="00615E6C" w:rsidRPr="00BC4F95">
        <w:rPr>
          <w:rFonts w:cstheme="minorHAnsi"/>
          <w:lang w:val="en-US"/>
        </w:rPr>
        <w:t xml:space="preserve">, </w:t>
      </w:r>
      <w:r w:rsidR="00360137" w:rsidRPr="00BC4F95">
        <w:rPr>
          <w:rFonts w:cstheme="minorHAnsi"/>
          <w:lang w:val="en-US"/>
        </w:rPr>
        <w:t>monosomy 3 correlates s</w:t>
      </w:r>
      <w:r w:rsidR="00EE314F" w:rsidRPr="00BC4F95">
        <w:rPr>
          <w:rFonts w:cstheme="minorHAnsi"/>
          <w:lang w:val="en-US"/>
        </w:rPr>
        <w:t xml:space="preserve">trongly with </w:t>
      </w:r>
      <w:r w:rsidR="00125C3F">
        <w:rPr>
          <w:rFonts w:cstheme="minorHAnsi"/>
          <w:lang w:val="en-US"/>
        </w:rPr>
        <w:t xml:space="preserve">the development of metastases and </w:t>
      </w:r>
      <w:r w:rsidR="00EE314F" w:rsidRPr="00BC4F95">
        <w:rPr>
          <w:rFonts w:cstheme="minorHAnsi"/>
          <w:lang w:val="en-US"/>
        </w:rPr>
        <w:t>decreased survival</w:t>
      </w:r>
      <w:r w:rsidR="00166121">
        <w:rPr>
          <w:rFonts w:cstheme="minorHAnsi"/>
          <w:lang w:val="en-US"/>
        </w:rPr>
        <w:t xml:space="preserve"> </w:t>
      </w:r>
      <w:r w:rsidR="005B16C5">
        <w:rPr>
          <w:rFonts w:cstheme="minorHAnsi"/>
          <w:lang w:val="en-US"/>
        </w:rPr>
        <w:t xml:space="preserve">(3-year OS rate 60% </w:t>
      </w:r>
      <w:r w:rsidR="00125C3F">
        <w:rPr>
          <w:rFonts w:cstheme="minorHAnsi"/>
          <w:lang w:val="en-US"/>
        </w:rPr>
        <w:t>with monosomy 3 versus</w:t>
      </w:r>
      <w:r w:rsidR="005B16C5">
        <w:rPr>
          <w:rFonts w:cstheme="minorHAnsi"/>
          <w:lang w:val="en-US"/>
        </w:rPr>
        <w:t xml:space="preserve"> 95-100%</w:t>
      </w:r>
      <w:r w:rsidR="00125C3F">
        <w:rPr>
          <w:rFonts w:cstheme="minorHAnsi"/>
          <w:lang w:val="en-US"/>
        </w:rPr>
        <w:t xml:space="preserve"> with disomy 3</w:t>
      </w:r>
      <w:r w:rsidR="005B16C5">
        <w:rPr>
          <w:rFonts w:cstheme="minorHAnsi"/>
          <w:lang w:val="en-US"/>
        </w:rPr>
        <w:t xml:space="preserve">) </w:t>
      </w:r>
      <w:r w:rsidR="00C43E60">
        <w:rPr>
          <w:rFonts w:cstheme="minorHAnsi"/>
          <w:lang w:val="en-US"/>
        </w:rPr>
        <w:t xml:space="preserve">and is </w:t>
      </w:r>
      <w:r w:rsidR="00F7552B" w:rsidRPr="00BC4F95">
        <w:rPr>
          <w:rFonts w:cstheme="minorHAnsi"/>
          <w:lang w:val="en-US"/>
        </w:rPr>
        <w:t>identified i</w:t>
      </w:r>
      <w:r w:rsidR="00216B18">
        <w:rPr>
          <w:rFonts w:cstheme="minorHAnsi"/>
          <w:lang w:val="en-US"/>
        </w:rPr>
        <w:t>n approximately 50% of patients</w:t>
      </w:r>
      <w:r w:rsidR="00561579" w:rsidRPr="00BC4F95">
        <w:rPr>
          <w:rFonts w:cstheme="minorHAnsi"/>
          <w:lang w:val="en-US"/>
        </w:rPr>
        <w:t>.</w:t>
      </w:r>
      <w:r w:rsidR="00216B18" w:rsidRPr="00216B18">
        <w:rPr>
          <w:rFonts w:cstheme="minorHAnsi"/>
          <w:noProof/>
          <w:vertAlign w:val="superscript"/>
          <w:lang w:val="en-US"/>
        </w:rPr>
        <w:t>2</w:t>
      </w:r>
    </w:p>
    <w:p w:rsidR="00125C3F" w:rsidRPr="00125C3F" w:rsidRDefault="00363FFE" w:rsidP="00E201F5">
      <w:pPr>
        <w:spacing w:after="0"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Therefore</w:t>
      </w:r>
      <w:r w:rsidR="006176B5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we performed an </w:t>
      </w:r>
      <w:r w:rsidR="00CD5679" w:rsidRPr="00BC4F95">
        <w:rPr>
          <w:rFonts w:cstheme="minorHAnsi"/>
          <w:lang w:val="en-US"/>
        </w:rPr>
        <w:t xml:space="preserve">open label phase </w:t>
      </w:r>
      <w:r w:rsidR="00615E6C" w:rsidRPr="00BC4F95">
        <w:rPr>
          <w:rFonts w:cstheme="minorHAnsi"/>
          <w:lang w:val="en-US"/>
        </w:rPr>
        <w:t xml:space="preserve">II study </w:t>
      </w:r>
      <w:r>
        <w:rPr>
          <w:rFonts w:cstheme="minorHAnsi"/>
          <w:lang w:val="en-US"/>
        </w:rPr>
        <w:t>in high-</w:t>
      </w:r>
      <w:r w:rsidRPr="00BC4F95">
        <w:rPr>
          <w:rFonts w:cstheme="minorHAnsi"/>
          <w:lang w:val="en-US"/>
        </w:rPr>
        <w:t>risk UM</w:t>
      </w:r>
      <w:r w:rsidR="00A133E8">
        <w:rPr>
          <w:rFonts w:cstheme="minorHAnsi"/>
          <w:lang w:val="en-US"/>
        </w:rPr>
        <w:t xml:space="preserve"> </w:t>
      </w:r>
      <w:r w:rsidRPr="00BC4F95">
        <w:rPr>
          <w:rFonts w:cstheme="minorHAnsi"/>
          <w:lang w:val="en-US"/>
        </w:rPr>
        <w:t>patients</w:t>
      </w:r>
      <w:r>
        <w:rPr>
          <w:rFonts w:cstheme="minorHAnsi"/>
          <w:lang w:val="en-US"/>
        </w:rPr>
        <w:t xml:space="preserve"> with monosomy </w:t>
      </w:r>
      <w:r w:rsidR="00A133E8">
        <w:rPr>
          <w:rFonts w:cstheme="minorHAnsi"/>
          <w:lang w:val="en-US"/>
        </w:rPr>
        <w:t>3</w:t>
      </w:r>
      <w:r w:rsidR="007A2DFD">
        <w:rPr>
          <w:rFonts w:cstheme="minorHAnsi"/>
          <w:lang w:val="en-US"/>
        </w:rPr>
        <w:t>, investigating</w:t>
      </w:r>
      <w:r w:rsidR="00615E6C" w:rsidRPr="00BC4F95">
        <w:rPr>
          <w:rFonts w:cstheme="minorHAnsi"/>
          <w:lang w:val="en-US"/>
        </w:rPr>
        <w:t xml:space="preserve"> immunological responses </w:t>
      </w:r>
      <w:r w:rsidR="00AC328B">
        <w:rPr>
          <w:rFonts w:cstheme="minorHAnsi"/>
          <w:lang w:val="en-US"/>
        </w:rPr>
        <w:t>after</w:t>
      </w:r>
      <w:r w:rsidR="00AC328B" w:rsidRPr="00BC4F95">
        <w:rPr>
          <w:rFonts w:cstheme="minorHAnsi"/>
          <w:lang w:val="en-US"/>
        </w:rPr>
        <w:t xml:space="preserve"> </w:t>
      </w:r>
      <w:r w:rsidR="00125C3F">
        <w:rPr>
          <w:rFonts w:cstheme="minorHAnsi"/>
          <w:lang w:val="en-US"/>
        </w:rPr>
        <w:t xml:space="preserve">adjuvant DC </w:t>
      </w:r>
      <w:r w:rsidR="00AC328B" w:rsidRPr="00BC4F95">
        <w:rPr>
          <w:rFonts w:cstheme="minorHAnsi"/>
          <w:lang w:val="en-US"/>
        </w:rPr>
        <w:t>vaccination</w:t>
      </w:r>
      <w:r>
        <w:rPr>
          <w:rFonts w:cstheme="minorHAnsi"/>
          <w:lang w:val="en-US"/>
        </w:rPr>
        <w:t>.</w:t>
      </w:r>
      <w:r w:rsidR="00A133E8">
        <w:rPr>
          <w:rFonts w:cstheme="minorHAnsi"/>
          <w:lang w:val="en-US"/>
        </w:rPr>
        <w:t xml:space="preserve"> </w:t>
      </w:r>
      <w:r w:rsidR="00125C3F">
        <w:rPr>
          <w:rFonts w:cstheme="minorHAnsi"/>
          <w:lang w:val="en-US"/>
        </w:rPr>
        <w:t>I</w:t>
      </w:r>
      <w:r w:rsidR="00A133E8">
        <w:rPr>
          <w:rFonts w:cstheme="minorHAnsi"/>
          <w:lang w:val="en-US"/>
        </w:rPr>
        <w:t xml:space="preserve">nclusion criteria included </w:t>
      </w:r>
      <w:r w:rsidR="001F7DE9">
        <w:rPr>
          <w:rFonts w:cstheme="minorHAnsi"/>
          <w:lang w:val="en-US"/>
        </w:rPr>
        <w:t>H</w:t>
      </w:r>
      <w:r w:rsidR="001F7DE9" w:rsidRPr="00BC4F95">
        <w:rPr>
          <w:rFonts w:cstheme="minorHAnsi"/>
          <w:lang w:val="en-US"/>
        </w:rPr>
        <w:t>LA</w:t>
      </w:r>
      <w:r w:rsidR="001F7DE9">
        <w:rPr>
          <w:rFonts w:cstheme="minorHAnsi"/>
          <w:lang w:val="en-US"/>
        </w:rPr>
        <w:t>-A*02:01-</w:t>
      </w:r>
      <w:r w:rsidR="00A133E8">
        <w:rPr>
          <w:rFonts w:cstheme="minorHAnsi"/>
          <w:lang w:val="en-US"/>
        </w:rPr>
        <w:t xml:space="preserve">positivity, </w:t>
      </w:r>
      <w:r w:rsidR="001F7DE9" w:rsidRPr="00BC4F95">
        <w:rPr>
          <w:rFonts w:cstheme="minorHAnsi"/>
          <w:lang w:val="en-US"/>
        </w:rPr>
        <w:t xml:space="preserve"> </w:t>
      </w:r>
      <w:r w:rsidR="003C39E0">
        <w:rPr>
          <w:rFonts w:cstheme="minorHAnsi"/>
          <w:lang w:val="en-US"/>
        </w:rPr>
        <w:t>interval since local treatment</w:t>
      </w:r>
      <w:r w:rsidR="00B5040E" w:rsidRPr="00B5040E">
        <w:rPr>
          <w:rFonts w:cstheme="minorHAnsi"/>
          <w:lang w:val="en-US"/>
        </w:rPr>
        <w:t>&lt;12 months</w:t>
      </w:r>
      <w:r w:rsidR="00B5040E">
        <w:rPr>
          <w:rFonts w:cstheme="minorHAnsi"/>
          <w:lang w:val="en-US"/>
        </w:rPr>
        <w:t>,</w:t>
      </w:r>
      <w:r w:rsidR="00B5040E" w:rsidRPr="00B5040E">
        <w:rPr>
          <w:rFonts w:cstheme="minorHAnsi"/>
          <w:lang w:val="en-US"/>
        </w:rPr>
        <w:t xml:space="preserve"> </w:t>
      </w:r>
      <w:r w:rsidR="001F7DE9">
        <w:rPr>
          <w:rFonts w:cstheme="minorHAnsi"/>
          <w:lang w:val="en-US"/>
        </w:rPr>
        <w:t>and age 18-75 years</w:t>
      </w:r>
      <w:r w:rsidR="001B4411" w:rsidRPr="00BC4F95">
        <w:rPr>
          <w:rFonts w:cstheme="minorHAnsi"/>
          <w:lang w:val="en-US"/>
        </w:rPr>
        <w:t xml:space="preserve">. </w:t>
      </w:r>
      <w:r w:rsidR="00260847" w:rsidRPr="00BC4F95">
        <w:rPr>
          <w:rFonts w:cstheme="minorHAnsi"/>
          <w:lang w:val="en-US"/>
        </w:rPr>
        <w:t xml:space="preserve">Patients with distant metastases were excluded. </w:t>
      </w:r>
      <w:r w:rsidR="001F7DE9">
        <w:rPr>
          <w:rFonts w:cstheme="minorHAnsi"/>
          <w:lang w:val="en-US"/>
        </w:rPr>
        <w:t>P</w:t>
      </w:r>
      <w:r w:rsidR="00A133E8">
        <w:rPr>
          <w:rFonts w:cstheme="minorHAnsi"/>
          <w:lang w:val="en-US"/>
        </w:rPr>
        <w:t xml:space="preserve">atients received </w:t>
      </w:r>
      <w:r w:rsidR="003C39E0">
        <w:rPr>
          <w:rFonts w:cstheme="minorHAnsi"/>
          <w:lang w:val="en-US"/>
        </w:rPr>
        <w:t xml:space="preserve">autologous, </w:t>
      </w:r>
      <w:r w:rsidR="00125C3F">
        <w:rPr>
          <w:rFonts w:cstheme="minorHAnsi"/>
          <w:lang w:val="en-US"/>
        </w:rPr>
        <w:t xml:space="preserve">monocyte-derived </w:t>
      </w:r>
      <w:r w:rsidR="00DE22F4" w:rsidRPr="00BC4F95">
        <w:rPr>
          <w:rFonts w:cstheme="minorHAnsi"/>
          <w:lang w:val="en-US"/>
        </w:rPr>
        <w:t>DC transfected with mRNA encoding the tumor-antigens gp100 and tyrosinase</w:t>
      </w:r>
      <w:r w:rsidR="0074006A" w:rsidRPr="0074006A">
        <w:rPr>
          <w:rFonts w:cstheme="minorHAnsi"/>
          <w:lang w:val="en-US"/>
        </w:rPr>
        <w:t xml:space="preserve"> </w:t>
      </w:r>
      <w:r w:rsidR="0074006A" w:rsidRPr="00BC4F95">
        <w:rPr>
          <w:rFonts w:cstheme="minorHAnsi"/>
          <w:lang w:val="en-US"/>
        </w:rPr>
        <w:t>according to a sch</w:t>
      </w:r>
      <w:r w:rsidR="00056053">
        <w:rPr>
          <w:rFonts w:cstheme="minorHAnsi"/>
          <w:lang w:val="en-US"/>
        </w:rPr>
        <w:t xml:space="preserve">edule of 3 biweekly </w:t>
      </w:r>
      <w:r w:rsidR="00056053">
        <w:rPr>
          <w:rFonts w:cstheme="minorHAnsi"/>
          <w:lang w:val="en-US"/>
        </w:rPr>
        <w:lastRenderedPageBreak/>
        <w:t xml:space="preserve">intradermal and </w:t>
      </w:r>
      <w:r w:rsidR="0074006A" w:rsidRPr="00BC4F95">
        <w:rPr>
          <w:rFonts w:cstheme="minorHAnsi"/>
          <w:lang w:val="en-US"/>
        </w:rPr>
        <w:t>intravenous vaccinations</w:t>
      </w:r>
      <w:r w:rsidR="00CE29A1">
        <w:rPr>
          <w:rFonts w:cstheme="minorHAnsi"/>
          <w:lang w:val="en-US"/>
        </w:rPr>
        <w:t>.</w:t>
      </w:r>
      <w:r w:rsidR="007E7CF6">
        <w:rPr>
          <w:rFonts w:cstheme="minorHAnsi"/>
          <w:lang w:val="en-US"/>
        </w:rPr>
        <w:t xml:space="preserve"> </w:t>
      </w:r>
      <w:r w:rsidR="0074006A" w:rsidRPr="00BC4F95">
        <w:rPr>
          <w:rFonts w:cstheme="minorHAnsi"/>
          <w:lang w:val="en-US"/>
        </w:rPr>
        <w:t xml:space="preserve">In </w:t>
      </w:r>
      <w:r w:rsidR="0074006A">
        <w:rPr>
          <w:rFonts w:cstheme="minorHAnsi"/>
          <w:lang w:val="en-US"/>
        </w:rPr>
        <w:t xml:space="preserve">the </w:t>
      </w:r>
      <w:r w:rsidR="0074006A" w:rsidRPr="00BC4F95">
        <w:rPr>
          <w:rFonts w:cstheme="minorHAnsi"/>
          <w:lang w:val="en-US"/>
        </w:rPr>
        <w:t xml:space="preserve">absence of disease recurrence, patients received a maximum of two maintenance cycles at </w:t>
      </w:r>
      <w:r w:rsidR="0074006A" w:rsidRPr="000D1036">
        <w:rPr>
          <w:rFonts w:cstheme="minorHAnsi"/>
          <w:lang w:val="en-US"/>
        </w:rPr>
        <w:t>6-month intervals</w:t>
      </w:r>
      <w:r w:rsidR="0074006A" w:rsidRPr="00BC4F95">
        <w:rPr>
          <w:rFonts w:cstheme="minorHAnsi"/>
          <w:lang w:val="en-US"/>
        </w:rPr>
        <w:t xml:space="preserve">. </w:t>
      </w:r>
      <w:r w:rsidR="00F96F7B">
        <w:rPr>
          <w:rFonts w:cstheme="minorHAnsi"/>
          <w:lang w:val="en-US"/>
        </w:rPr>
        <w:t>Ethics Committee approval was obtained</w:t>
      </w:r>
      <w:r w:rsidR="001B4411" w:rsidRPr="00BC4F95">
        <w:rPr>
          <w:rFonts w:cstheme="minorHAnsi"/>
          <w:lang w:val="en-US"/>
        </w:rPr>
        <w:t xml:space="preserve"> and written informed consent was obtained from all patients</w:t>
      </w:r>
      <w:r w:rsidR="001F7DE9">
        <w:rPr>
          <w:rFonts w:cstheme="minorHAnsi"/>
          <w:lang w:val="en-US"/>
        </w:rPr>
        <w:t xml:space="preserve"> (</w:t>
      </w:r>
      <w:r w:rsidR="004B7E60" w:rsidRPr="00BC4F95">
        <w:rPr>
          <w:rFonts w:cstheme="minorHAnsi"/>
          <w:lang w:val="en-US"/>
        </w:rPr>
        <w:t>NCT00929019</w:t>
      </w:r>
      <w:r w:rsidR="001F7DE9">
        <w:rPr>
          <w:rFonts w:cstheme="minorHAnsi"/>
          <w:lang w:val="en-US"/>
        </w:rPr>
        <w:t>)</w:t>
      </w:r>
      <w:r w:rsidR="004B7E60" w:rsidRPr="00BC4F95">
        <w:rPr>
          <w:rFonts w:cstheme="minorHAnsi"/>
          <w:lang w:val="en-US"/>
        </w:rPr>
        <w:t>.</w:t>
      </w:r>
      <w:r w:rsidR="006D14DE">
        <w:rPr>
          <w:rFonts w:cstheme="minorHAnsi"/>
          <w:lang w:val="en-US"/>
        </w:rPr>
        <w:t xml:space="preserve"> </w:t>
      </w:r>
      <w:r w:rsidR="00A133E8">
        <w:rPr>
          <w:rFonts w:cstheme="minorHAnsi"/>
          <w:lang w:val="en-US"/>
        </w:rPr>
        <w:t>Due</w:t>
      </w:r>
      <w:r w:rsidR="006D14DE">
        <w:rPr>
          <w:rFonts w:cstheme="minorHAnsi"/>
          <w:lang w:val="en-US"/>
        </w:rPr>
        <w:t xml:space="preserve"> to low accrual rates, mainly caused by the rarity of the tumor, older age at diagnosis</w:t>
      </w:r>
      <w:r w:rsidR="006176B5">
        <w:rPr>
          <w:rFonts w:cstheme="minorHAnsi"/>
          <w:lang w:val="en-US"/>
        </w:rPr>
        <w:t>,</w:t>
      </w:r>
      <w:r w:rsidR="006D14DE">
        <w:rPr>
          <w:rFonts w:cstheme="minorHAnsi"/>
          <w:lang w:val="en-US"/>
        </w:rPr>
        <w:t xml:space="preserve"> </w:t>
      </w:r>
      <w:r w:rsidR="004A7544">
        <w:rPr>
          <w:rFonts w:cstheme="minorHAnsi"/>
          <w:lang w:val="en-US"/>
        </w:rPr>
        <w:t xml:space="preserve">HLA restriction, </w:t>
      </w:r>
      <w:r w:rsidR="006D14DE">
        <w:rPr>
          <w:rFonts w:cstheme="minorHAnsi"/>
          <w:lang w:val="en-US"/>
        </w:rPr>
        <w:t>and the increase of eye-conserving treatments interfering with the availability of tumor material for genetic testing, the trial was stopped prematurely.</w:t>
      </w:r>
      <w:r w:rsidR="00A133E8">
        <w:rPr>
          <w:rFonts w:cstheme="minorHAnsi"/>
          <w:lang w:val="en-US"/>
        </w:rPr>
        <w:t xml:space="preserve"> </w:t>
      </w:r>
      <w:r w:rsidR="00A133E8">
        <w:rPr>
          <w:rFonts w:cstheme="minorHAnsi"/>
          <w:lang w:val="en-GB"/>
        </w:rPr>
        <w:t>Still, 23</w:t>
      </w:r>
      <w:r w:rsidR="00110E27" w:rsidRPr="007200F5">
        <w:rPr>
          <w:rFonts w:cstheme="minorHAnsi"/>
          <w:lang w:val="en-GB"/>
        </w:rPr>
        <w:t xml:space="preserve"> patients received </w:t>
      </w:r>
      <w:r w:rsidR="0074006A" w:rsidRPr="007200F5">
        <w:rPr>
          <w:rFonts w:cstheme="minorHAnsi"/>
          <w:lang w:val="en-GB"/>
        </w:rPr>
        <w:t>at least one cycle</w:t>
      </w:r>
      <w:r w:rsidR="0074006A">
        <w:rPr>
          <w:rFonts w:cstheme="minorHAnsi"/>
          <w:lang w:val="en-GB"/>
        </w:rPr>
        <w:t xml:space="preserve"> of</w:t>
      </w:r>
      <w:r w:rsidR="0074006A" w:rsidRPr="007200F5">
        <w:rPr>
          <w:rFonts w:cstheme="minorHAnsi"/>
          <w:lang w:val="en-GB"/>
        </w:rPr>
        <w:t xml:space="preserve"> </w:t>
      </w:r>
      <w:r w:rsidR="0074006A" w:rsidRPr="00BC4F95">
        <w:rPr>
          <w:rFonts w:cstheme="minorHAnsi"/>
          <w:lang w:val="en-GB"/>
        </w:rPr>
        <w:t xml:space="preserve">adjuvant DC vaccination </w:t>
      </w:r>
      <w:r w:rsidR="00110E27" w:rsidRPr="007200F5">
        <w:rPr>
          <w:rFonts w:cstheme="minorHAnsi"/>
          <w:lang w:val="en-GB"/>
        </w:rPr>
        <w:t>and were considered evaluable</w:t>
      </w:r>
      <w:r w:rsidR="00056053">
        <w:rPr>
          <w:rFonts w:cstheme="minorHAnsi"/>
          <w:lang w:val="en-GB"/>
        </w:rPr>
        <w:t>;</w:t>
      </w:r>
      <w:r w:rsidR="00110E27" w:rsidRPr="007200F5">
        <w:rPr>
          <w:rFonts w:cstheme="minorHAnsi"/>
          <w:lang w:val="en-GB"/>
        </w:rPr>
        <w:t xml:space="preserve"> </w:t>
      </w:r>
      <w:r w:rsidR="00110E27" w:rsidRPr="005020D9">
        <w:rPr>
          <w:rFonts w:cstheme="minorHAnsi"/>
          <w:lang w:val="en-US"/>
        </w:rPr>
        <w:t>1</w:t>
      </w:r>
      <w:r w:rsidR="005020D9" w:rsidRPr="005020D9">
        <w:rPr>
          <w:rFonts w:cstheme="minorHAnsi"/>
          <w:lang w:val="en-US"/>
        </w:rPr>
        <w:t>8</w:t>
      </w:r>
      <w:r w:rsidR="00110E27" w:rsidRPr="005020D9">
        <w:rPr>
          <w:rFonts w:cstheme="minorHAnsi"/>
          <w:lang w:val="en-US"/>
        </w:rPr>
        <w:t xml:space="preserve"> patients completed all 3 cycles of vaccinat</w:t>
      </w:r>
      <w:r w:rsidR="0074006A" w:rsidRPr="005020D9">
        <w:rPr>
          <w:rFonts w:cstheme="minorHAnsi"/>
          <w:lang w:val="en-US"/>
        </w:rPr>
        <w:t>ions</w:t>
      </w:r>
      <w:r w:rsidR="00110E27" w:rsidRPr="005020D9">
        <w:rPr>
          <w:rFonts w:cstheme="minorHAnsi"/>
          <w:lang w:val="en-GB"/>
        </w:rPr>
        <w:t>.</w:t>
      </w:r>
      <w:r w:rsidR="00110E27" w:rsidRPr="007200F5">
        <w:rPr>
          <w:rFonts w:cstheme="minorHAnsi"/>
          <w:lang w:val="en-GB"/>
        </w:rPr>
        <w:t xml:space="preserve"> </w:t>
      </w:r>
      <w:r w:rsidR="00866268" w:rsidRPr="004D1EF0">
        <w:rPr>
          <w:rFonts w:cstheme="minorHAnsi"/>
          <w:lang w:val="en-GB"/>
        </w:rPr>
        <w:t>Baseline</w:t>
      </w:r>
      <w:r w:rsidR="00CC7020" w:rsidRPr="004D1EF0">
        <w:rPr>
          <w:rFonts w:cstheme="minorHAnsi"/>
          <w:lang w:val="en-GB"/>
        </w:rPr>
        <w:t xml:space="preserve"> characteristics are shown in </w:t>
      </w:r>
      <w:r w:rsidR="004D1EF0" w:rsidRPr="002D574C">
        <w:rPr>
          <w:rFonts w:cstheme="minorHAnsi"/>
          <w:lang w:val="en-GB"/>
        </w:rPr>
        <w:t xml:space="preserve">Supplementary </w:t>
      </w:r>
      <w:r w:rsidR="00CC7020" w:rsidRPr="002D574C">
        <w:rPr>
          <w:rFonts w:cstheme="minorHAnsi"/>
          <w:lang w:val="en-GB"/>
        </w:rPr>
        <w:t>Table 1</w:t>
      </w:r>
      <w:r w:rsidR="00F27514">
        <w:rPr>
          <w:rFonts w:cstheme="minorHAnsi"/>
          <w:lang w:val="en-GB"/>
        </w:rPr>
        <w:t xml:space="preserve"> (</w:t>
      </w:r>
      <w:r w:rsidR="00F27514" w:rsidRPr="00F27514">
        <w:rPr>
          <w:lang w:val="en-US"/>
        </w:rPr>
        <w:t xml:space="preserve">available at </w:t>
      </w:r>
      <w:r w:rsidR="00F27514" w:rsidRPr="001D57F4">
        <w:rPr>
          <w:lang w:val="en-US"/>
        </w:rPr>
        <w:t>http://aaojournal.org</w:t>
      </w:r>
      <w:r w:rsidR="00F27514" w:rsidRPr="00F27514">
        <w:rPr>
          <w:lang w:val="en-US"/>
        </w:rPr>
        <w:t>)</w:t>
      </w:r>
      <w:r w:rsidR="00F27514" w:rsidRPr="00F21B68">
        <w:rPr>
          <w:rFonts w:eastAsia="Times" w:cstheme="minorHAnsi"/>
          <w:color w:val="231F20"/>
          <w:lang w:val="en-US"/>
        </w:rPr>
        <w:t>.</w:t>
      </w:r>
      <w:r w:rsidR="00CC7020" w:rsidRPr="002D574C">
        <w:rPr>
          <w:rFonts w:cstheme="minorHAnsi"/>
          <w:lang w:val="en-GB"/>
        </w:rPr>
        <w:t>.</w:t>
      </w:r>
      <w:r w:rsidR="00CC7020" w:rsidRPr="004D1EF0">
        <w:rPr>
          <w:rFonts w:cstheme="minorHAnsi"/>
          <w:lang w:val="en-GB"/>
        </w:rPr>
        <w:t xml:space="preserve"> </w:t>
      </w:r>
      <w:r w:rsidR="00125C3F" w:rsidRPr="00E91E84">
        <w:rPr>
          <w:rFonts w:cstheme="minorHAnsi"/>
          <w:lang w:val="en-US"/>
        </w:rPr>
        <w:t xml:space="preserve">DC vaccinations were well tolerated. </w:t>
      </w:r>
      <w:r w:rsidR="00125C3F" w:rsidRPr="008375C7">
        <w:rPr>
          <w:rFonts w:cstheme="minorHAnsi"/>
          <w:lang w:val="en-US"/>
        </w:rPr>
        <w:t>Side effects associated with DC vaccination were transient flu-like symptoms in 91% of patients, and erythema at the site o</w:t>
      </w:r>
      <w:r w:rsidR="00E70883">
        <w:rPr>
          <w:rFonts w:cstheme="minorHAnsi"/>
          <w:lang w:val="en-US"/>
        </w:rPr>
        <w:t>f injection in 87% of patients</w:t>
      </w:r>
      <w:r w:rsidR="00125C3F" w:rsidRPr="008375C7">
        <w:rPr>
          <w:rFonts w:cstheme="minorHAnsi"/>
          <w:lang w:val="en-US"/>
        </w:rPr>
        <w:t>. Vitiligo occurred in one patient. No treatment related grade 3 or 4 toxicity was observed.</w:t>
      </w:r>
      <w:r w:rsidR="00125C3F" w:rsidRPr="00BC4F95">
        <w:rPr>
          <w:rFonts w:cstheme="minorHAnsi"/>
          <w:lang w:val="en-US"/>
        </w:rPr>
        <w:t xml:space="preserve"> </w:t>
      </w:r>
    </w:p>
    <w:p w:rsidR="00110E27" w:rsidRPr="00E1327B" w:rsidRDefault="00592272" w:rsidP="00E201F5">
      <w:pPr>
        <w:spacing w:after="0" w:line="480" w:lineRule="auto"/>
        <w:rPr>
          <w:rFonts w:cstheme="minorHAnsi"/>
          <w:lang w:val="en-GB"/>
        </w:rPr>
      </w:pPr>
      <w:r w:rsidRPr="00BC4F95">
        <w:rPr>
          <w:rFonts w:cstheme="minorHAnsi"/>
          <w:lang w:val="en-GB"/>
        </w:rPr>
        <w:t xml:space="preserve">To test the capacity of the patients in this study to generate an immune response upon vaccination, </w:t>
      </w:r>
      <w:r w:rsidR="00B87B67">
        <w:rPr>
          <w:rFonts w:cstheme="minorHAnsi"/>
          <w:lang w:val="en-GB"/>
        </w:rPr>
        <w:t>DC</w:t>
      </w:r>
      <w:r w:rsidRPr="00BC4F95">
        <w:rPr>
          <w:rFonts w:cstheme="minorHAnsi"/>
          <w:lang w:val="en-GB"/>
        </w:rPr>
        <w:t xml:space="preserve"> were loaded with </w:t>
      </w:r>
      <w:r w:rsidR="00056053">
        <w:rPr>
          <w:rFonts w:cstheme="minorHAnsi"/>
          <w:lang w:val="en-GB"/>
        </w:rPr>
        <w:t>keyhole limpet hemocyanin (</w:t>
      </w:r>
      <w:r w:rsidR="000C4254">
        <w:rPr>
          <w:rFonts w:cstheme="minorHAnsi"/>
          <w:lang w:val="en-GB"/>
        </w:rPr>
        <w:t>KLH</w:t>
      </w:r>
      <w:r w:rsidR="00056053">
        <w:rPr>
          <w:rFonts w:cstheme="minorHAnsi"/>
          <w:lang w:val="en-GB"/>
        </w:rPr>
        <w:t>)</w:t>
      </w:r>
      <w:r w:rsidR="000C4254">
        <w:rPr>
          <w:rFonts w:cstheme="minorHAnsi"/>
          <w:lang w:val="en-GB"/>
        </w:rPr>
        <w:t xml:space="preserve">, </w:t>
      </w:r>
      <w:r w:rsidRPr="00BC4F95">
        <w:rPr>
          <w:rFonts w:cstheme="minorHAnsi"/>
          <w:lang w:val="en-GB"/>
        </w:rPr>
        <w:t xml:space="preserve">a control antigen. </w:t>
      </w:r>
      <w:r w:rsidR="00933B25" w:rsidRPr="00BC4F95">
        <w:rPr>
          <w:rFonts w:cstheme="minorHAnsi"/>
          <w:lang w:val="en-GB"/>
        </w:rPr>
        <w:t>A</w:t>
      </w:r>
      <w:r w:rsidRPr="00BC4F95">
        <w:rPr>
          <w:rFonts w:cstheme="minorHAnsi"/>
          <w:lang w:val="en-GB"/>
        </w:rPr>
        <w:t xml:space="preserve">ll patients </w:t>
      </w:r>
      <w:r w:rsidR="0042232C">
        <w:rPr>
          <w:rFonts w:cstheme="minorHAnsi"/>
          <w:lang w:val="en-GB"/>
        </w:rPr>
        <w:t>tested</w:t>
      </w:r>
      <w:r w:rsidRPr="00BC4F95">
        <w:rPr>
          <w:rFonts w:cstheme="minorHAnsi"/>
          <w:lang w:val="en-GB"/>
        </w:rPr>
        <w:t xml:space="preserve"> showed a cellular response to </w:t>
      </w:r>
      <w:r w:rsidR="000C4254">
        <w:rPr>
          <w:rFonts w:cstheme="minorHAnsi"/>
          <w:lang w:val="en-GB"/>
        </w:rPr>
        <w:t>KLH</w:t>
      </w:r>
      <w:r w:rsidR="00B471AD">
        <w:rPr>
          <w:rFonts w:cstheme="minorHAnsi"/>
          <w:lang w:val="en-GB"/>
        </w:rPr>
        <w:t>, indicating</w:t>
      </w:r>
      <w:r w:rsidRPr="00BC4F95">
        <w:rPr>
          <w:rFonts w:cstheme="minorHAnsi"/>
          <w:lang w:val="en-GB"/>
        </w:rPr>
        <w:t xml:space="preserve"> that the vaccine induced de novo immune responses. </w:t>
      </w:r>
      <w:r w:rsidR="00C16176" w:rsidRPr="00BC4F95">
        <w:rPr>
          <w:rFonts w:cstheme="minorHAnsi"/>
          <w:lang w:val="en-GB"/>
        </w:rPr>
        <w:t>Previously, we sh</w:t>
      </w:r>
      <w:r w:rsidR="00A93772">
        <w:rPr>
          <w:rFonts w:cstheme="minorHAnsi"/>
          <w:lang w:val="en-GB"/>
        </w:rPr>
        <w:t>owed that the presence of tumor</w:t>
      </w:r>
      <w:r w:rsidR="00C16176" w:rsidRPr="00BC4F95">
        <w:rPr>
          <w:rFonts w:cstheme="minorHAnsi"/>
          <w:lang w:val="en-GB"/>
        </w:rPr>
        <w:t xml:space="preserve">-specific T cells in cultures of </w:t>
      </w:r>
      <w:r w:rsidR="00A93772">
        <w:rPr>
          <w:rFonts w:cstheme="minorHAnsi"/>
          <w:lang w:val="en-GB"/>
        </w:rPr>
        <w:t xml:space="preserve">skin-test infiltrating lymphocytes </w:t>
      </w:r>
      <w:r w:rsidR="00C16176" w:rsidRPr="00BC4F95">
        <w:rPr>
          <w:rFonts w:cstheme="minorHAnsi"/>
          <w:lang w:val="en-GB"/>
        </w:rPr>
        <w:t xml:space="preserve">positively correlated with clinical outcome in </w:t>
      </w:r>
      <w:r w:rsidR="00A06809" w:rsidRPr="00BC4F95">
        <w:rPr>
          <w:rFonts w:cstheme="minorHAnsi"/>
          <w:lang w:val="en-GB"/>
        </w:rPr>
        <w:t>metastatic</w:t>
      </w:r>
      <w:r w:rsidR="00C16176" w:rsidRPr="00BC4F95">
        <w:rPr>
          <w:rFonts w:cstheme="minorHAnsi"/>
          <w:lang w:val="en-GB"/>
        </w:rPr>
        <w:t xml:space="preserve"> </w:t>
      </w:r>
      <w:r w:rsidR="00A06809" w:rsidRPr="00BC4F95">
        <w:rPr>
          <w:rFonts w:cstheme="minorHAnsi"/>
          <w:lang w:val="en-GB"/>
        </w:rPr>
        <w:t xml:space="preserve">cutaneous </w:t>
      </w:r>
      <w:r w:rsidR="00C16176" w:rsidRPr="00BC4F95">
        <w:rPr>
          <w:rFonts w:cstheme="minorHAnsi"/>
          <w:lang w:val="en-GB"/>
        </w:rPr>
        <w:t xml:space="preserve">melanoma patients. </w:t>
      </w:r>
      <w:r w:rsidR="00A93772">
        <w:rPr>
          <w:rFonts w:cstheme="minorHAnsi"/>
          <w:lang w:val="en-GB"/>
        </w:rPr>
        <w:t xml:space="preserve">Therefore, skin tests </w:t>
      </w:r>
      <w:r w:rsidR="007918C3" w:rsidRPr="00E1327B">
        <w:rPr>
          <w:rFonts w:cstheme="minorHAnsi"/>
          <w:lang w:val="en-US"/>
        </w:rPr>
        <w:t>were performed after each vaccination cycle</w:t>
      </w:r>
      <w:r w:rsidR="00400F1A" w:rsidRPr="00E1327B">
        <w:rPr>
          <w:rFonts w:cstheme="minorHAnsi"/>
          <w:lang w:val="en-GB"/>
        </w:rPr>
        <w:t xml:space="preserve"> and</w:t>
      </w:r>
      <w:r w:rsidR="00A93772" w:rsidRPr="00E1327B">
        <w:rPr>
          <w:rFonts w:cstheme="minorHAnsi"/>
          <w:lang w:val="en-GB"/>
        </w:rPr>
        <w:t xml:space="preserve"> the presence and </w:t>
      </w:r>
      <w:r w:rsidR="00400F1A" w:rsidRPr="00E1327B">
        <w:rPr>
          <w:rFonts w:cstheme="minorHAnsi"/>
          <w:lang w:val="en-GB"/>
        </w:rPr>
        <w:t xml:space="preserve"> functional</w:t>
      </w:r>
      <w:r w:rsidR="00A93772" w:rsidRPr="00E1327B">
        <w:rPr>
          <w:rFonts w:cstheme="minorHAnsi"/>
          <w:lang w:val="en-GB"/>
        </w:rPr>
        <w:t>ity of</w:t>
      </w:r>
      <w:r w:rsidR="00400F1A" w:rsidRPr="00E1327B">
        <w:rPr>
          <w:rFonts w:cstheme="minorHAnsi"/>
          <w:lang w:val="en-GB"/>
        </w:rPr>
        <w:t xml:space="preserve"> </w:t>
      </w:r>
      <w:r w:rsidR="00A93772" w:rsidRPr="00E1327B">
        <w:rPr>
          <w:rFonts w:cstheme="minorHAnsi"/>
          <w:lang w:val="en-GB"/>
        </w:rPr>
        <w:t>tumor</w:t>
      </w:r>
      <w:r w:rsidR="00400F1A" w:rsidRPr="00E1327B">
        <w:rPr>
          <w:rFonts w:cstheme="minorHAnsi"/>
          <w:lang w:val="en-GB"/>
        </w:rPr>
        <w:t>-</w:t>
      </w:r>
      <w:r w:rsidR="00A93772" w:rsidRPr="00E1327B">
        <w:rPr>
          <w:rFonts w:cstheme="minorHAnsi"/>
          <w:lang w:val="en-GB"/>
        </w:rPr>
        <w:t>specific T cells induced by DC vaccination was analyzed</w:t>
      </w:r>
      <w:r w:rsidR="00400F1A" w:rsidRPr="00E1327B">
        <w:rPr>
          <w:rFonts w:cstheme="minorHAnsi"/>
          <w:lang w:val="en-GB"/>
        </w:rPr>
        <w:t>.</w:t>
      </w:r>
      <w:r w:rsidR="00C16176" w:rsidRPr="00E1327B">
        <w:rPr>
          <w:rFonts w:cstheme="minorHAnsi"/>
          <w:lang w:val="en-GB"/>
        </w:rPr>
        <w:t xml:space="preserve"> </w:t>
      </w:r>
      <w:r w:rsidR="00400F1A" w:rsidRPr="00E1327B">
        <w:rPr>
          <w:rFonts w:cstheme="minorHAnsi"/>
          <w:lang w:val="en-GB"/>
        </w:rPr>
        <w:t>Tumor-specific T cells</w:t>
      </w:r>
      <w:r w:rsidR="00400F1A" w:rsidRPr="00E1327B">
        <w:rPr>
          <w:rFonts w:cstheme="minorHAnsi"/>
          <w:lang w:val="en-US"/>
        </w:rPr>
        <w:t xml:space="preserve"> in </w:t>
      </w:r>
      <w:r w:rsidR="00400F1A" w:rsidRPr="00E1327B">
        <w:rPr>
          <w:rFonts w:cstheme="minorHAnsi"/>
          <w:lang w:val="en-GB"/>
        </w:rPr>
        <w:t>the skin tests</w:t>
      </w:r>
      <w:r w:rsidR="003169EB" w:rsidRPr="00E1327B">
        <w:rPr>
          <w:rFonts w:cstheme="minorHAnsi"/>
          <w:lang w:val="en-GB"/>
        </w:rPr>
        <w:t xml:space="preserve"> </w:t>
      </w:r>
      <w:r w:rsidR="00B97942" w:rsidRPr="00E1327B">
        <w:rPr>
          <w:rFonts w:cstheme="minorHAnsi"/>
          <w:lang w:val="en-US"/>
        </w:rPr>
        <w:t xml:space="preserve">were </w:t>
      </w:r>
      <w:r w:rsidR="00400F1A" w:rsidRPr="00E1327B">
        <w:rPr>
          <w:rFonts w:cstheme="minorHAnsi"/>
          <w:lang w:val="en-US"/>
        </w:rPr>
        <w:t>present</w:t>
      </w:r>
      <w:r w:rsidR="00B97942" w:rsidRPr="00E1327B">
        <w:rPr>
          <w:rFonts w:cstheme="minorHAnsi"/>
          <w:lang w:val="en-US"/>
        </w:rPr>
        <w:t xml:space="preserve"> </w:t>
      </w:r>
      <w:r w:rsidRPr="00E1327B">
        <w:rPr>
          <w:rFonts w:cstheme="minorHAnsi"/>
          <w:lang w:val="en-GB"/>
        </w:rPr>
        <w:t xml:space="preserve">in </w:t>
      </w:r>
      <w:r w:rsidR="000A0E1E" w:rsidRPr="00E1327B">
        <w:rPr>
          <w:rFonts w:cstheme="minorHAnsi"/>
          <w:lang w:val="en-GB"/>
        </w:rPr>
        <w:t>17</w:t>
      </w:r>
      <w:r w:rsidR="00B97942" w:rsidRPr="00E1327B">
        <w:rPr>
          <w:rFonts w:cstheme="minorHAnsi"/>
          <w:lang w:val="en-GB"/>
        </w:rPr>
        <w:t xml:space="preserve"> </w:t>
      </w:r>
      <w:r w:rsidR="006C4A9D" w:rsidRPr="00E1327B">
        <w:rPr>
          <w:rFonts w:cstheme="minorHAnsi"/>
          <w:lang w:val="en-GB"/>
        </w:rPr>
        <w:t>patients (</w:t>
      </w:r>
      <w:r w:rsidR="00DA69C4" w:rsidRPr="00E1327B">
        <w:rPr>
          <w:rFonts w:cstheme="minorHAnsi"/>
          <w:lang w:val="en-GB"/>
        </w:rPr>
        <w:t>7</w:t>
      </w:r>
      <w:r w:rsidR="00704B87" w:rsidRPr="00E1327B">
        <w:rPr>
          <w:rFonts w:cstheme="minorHAnsi"/>
          <w:lang w:val="en-GB"/>
        </w:rPr>
        <w:t>4</w:t>
      </w:r>
      <w:r w:rsidR="00B97942" w:rsidRPr="00E1327B">
        <w:rPr>
          <w:rFonts w:cstheme="minorHAnsi"/>
          <w:lang w:val="en-GB"/>
        </w:rPr>
        <w:t>%</w:t>
      </w:r>
      <w:r w:rsidR="00125C3F" w:rsidRPr="00E1327B">
        <w:rPr>
          <w:rFonts w:cstheme="minorHAnsi"/>
          <w:lang w:val="en-GB"/>
        </w:rPr>
        <w:t xml:space="preserve">), </w:t>
      </w:r>
      <w:r w:rsidR="00110E27" w:rsidRPr="00E1327B">
        <w:rPr>
          <w:rFonts w:cstheme="minorHAnsi"/>
          <w:lang w:val="en-US"/>
        </w:rPr>
        <w:t>demonstrating the effectiveness of these type of vaccines. Our previous findings in metastatic UM patien</w:t>
      </w:r>
      <w:r w:rsidR="004A7544">
        <w:rPr>
          <w:rFonts w:cstheme="minorHAnsi"/>
          <w:lang w:val="en-US"/>
        </w:rPr>
        <w:t>ts</w:t>
      </w:r>
      <w:r w:rsidR="00125C3F" w:rsidRPr="00E1327B">
        <w:rPr>
          <w:rFonts w:cstheme="minorHAnsi"/>
          <w:lang w:val="en-US"/>
        </w:rPr>
        <w:t xml:space="preserve"> showed a lower tumor</w:t>
      </w:r>
      <w:r w:rsidR="00110E27" w:rsidRPr="00E1327B">
        <w:rPr>
          <w:rFonts w:cstheme="minorHAnsi"/>
          <w:lang w:val="en-US"/>
        </w:rPr>
        <w:t>-specific immunologic response rate, as only 29% of meta</w:t>
      </w:r>
      <w:r w:rsidR="00125C3F" w:rsidRPr="00E1327B">
        <w:rPr>
          <w:rFonts w:cstheme="minorHAnsi"/>
          <w:lang w:val="en-US"/>
        </w:rPr>
        <w:t>static UM patients showed tumor</w:t>
      </w:r>
      <w:r w:rsidR="00110E27" w:rsidRPr="00E1327B">
        <w:rPr>
          <w:rFonts w:cstheme="minorHAnsi"/>
          <w:lang w:val="en-US"/>
        </w:rPr>
        <w:t>-specific CD8+ T cells after DC vaccination</w:t>
      </w:r>
      <w:r w:rsidR="00110E27" w:rsidRPr="00B93C7B">
        <w:rPr>
          <w:rFonts w:cstheme="minorHAnsi"/>
          <w:lang w:val="en-US"/>
        </w:rPr>
        <w:t xml:space="preserve">. </w:t>
      </w:r>
      <w:r w:rsidR="009942A0" w:rsidRPr="00B93C7B">
        <w:rPr>
          <w:rFonts w:cstheme="minorHAnsi"/>
          <w:lang w:val="en-US"/>
        </w:rPr>
        <w:t xml:space="preserve">Even if we only take the first skin test into account, the difference remains </w:t>
      </w:r>
      <w:r w:rsidR="00B93C7B" w:rsidRPr="00B93C7B">
        <w:rPr>
          <w:rFonts w:cstheme="minorHAnsi"/>
          <w:lang w:val="en-US"/>
        </w:rPr>
        <w:t>remarkable</w:t>
      </w:r>
      <w:r w:rsidR="009942A0" w:rsidRPr="00B93C7B">
        <w:rPr>
          <w:rFonts w:cstheme="minorHAnsi"/>
          <w:lang w:val="en-US"/>
        </w:rPr>
        <w:t>.</w:t>
      </w:r>
      <w:r w:rsidR="009942A0">
        <w:rPr>
          <w:rFonts w:cstheme="minorHAnsi"/>
          <w:lang w:val="en-US"/>
        </w:rPr>
        <w:t xml:space="preserve"> </w:t>
      </w:r>
      <w:r w:rsidR="003169EB" w:rsidRPr="00E1327B">
        <w:rPr>
          <w:rFonts w:cstheme="minorHAnsi"/>
          <w:lang w:val="en-US"/>
        </w:rPr>
        <w:t xml:space="preserve">We observed similar </w:t>
      </w:r>
      <w:r w:rsidR="00C83239">
        <w:rPr>
          <w:rFonts w:cstheme="minorHAnsi"/>
          <w:lang w:val="en-US"/>
        </w:rPr>
        <w:t xml:space="preserve">differences </w:t>
      </w:r>
      <w:r w:rsidR="00110E27" w:rsidRPr="00E1327B">
        <w:rPr>
          <w:rFonts w:cstheme="minorHAnsi"/>
          <w:lang w:val="en-US"/>
        </w:rPr>
        <w:t xml:space="preserve">in </w:t>
      </w:r>
      <w:r w:rsidR="003169EB" w:rsidRPr="00E1327B">
        <w:rPr>
          <w:rFonts w:cstheme="minorHAnsi"/>
          <w:lang w:val="en-US"/>
        </w:rPr>
        <w:t xml:space="preserve">the </w:t>
      </w:r>
      <w:r w:rsidR="00C83239">
        <w:rPr>
          <w:rFonts w:cstheme="minorHAnsi"/>
          <w:lang w:val="en-US"/>
        </w:rPr>
        <w:t xml:space="preserve">rates of </w:t>
      </w:r>
      <w:r w:rsidR="00C83239" w:rsidRPr="00E1327B">
        <w:rPr>
          <w:rFonts w:cstheme="minorHAnsi"/>
          <w:lang w:val="en-US"/>
        </w:rPr>
        <w:t>cutaneous melanoma</w:t>
      </w:r>
      <w:r w:rsidR="00C83239">
        <w:rPr>
          <w:rFonts w:cstheme="minorHAnsi"/>
          <w:lang w:val="en-US"/>
        </w:rPr>
        <w:t xml:space="preserve"> patients in the</w:t>
      </w:r>
      <w:r w:rsidR="00C83239" w:rsidRPr="00E1327B">
        <w:rPr>
          <w:rFonts w:cstheme="minorHAnsi"/>
          <w:lang w:val="en-US"/>
        </w:rPr>
        <w:t xml:space="preserve"> </w:t>
      </w:r>
      <w:r w:rsidR="003169EB" w:rsidRPr="00E1327B">
        <w:rPr>
          <w:rFonts w:cstheme="minorHAnsi"/>
          <w:lang w:val="en-US"/>
        </w:rPr>
        <w:t>me</w:t>
      </w:r>
      <w:r w:rsidR="00C83239">
        <w:rPr>
          <w:rFonts w:cstheme="minorHAnsi"/>
          <w:lang w:val="en-US"/>
        </w:rPr>
        <w:t>tastatic and adjuvant setting</w:t>
      </w:r>
      <w:r w:rsidR="003E0065" w:rsidRPr="00E1327B">
        <w:rPr>
          <w:rFonts w:cstheme="minorHAnsi"/>
          <w:lang w:val="en-US"/>
        </w:rPr>
        <w:t>.</w:t>
      </w:r>
      <w:r w:rsidR="003C39E0" w:rsidRPr="003C39E0">
        <w:rPr>
          <w:rFonts w:cstheme="minorHAnsi"/>
          <w:noProof/>
          <w:vertAlign w:val="superscript"/>
          <w:lang w:val="en-US"/>
        </w:rPr>
        <w:t>3</w:t>
      </w:r>
      <w:r w:rsidR="003E0065" w:rsidRPr="00E1327B">
        <w:rPr>
          <w:rFonts w:cstheme="minorHAnsi"/>
          <w:lang w:val="en-US"/>
        </w:rPr>
        <w:t xml:space="preserve"> </w:t>
      </w:r>
      <w:r w:rsidR="00110E27" w:rsidRPr="009942A0">
        <w:rPr>
          <w:rFonts w:cstheme="minorHAnsi"/>
          <w:lang w:val="en-US"/>
        </w:rPr>
        <w:t>Therefore, the</w:t>
      </w:r>
      <w:r w:rsidR="00110E27" w:rsidRPr="00E1327B">
        <w:rPr>
          <w:rFonts w:cstheme="minorHAnsi"/>
          <w:lang w:val="en-US"/>
        </w:rPr>
        <w:t xml:space="preserve"> hypothesis that DC vaccination might be more potent in the adjuvant setting is further supported by this study.</w:t>
      </w:r>
    </w:p>
    <w:p w:rsidR="00DC3FEC" w:rsidRPr="00E1327B" w:rsidRDefault="00DC3FEC" w:rsidP="00E201F5">
      <w:pPr>
        <w:spacing w:after="0" w:line="480" w:lineRule="auto"/>
        <w:rPr>
          <w:rFonts w:cstheme="minorHAnsi"/>
          <w:b/>
          <w:lang w:val="en-US"/>
        </w:rPr>
      </w:pPr>
    </w:p>
    <w:p w:rsidR="00261789" w:rsidRPr="00E1327B" w:rsidRDefault="00261789" w:rsidP="00E201F5">
      <w:pPr>
        <w:spacing w:after="0" w:line="480" w:lineRule="auto"/>
        <w:rPr>
          <w:rFonts w:cstheme="minorHAnsi"/>
          <w:lang w:val="en-US"/>
        </w:rPr>
      </w:pPr>
    </w:p>
    <w:p w:rsidR="00110E27" w:rsidRPr="00E1327B" w:rsidRDefault="00CC3EB0" w:rsidP="00125C3F">
      <w:pPr>
        <w:spacing w:after="0" w:line="480" w:lineRule="auto"/>
        <w:rPr>
          <w:rFonts w:cstheme="minorHAnsi"/>
          <w:lang w:val="en-US"/>
        </w:rPr>
      </w:pPr>
      <w:r w:rsidRPr="00E1327B">
        <w:rPr>
          <w:rFonts w:cstheme="minorHAnsi"/>
          <w:lang w:val="en-US"/>
        </w:rPr>
        <w:t xml:space="preserve">Up to </w:t>
      </w:r>
      <w:r w:rsidR="003D0195" w:rsidRPr="00E1327B">
        <w:rPr>
          <w:rFonts w:cstheme="minorHAnsi"/>
          <w:lang w:val="en-US"/>
        </w:rPr>
        <w:t>April 2016</w:t>
      </w:r>
      <w:r w:rsidR="00BC70F3" w:rsidRPr="00E1327B">
        <w:rPr>
          <w:rFonts w:cstheme="minorHAnsi"/>
          <w:lang w:val="en-US"/>
        </w:rPr>
        <w:t>, 9 patients (39</w:t>
      </w:r>
      <w:r w:rsidRPr="00E1327B">
        <w:rPr>
          <w:rFonts w:cstheme="minorHAnsi"/>
          <w:lang w:val="en-US"/>
        </w:rPr>
        <w:t xml:space="preserve">%) are free of melanoma </w:t>
      </w:r>
      <w:r w:rsidR="0039458A" w:rsidRPr="00E1327B">
        <w:rPr>
          <w:rFonts w:cstheme="minorHAnsi"/>
          <w:lang w:val="en-US"/>
        </w:rPr>
        <w:t xml:space="preserve">relapse </w:t>
      </w:r>
      <w:r w:rsidR="00BC70F3" w:rsidRPr="00E1327B">
        <w:rPr>
          <w:rFonts w:cstheme="minorHAnsi"/>
          <w:lang w:val="en-US"/>
        </w:rPr>
        <w:t>and 14 patients (61</w:t>
      </w:r>
      <w:r w:rsidRPr="00E1327B">
        <w:rPr>
          <w:rFonts w:cstheme="minorHAnsi"/>
          <w:lang w:val="en-US"/>
        </w:rPr>
        <w:t>%) developed metastatic disease after DC vaccination</w:t>
      </w:r>
      <w:r w:rsidR="0005598D" w:rsidRPr="00E1327B">
        <w:rPr>
          <w:rFonts w:cstheme="minorHAnsi"/>
          <w:lang w:val="en-US"/>
        </w:rPr>
        <w:t xml:space="preserve"> o</w:t>
      </w:r>
      <w:r w:rsidR="003D0195" w:rsidRPr="00E1327B">
        <w:rPr>
          <w:rFonts w:cstheme="minorHAnsi"/>
          <w:lang w:val="en-US"/>
        </w:rPr>
        <w:t>f which 12 patients have died (52</w:t>
      </w:r>
      <w:r w:rsidR="0005598D" w:rsidRPr="00E1327B">
        <w:rPr>
          <w:rFonts w:cstheme="minorHAnsi"/>
          <w:lang w:val="en-US"/>
        </w:rPr>
        <w:t>%).</w:t>
      </w:r>
      <w:r w:rsidRPr="00E1327B">
        <w:rPr>
          <w:rFonts w:cstheme="minorHAnsi"/>
          <w:lang w:val="en-US"/>
        </w:rPr>
        <w:t xml:space="preserve"> The median</w:t>
      </w:r>
      <w:r w:rsidR="00125C3F" w:rsidRPr="00E1327B">
        <w:rPr>
          <w:rFonts w:cstheme="minorHAnsi"/>
          <w:lang w:val="en-US"/>
        </w:rPr>
        <w:t xml:space="preserve"> disease-free survival (</w:t>
      </w:r>
      <w:r w:rsidR="000638E2" w:rsidRPr="00E1327B">
        <w:rPr>
          <w:rFonts w:cstheme="minorHAnsi"/>
          <w:lang w:val="en-US"/>
        </w:rPr>
        <w:t>DFS</w:t>
      </w:r>
      <w:r w:rsidR="00125C3F" w:rsidRPr="00E1327B">
        <w:rPr>
          <w:rFonts w:cstheme="minorHAnsi"/>
          <w:lang w:val="en-US"/>
        </w:rPr>
        <w:t>)</w:t>
      </w:r>
      <w:r w:rsidR="003D0195" w:rsidRPr="00E1327B">
        <w:rPr>
          <w:rFonts w:cstheme="minorHAnsi"/>
          <w:lang w:val="en-US"/>
        </w:rPr>
        <w:t xml:space="preserve"> was 34.5 months (95%CI, 27.2</w:t>
      </w:r>
      <w:r w:rsidRPr="00E1327B">
        <w:rPr>
          <w:rFonts w:cstheme="minorHAnsi"/>
          <w:lang w:val="en-US"/>
        </w:rPr>
        <w:t>-41.</w:t>
      </w:r>
      <w:r w:rsidR="00667B79" w:rsidRPr="00E1327B">
        <w:rPr>
          <w:rFonts w:cstheme="minorHAnsi"/>
          <w:lang w:val="en-US"/>
        </w:rPr>
        <w:t>8</w:t>
      </w:r>
      <w:r w:rsidRPr="00E1327B">
        <w:rPr>
          <w:rFonts w:cstheme="minorHAnsi"/>
          <w:lang w:val="en-US"/>
        </w:rPr>
        <w:t xml:space="preserve"> months), with a 3-y</w:t>
      </w:r>
      <w:r w:rsidR="00784265" w:rsidRPr="00E1327B">
        <w:rPr>
          <w:rFonts w:cstheme="minorHAnsi"/>
          <w:lang w:val="en-US"/>
        </w:rPr>
        <w:t>ea</w:t>
      </w:r>
      <w:r w:rsidRPr="00E1327B">
        <w:rPr>
          <w:rFonts w:cstheme="minorHAnsi"/>
          <w:lang w:val="en-US"/>
        </w:rPr>
        <w:t xml:space="preserve">r </w:t>
      </w:r>
      <w:r w:rsidR="000638E2" w:rsidRPr="00E1327B">
        <w:rPr>
          <w:rFonts w:cstheme="minorHAnsi"/>
          <w:lang w:val="en-US"/>
        </w:rPr>
        <w:t>DFS</w:t>
      </w:r>
      <w:r w:rsidRPr="00E1327B">
        <w:rPr>
          <w:rFonts w:cstheme="minorHAnsi"/>
          <w:lang w:val="en-US"/>
        </w:rPr>
        <w:t xml:space="preserve"> rate of 47%. </w:t>
      </w:r>
      <w:r w:rsidR="00E4215C" w:rsidRPr="00E1327B">
        <w:rPr>
          <w:rFonts w:cstheme="minorHAnsi"/>
          <w:lang w:val="en-US"/>
        </w:rPr>
        <w:t xml:space="preserve">The median OS was 51.8 months (95%CI, 42.1-62.7 months), with a 3-year OS rate of 79%. </w:t>
      </w:r>
      <w:r w:rsidR="00E4215C">
        <w:rPr>
          <w:rFonts w:cstheme="minorHAnsi"/>
          <w:lang w:val="en-US"/>
        </w:rPr>
        <w:t>When patients were analyzed separately, based on the presence or absence of tumor-specific T cells in the skin test, patients with tumor-specific T cells had better DFS and OS. No large differences were seen in their baseline characteristics (Supplementary Table 1</w:t>
      </w:r>
      <w:r w:rsidR="00F27514">
        <w:rPr>
          <w:rFonts w:cstheme="minorHAnsi"/>
          <w:lang w:val="en-US"/>
        </w:rPr>
        <w:t xml:space="preserve">; </w:t>
      </w:r>
      <w:r w:rsidR="00F27514" w:rsidRPr="00F27514">
        <w:rPr>
          <w:lang w:val="en-US"/>
        </w:rPr>
        <w:t xml:space="preserve">available at </w:t>
      </w:r>
      <w:r w:rsidR="00F27514" w:rsidRPr="001D57F4">
        <w:rPr>
          <w:lang w:val="en-US"/>
        </w:rPr>
        <w:t>http://aaojournal.org</w:t>
      </w:r>
      <w:r w:rsidR="00F27514" w:rsidRPr="00F27514">
        <w:rPr>
          <w:lang w:val="en-US"/>
        </w:rPr>
        <w:t>)</w:t>
      </w:r>
      <w:r w:rsidR="00F27514" w:rsidRPr="00F21B68">
        <w:rPr>
          <w:rFonts w:eastAsia="Times" w:cstheme="minorHAnsi"/>
          <w:color w:val="231F20"/>
          <w:lang w:val="en-US"/>
        </w:rPr>
        <w:t>.</w:t>
      </w:r>
      <w:r w:rsidR="00E4215C">
        <w:rPr>
          <w:rFonts w:cstheme="minorHAnsi"/>
          <w:lang w:val="en-US"/>
        </w:rPr>
        <w:t xml:space="preserve"> </w:t>
      </w:r>
      <w:r w:rsidR="00C13360" w:rsidRPr="00E1327B">
        <w:rPr>
          <w:rFonts w:cstheme="minorHAnsi"/>
          <w:lang w:val="en-US"/>
        </w:rPr>
        <w:t xml:space="preserve">In </w:t>
      </w:r>
      <w:r w:rsidR="00125C3F" w:rsidRPr="00E1327B">
        <w:rPr>
          <w:rFonts w:cstheme="minorHAnsi"/>
          <w:lang w:val="en-US"/>
        </w:rPr>
        <w:t>patients with</w:t>
      </w:r>
      <w:r w:rsidR="00C13360" w:rsidRPr="00E1327B">
        <w:rPr>
          <w:rFonts w:cstheme="minorHAnsi"/>
          <w:lang w:val="en-US"/>
        </w:rPr>
        <w:t xml:space="preserve"> tumor-specific T cell</w:t>
      </w:r>
      <w:r w:rsidR="00125C3F" w:rsidRPr="00E1327B">
        <w:rPr>
          <w:rFonts w:cstheme="minorHAnsi"/>
          <w:lang w:val="en-US"/>
        </w:rPr>
        <w:t>s</w:t>
      </w:r>
      <w:r w:rsidR="00C13360" w:rsidRPr="00E1327B">
        <w:rPr>
          <w:rFonts w:cstheme="minorHAnsi"/>
          <w:lang w:val="en-US"/>
        </w:rPr>
        <w:t xml:space="preserve"> after DC vaccination</w:t>
      </w:r>
      <w:r w:rsidR="0005598D" w:rsidRPr="00E1327B">
        <w:rPr>
          <w:rFonts w:cstheme="minorHAnsi"/>
          <w:lang w:val="en-US"/>
        </w:rPr>
        <w:t xml:space="preserve"> median </w:t>
      </w:r>
      <w:r w:rsidR="004F3F92" w:rsidRPr="00E1327B">
        <w:rPr>
          <w:rFonts w:cstheme="minorHAnsi"/>
          <w:lang w:val="en-US"/>
        </w:rPr>
        <w:t>DFS</w:t>
      </w:r>
      <w:r w:rsidR="001B4142" w:rsidRPr="00E1327B">
        <w:rPr>
          <w:rFonts w:cstheme="minorHAnsi"/>
          <w:lang w:val="en-US"/>
        </w:rPr>
        <w:t xml:space="preserve"> was </w:t>
      </w:r>
      <w:r w:rsidR="00704B87" w:rsidRPr="00E1327B">
        <w:rPr>
          <w:rFonts w:cstheme="minorHAnsi"/>
          <w:lang w:val="en-US"/>
        </w:rPr>
        <w:t>51.9 vs 1</w:t>
      </w:r>
      <w:r w:rsidR="0005598D" w:rsidRPr="00E1327B">
        <w:rPr>
          <w:rFonts w:cstheme="minorHAnsi"/>
          <w:lang w:val="en-US"/>
        </w:rPr>
        <w:t xml:space="preserve">8.8 months </w:t>
      </w:r>
      <w:r w:rsidR="001B4142" w:rsidRPr="00E1327B">
        <w:rPr>
          <w:rFonts w:cstheme="minorHAnsi"/>
          <w:lang w:val="en-US"/>
        </w:rPr>
        <w:t>in patien</w:t>
      </w:r>
      <w:r w:rsidR="00125C3F" w:rsidRPr="00E1327B">
        <w:rPr>
          <w:rFonts w:cstheme="minorHAnsi"/>
          <w:lang w:val="en-US"/>
        </w:rPr>
        <w:t>ts in whom we could not detect</w:t>
      </w:r>
      <w:r w:rsidR="001B4142" w:rsidRPr="00E1327B">
        <w:rPr>
          <w:rFonts w:cstheme="minorHAnsi"/>
          <w:lang w:val="en-US"/>
        </w:rPr>
        <w:t xml:space="preserve"> tumor</w:t>
      </w:r>
      <w:r w:rsidR="0005598D" w:rsidRPr="00E1327B">
        <w:rPr>
          <w:rFonts w:cstheme="minorHAnsi"/>
          <w:lang w:val="en-US"/>
        </w:rPr>
        <w:t>-specific T cell</w:t>
      </w:r>
      <w:r w:rsidR="00125C3F" w:rsidRPr="00E1327B">
        <w:rPr>
          <w:rFonts w:cstheme="minorHAnsi"/>
          <w:lang w:val="en-US"/>
        </w:rPr>
        <w:t>s</w:t>
      </w:r>
      <w:r w:rsidR="0005598D" w:rsidRPr="00E1327B">
        <w:rPr>
          <w:rFonts w:cstheme="minorHAnsi"/>
          <w:lang w:val="en-US"/>
        </w:rPr>
        <w:t xml:space="preserve"> </w:t>
      </w:r>
      <w:r w:rsidR="00663D75" w:rsidRPr="00E1327B">
        <w:rPr>
          <w:rFonts w:cstheme="minorHAnsi"/>
          <w:lang w:val="en-US"/>
        </w:rPr>
        <w:t>(</w:t>
      </w:r>
      <w:r w:rsidR="00E4215C" w:rsidRPr="00E1327B">
        <w:rPr>
          <w:rFonts w:cstheme="minorHAnsi"/>
          <w:i/>
          <w:lang w:val="en-US"/>
        </w:rPr>
        <w:t>p</w:t>
      </w:r>
      <w:r w:rsidR="00E4215C" w:rsidRPr="00E1327B">
        <w:rPr>
          <w:rFonts w:cstheme="minorHAnsi"/>
          <w:lang w:val="en-US"/>
        </w:rPr>
        <w:t>=0.024</w:t>
      </w:r>
      <w:r w:rsidR="00E4215C">
        <w:rPr>
          <w:rFonts w:cstheme="minorHAnsi"/>
          <w:lang w:val="en-US"/>
        </w:rPr>
        <w:t xml:space="preserve">; </w:t>
      </w:r>
      <w:r w:rsidR="00B3222B" w:rsidRPr="00E1327B">
        <w:rPr>
          <w:rFonts w:cstheme="minorHAnsi"/>
          <w:lang w:val="en-US"/>
        </w:rPr>
        <w:t xml:space="preserve">Figure </w:t>
      </w:r>
      <w:r w:rsidR="004D1EF0" w:rsidRPr="00E1327B">
        <w:rPr>
          <w:rFonts w:cstheme="minorHAnsi"/>
          <w:lang w:val="en-US"/>
        </w:rPr>
        <w:t>1</w:t>
      </w:r>
      <w:r w:rsidR="00960222" w:rsidRPr="00E1327B">
        <w:rPr>
          <w:rFonts w:cstheme="minorHAnsi"/>
          <w:lang w:val="en-US"/>
        </w:rPr>
        <w:t>A</w:t>
      </w:r>
      <w:r w:rsidR="001B4142" w:rsidRPr="00E1327B">
        <w:rPr>
          <w:rFonts w:cstheme="minorHAnsi"/>
          <w:lang w:val="en-US"/>
        </w:rPr>
        <w:t xml:space="preserve">). </w:t>
      </w:r>
      <w:r w:rsidR="00E4215C">
        <w:rPr>
          <w:rFonts w:cstheme="minorHAnsi"/>
          <w:lang w:val="en-US"/>
        </w:rPr>
        <w:t>M</w:t>
      </w:r>
      <w:r w:rsidR="00112919" w:rsidRPr="00E1327B">
        <w:rPr>
          <w:rFonts w:cstheme="minorHAnsi"/>
          <w:lang w:val="en-US"/>
        </w:rPr>
        <w:t xml:space="preserve">edian </w:t>
      </w:r>
      <w:r w:rsidR="000638E2" w:rsidRPr="00E1327B">
        <w:rPr>
          <w:rFonts w:cstheme="minorHAnsi"/>
          <w:lang w:val="en-US"/>
        </w:rPr>
        <w:t>OS</w:t>
      </w:r>
      <w:r w:rsidR="00112919" w:rsidRPr="00E1327B">
        <w:rPr>
          <w:rFonts w:cstheme="minorHAnsi"/>
          <w:lang w:val="en-US"/>
        </w:rPr>
        <w:t xml:space="preserve"> was 45.0 months </w:t>
      </w:r>
      <w:r w:rsidR="004A1ED3" w:rsidRPr="00E1327B">
        <w:rPr>
          <w:rFonts w:cstheme="minorHAnsi"/>
          <w:lang w:val="en-US"/>
        </w:rPr>
        <w:t>with a 3-year OS rate of 60</w:t>
      </w:r>
      <w:r w:rsidR="006D14DE" w:rsidRPr="00E1327B">
        <w:rPr>
          <w:rFonts w:cstheme="minorHAnsi"/>
          <w:lang w:val="en-US"/>
        </w:rPr>
        <w:t xml:space="preserve">% </w:t>
      </w:r>
      <w:r w:rsidR="00112919" w:rsidRPr="00E1327B">
        <w:rPr>
          <w:rFonts w:cstheme="minorHAnsi"/>
          <w:lang w:val="en-US"/>
        </w:rPr>
        <w:t>for p</w:t>
      </w:r>
      <w:r w:rsidR="00125C3F" w:rsidRPr="00E1327B">
        <w:rPr>
          <w:rFonts w:cstheme="minorHAnsi"/>
          <w:lang w:val="en-US"/>
        </w:rPr>
        <w:t>atients without detectable tumor</w:t>
      </w:r>
      <w:r w:rsidR="00112919" w:rsidRPr="00E1327B">
        <w:rPr>
          <w:rFonts w:cstheme="minorHAnsi"/>
          <w:lang w:val="en-US"/>
        </w:rPr>
        <w:t>-</w:t>
      </w:r>
      <w:r w:rsidR="00BC607E" w:rsidRPr="00E1327B">
        <w:rPr>
          <w:rFonts w:cstheme="minorHAnsi"/>
          <w:lang w:val="en-US"/>
        </w:rPr>
        <w:t>specific T cell</w:t>
      </w:r>
      <w:r w:rsidR="00434704" w:rsidRPr="00E1327B">
        <w:rPr>
          <w:rFonts w:cstheme="minorHAnsi"/>
          <w:lang w:val="en-US"/>
        </w:rPr>
        <w:t xml:space="preserve">s </w:t>
      </w:r>
      <w:r w:rsidR="004A1ED3" w:rsidRPr="00E1327B">
        <w:rPr>
          <w:rFonts w:cstheme="minorHAnsi"/>
          <w:lang w:val="en-US"/>
        </w:rPr>
        <w:t>and 58.0</w:t>
      </w:r>
      <w:r w:rsidR="00112919" w:rsidRPr="00E1327B">
        <w:rPr>
          <w:rFonts w:cstheme="minorHAnsi"/>
          <w:lang w:val="en-US"/>
        </w:rPr>
        <w:t xml:space="preserve"> months </w:t>
      </w:r>
      <w:r w:rsidR="006D14DE" w:rsidRPr="00E1327B">
        <w:rPr>
          <w:rFonts w:cstheme="minorHAnsi"/>
          <w:lang w:val="en-US"/>
        </w:rPr>
        <w:t>and 8</w:t>
      </w:r>
      <w:r w:rsidR="004A1ED3" w:rsidRPr="00E1327B">
        <w:rPr>
          <w:rFonts w:cstheme="minorHAnsi"/>
          <w:lang w:val="en-US"/>
        </w:rPr>
        <w:t>7</w:t>
      </w:r>
      <w:r w:rsidR="006D14DE" w:rsidRPr="00E1327B">
        <w:rPr>
          <w:rFonts w:cstheme="minorHAnsi"/>
          <w:lang w:val="en-US"/>
        </w:rPr>
        <w:t xml:space="preserve">% </w:t>
      </w:r>
      <w:r w:rsidR="00112919" w:rsidRPr="00E1327B">
        <w:rPr>
          <w:rFonts w:cstheme="minorHAnsi"/>
          <w:lang w:val="en-US"/>
        </w:rPr>
        <w:t>for patients in whom tumor-specific T cells were found</w:t>
      </w:r>
      <w:r w:rsidR="004D1EF0" w:rsidRPr="00E1327B">
        <w:rPr>
          <w:rFonts w:cstheme="minorHAnsi"/>
          <w:lang w:val="en-US"/>
        </w:rPr>
        <w:t xml:space="preserve"> (</w:t>
      </w:r>
      <w:r w:rsidR="008474E2" w:rsidRPr="00E1327B">
        <w:rPr>
          <w:rFonts w:cstheme="minorHAnsi"/>
          <w:i/>
          <w:lang w:val="en-US"/>
        </w:rPr>
        <w:t>p</w:t>
      </w:r>
      <w:r w:rsidR="008474E2" w:rsidRPr="00E1327B">
        <w:rPr>
          <w:rFonts w:cstheme="minorHAnsi"/>
          <w:lang w:val="en-US"/>
        </w:rPr>
        <w:t xml:space="preserve">=0.016; </w:t>
      </w:r>
      <w:r w:rsidR="004D1EF0" w:rsidRPr="00E1327B">
        <w:rPr>
          <w:rFonts w:cstheme="minorHAnsi"/>
          <w:lang w:val="en-US"/>
        </w:rPr>
        <w:t>Figure 1</w:t>
      </w:r>
      <w:r w:rsidR="00960222" w:rsidRPr="00E1327B">
        <w:rPr>
          <w:rFonts w:cstheme="minorHAnsi"/>
          <w:lang w:val="en-US"/>
        </w:rPr>
        <w:t>B</w:t>
      </w:r>
      <w:r w:rsidR="004D1EF0" w:rsidRPr="00E1327B">
        <w:rPr>
          <w:rFonts w:cstheme="minorHAnsi"/>
          <w:lang w:val="en-US"/>
        </w:rPr>
        <w:t>)</w:t>
      </w:r>
      <w:r w:rsidR="00112919" w:rsidRPr="00E1327B">
        <w:rPr>
          <w:rFonts w:cstheme="minorHAnsi"/>
          <w:lang w:val="en-US"/>
        </w:rPr>
        <w:t xml:space="preserve">. </w:t>
      </w:r>
    </w:p>
    <w:p w:rsidR="00110E27" w:rsidRDefault="00125C3F" w:rsidP="00110E27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 w:rsidRPr="00E1327B">
        <w:rPr>
          <w:rFonts w:asciiTheme="minorHAnsi" w:hAnsiTheme="minorHAnsi" w:cstheme="minorHAnsi"/>
          <w:lang w:val="en-US"/>
        </w:rPr>
        <w:t>Ta</w:t>
      </w:r>
      <w:r w:rsidR="00110E27" w:rsidRPr="00E1327B">
        <w:rPr>
          <w:rFonts w:asciiTheme="minorHAnsi" w:hAnsiTheme="minorHAnsi" w:cstheme="minorHAnsi"/>
          <w:lang w:val="en-US"/>
        </w:rPr>
        <w:t xml:space="preserve">king the </w:t>
      </w:r>
      <w:r w:rsidR="00056053" w:rsidRPr="00E1327B">
        <w:rPr>
          <w:rFonts w:asciiTheme="minorHAnsi" w:hAnsiTheme="minorHAnsi" w:cstheme="minorHAnsi"/>
          <w:lang w:val="en-US"/>
        </w:rPr>
        <w:t>restrictions</w:t>
      </w:r>
      <w:r w:rsidR="00056053">
        <w:rPr>
          <w:rFonts w:asciiTheme="minorHAnsi" w:hAnsiTheme="minorHAnsi" w:cstheme="minorHAnsi"/>
          <w:lang w:val="en-US"/>
        </w:rPr>
        <w:t xml:space="preserve"> of comparing</w:t>
      </w:r>
      <w:r w:rsidR="00110E27" w:rsidRPr="00E1327B">
        <w:rPr>
          <w:rFonts w:asciiTheme="minorHAnsi" w:hAnsiTheme="minorHAnsi" w:cstheme="minorHAnsi"/>
          <w:lang w:val="en-US"/>
        </w:rPr>
        <w:t xml:space="preserve"> results of small studies with historical data into account, the 3-year OS rate o</w:t>
      </w:r>
      <w:r w:rsidR="004A1ED3" w:rsidRPr="00E1327B">
        <w:rPr>
          <w:rFonts w:asciiTheme="minorHAnsi" w:hAnsiTheme="minorHAnsi" w:cstheme="minorHAnsi"/>
          <w:lang w:val="en-US"/>
        </w:rPr>
        <w:t>f the DC vaccinated patients (79</w:t>
      </w:r>
      <w:r w:rsidR="00110E27" w:rsidRPr="00E1327B">
        <w:rPr>
          <w:rFonts w:asciiTheme="minorHAnsi" w:hAnsiTheme="minorHAnsi" w:cstheme="minorHAnsi"/>
          <w:lang w:val="en-US"/>
        </w:rPr>
        <w:t>%) compared</w:t>
      </w:r>
      <w:r w:rsidR="00110E27">
        <w:rPr>
          <w:rFonts w:asciiTheme="minorHAnsi" w:hAnsiTheme="minorHAnsi" w:cstheme="minorHAnsi"/>
          <w:lang w:val="en-US"/>
        </w:rPr>
        <w:t xml:space="preserve"> well </w:t>
      </w:r>
      <w:r w:rsidR="00110E27" w:rsidRPr="006B1266">
        <w:rPr>
          <w:rFonts w:asciiTheme="minorHAnsi" w:hAnsiTheme="minorHAnsi" w:cstheme="minorHAnsi"/>
          <w:lang w:val="en-US"/>
        </w:rPr>
        <w:t>to literature (approximately 60%</w:t>
      </w:r>
      <w:r w:rsidR="004A7544">
        <w:rPr>
          <w:rFonts w:asciiTheme="minorHAnsi" w:hAnsiTheme="minorHAnsi" w:cstheme="minorHAnsi"/>
          <w:lang w:val="en-US"/>
        </w:rPr>
        <w:t>in high-risk UM</w:t>
      </w:r>
      <w:r w:rsidR="00110E27" w:rsidRPr="006B1266">
        <w:rPr>
          <w:rFonts w:asciiTheme="minorHAnsi" w:hAnsiTheme="minorHAnsi" w:cstheme="minorHAnsi"/>
          <w:lang w:val="en-US"/>
        </w:rPr>
        <w:t>)</w:t>
      </w:r>
      <w:r w:rsidR="00110E27">
        <w:rPr>
          <w:rFonts w:asciiTheme="minorHAnsi" w:hAnsiTheme="minorHAnsi" w:cstheme="minorHAnsi"/>
          <w:lang w:val="en-US"/>
        </w:rPr>
        <w:t>.</w:t>
      </w:r>
      <w:r w:rsidR="00D24C4E" w:rsidRPr="00D24C4E">
        <w:rPr>
          <w:rFonts w:asciiTheme="minorHAnsi" w:hAnsiTheme="minorHAnsi" w:cstheme="minorHAnsi"/>
          <w:noProof/>
          <w:vertAlign w:val="superscript"/>
          <w:lang w:val="en-US"/>
        </w:rPr>
        <w:t>2, 4</w:t>
      </w:r>
      <w:r w:rsidR="00110E27">
        <w:rPr>
          <w:rFonts w:asciiTheme="minorHAnsi" w:hAnsiTheme="minorHAnsi" w:cstheme="minorHAnsi"/>
          <w:lang w:val="en-US"/>
        </w:rPr>
        <w:t xml:space="preserve"> </w:t>
      </w:r>
      <w:r w:rsidR="004252B6" w:rsidRPr="001A5626">
        <w:rPr>
          <w:rFonts w:asciiTheme="minorHAnsi" w:hAnsiTheme="minorHAnsi" w:cstheme="minorHAnsi"/>
          <w:lang w:val="en-US"/>
        </w:rPr>
        <w:t>In</w:t>
      </w:r>
      <w:r w:rsidR="004252B6" w:rsidRPr="00285A00">
        <w:rPr>
          <w:rFonts w:asciiTheme="minorHAnsi" w:hAnsiTheme="minorHAnsi" w:cstheme="minorHAnsi"/>
          <w:lang w:val="en-US"/>
        </w:rPr>
        <w:t xml:space="preserve"> theory, </w:t>
      </w:r>
      <w:r w:rsidR="00CE295F" w:rsidRPr="00285A00">
        <w:rPr>
          <w:rFonts w:asciiTheme="minorHAnsi" w:hAnsiTheme="minorHAnsi" w:cstheme="minorHAnsi"/>
          <w:lang w:val="en-US"/>
        </w:rPr>
        <w:t>HLA-A*02:01 phenotype</w:t>
      </w:r>
      <w:r w:rsidR="00CE295F">
        <w:rPr>
          <w:rFonts w:asciiTheme="minorHAnsi" w:hAnsiTheme="minorHAnsi" w:cstheme="minorHAnsi"/>
          <w:lang w:val="en-US"/>
        </w:rPr>
        <w:t xml:space="preserve"> </w:t>
      </w:r>
      <w:r w:rsidR="004252B6" w:rsidRPr="00285A00">
        <w:rPr>
          <w:rFonts w:asciiTheme="minorHAnsi" w:hAnsiTheme="minorHAnsi" w:cstheme="minorHAnsi"/>
          <w:lang w:val="en-US"/>
        </w:rPr>
        <w:t>could be</w:t>
      </w:r>
      <w:r w:rsidR="004252B6">
        <w:rPr>
          <w:rFonts w:asciiTheme="minorHAnsi" w:hAnsiTheme="minorHAnsi" w:cstheme="minorHAnsi"/>
          <w:lang w:val="en-US"/>
        </w:rPr>
        <w:t xml:space="preserve"> a</w:t>
      </w:r>
      <w:r w:rsidR="004252B6" w:rsidRPr="00285A00">
        <w:rPr>
          <w:rFonts w:asciiTheme="minorHAnsi" w:hAnsiTheme="minorHAnsi" w:cstheme="minorHAnsi"/>
          <w:lang w:val="en-US"/>
        </w:rPr>
        <w:t xml:space="preserve"> confounding factor</w:t>
      </w:r>
      <w:r w:rsidR="00CE295F">
        <w:rPr>
          <w:rFonts w:asciiTheme="minorHAnsi" w:hAnsiTheme="minorHAnsi" w:cstheme="minorHAnsi"/>
          <w:lang w:val="en-US"/>
        </w:rPr>
        <w:t xml:space="preserve">, but </w:t>
      </w:r>
      <w:r w:rsidR="004252B6">
        <w:rPr>
          <w:rFonts w:asciiTheme="minorHAnsi" w:hAnsiTheme="minorHAnsi" w:cstheme="minorHAnsi"/>
          <w:lang w:val="en-US"/>
        </w:rPr>
        <w:t xml:space="preserve">no correlation with survival </w:t>
      </w:r>
      <w:r w:rsidR="00CE295F">
        <w:rPr>
          <w:rFonts w:asciiTheme="minorHAnsi" w:hAnsiTheme="minorHAnsi" w:cstheme="minorHAnsi"/>
          <w:lang w:val="en-US"/>
        </w:rPr>
        <w:t xml:space="preserve">is shown </w:t>
      </w:r>
      <w:r w:rsidR="00216B18">
        <w:rPr>
          <w:rFonts w:asciiTheme="minorHAnsi" w:hAnsiTheme="minorHAnsi" w:cstheme="minorHAnsi"/>
          <w:lang w:val="en-US"/>
        </w:rPr>
        <w:t xml:space="preserve">in </w:t>
      </w:r>
      <w:r w:rsidR="005C40FF">
        <w:rPr>
          <w:rFonts w:asciiTheme="minorHAnsi" w:hAnsiTheme="minorHAnsi" w:cstheme="minorHAnsi"/>
          <w:lang w:val="en-US"/>
        </w:rPr>
        <w:t xml:space="preserve">a </w:t>
      </w:r>
      <w:r w:rsidR="00216B18">
        <w:rPr>
          <w:rFonts w:asciiTheme="minorHAnsi" w:hAnsiTheme="minorHAnsi" w:cstheme="minorHAnsi"/>
          <w:lang w:val="en-US"/>
        </w:rPr>
        <w:t>large</w:t>
      </w:r>
      <w:r w:rsidR="004252B6">
        <w:rPr>
          <w:rFonts w:asciiTheme="minorHAnsi" w:hAnsiTheme="minorHAnsi" w:cstheme="minorHAnsi"/>
          <w:lang w:val="en-US"/>
        </w:rPr>
        <w:t xml:space="preserve"> cohort of UM patients.</w:t>
      </w:r>
      <w:r w:rsidR="00D24C4E" w:rsidRPr="00D24C4E">
        <w:rPr>
          <w:rFonts w:asciiTheme="minorHAnsi" w:hAnsiTheme="minorHAnsi" w:cstheme="minorHAnsi"/>
          <w:noProof/>
          <w:vertAlign w:val="superscript"/>
          <w:lang w:val="en-US"/>
        </w:rPr>
        <w:t>5</w:t>
      </w:r>
      <w:r w:rsidR="004252B6">
        <w:rPr>
          <w:rFonts w:asciiTheme="minorHAnsi" w:hAnsiTheme="minorHAnsi" w:cstheme="minorHAnsi"/>
          <w:lang w:val="en-US"/>
        </w:rPr>
        <w:t xml:space="preserve"> </w:t>
      </w:r>
      <w:r w:rsidR="00110E27">
        <w:rPr>
          <w:rFonts w:asciiTheme="minorHAnsi" w:hAnsiTheme="minorHAnsi" w:cstheme="minorHAnsi"/>
          <w:lang w:val="en-US"/>
        </w:rPr>
        <w:t>Of course, a randomized trial is needed to provide a definitive conclusion on the effect of DC vaccination in high-risk UM patients</w:t>
      </w:r>
      <w:r w:rsidR="004252B6">
        <w:rPr>
          <w:rFonts w:asciiTheme="minorHAnsi" w:hAnsiTheme="minorHAnsi" w:cstheme="minorHAnsi"/>
          <w:lang w:val="en-US"/>
        </w:rPr>
        <w:t>, which is currently</w:t>
      </w:r>
      <w:r w:rsidR="00110E27">
        <w:rPr>
          <w:rFonts w:asciiTheme="minorHAnsi" w:hAnsiTheme="minorHAnsi" w:cstheme="minorHAnsi"/>
          <w:lang w:val="en-US"/>
        </w:rPr>
        <w:t xml:space="preserve"> opened elsewhere (NCT01983748). </w:t>
      </w:r>
    </w:p>
    <w:p w:rsidR="004252B6" w:rsidRDefault="00C144DF" w:rsidP="004252B6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 conclusion, adjuvant treatm</w:t>
      </w:r>
      <w:r w:rsidR="00105813">
        <w:rPr>
          <w:rFonts w:asciiTheme="minorHAnsi" w:hAnsiTheme="minorHAnsi" w:cstheme="minorHAnsi"/>
          <w:lang w:val="en-US"/>
        </w:rPr>
        <w:t>ent with DC vaccination in high-</w:t>
      </w:r>
      <w:r w:rsidR="00CE295F">
        <w:rPr>
          <w:rFonts w:asciiTheme="minorHAnsi" w:hAnsiTheme="minorHAnsi" w:cstheme="minorHAnsi"/>
          <w:lang w:val="en-US"/>
        </w:rPr>
        <w:t xml:space="preserve">risk UM patients </w:t>
      </w:r>
      <w:r w:rsidR="002642C8">
        <w:rPr>
          <w:rFonts w:asciiTheme="minorHAnsi" w:hAnsiTheme="minorHAnsi" w:cstheme="minorHAnsi"/>
          <w:lang w:val="en-US"/>
        </w:rPr>
        <w:t>gives little toxicity</w:t>
      </w:r>
      <w:r>
        <w:rPr>
          <w:rFonts w:asciiTheme="minorHAnsi" w:hAnsiTheme="minorHAnsi" w:cstheme="minorHAnsi"/>
          <w:lang w:val="en-US"/>
        </w:rPr>
        <w:t xml:space="preserve"> and </w:t>
      </w:r>
      <w:r w:rsidR="00CA3918">
        <w:rPr>
          <w:rFonts w:asciiTheme="minorHAnsi" w:hAnsiTheme="minorHAnsi" w:cstheme="minorHAnsi"/>
          <w:lang w:val="en-US"/>
        </w:rPr>
        <w:t>correlates with</w:t>
      </w:r>
      <w:r>
        <w:rPr>
          <w:rFonts w:asciiTheme="minorHAnsi" w:hAnsiTheme="minorHAnsi" w:cstheme="minorHAnsi"/>
          <w:lang w:val="en-US"/>
        </w:rPr>
        <w:t xml:space="preserve"> favorable </w:t>
      </w:r>
      <w:r w:rsidR="000638E2">
        <w:rPr>
          <w:rFonts w:asciiTheme="minorHAnsi" w:hAnsiTheme="minorHAnsi" w:cstheme="minorHAnsi"/>
          <w:lang w:val="en-US"/>
        </w:rPr>
        <w:t>OS</w:t>
      </w:r>
      <w:r w:rsidR="00CA3918">
        <w:rPr>
          <w:rFonts w:asciiTheme="minorHAnsi" w:hAnsiTheme="minorHAnsi" w:cstheme="minorHAnsi"/>
          <w:lang w:val="en-US"/>
        </w:rPr>
        <w:t xml:space="preserve"> in patients with a detectable tumor</w:t>
      </w:r>
      <w:r w:rsidR="00133E3F">
        <w:rPr>
          <w:rFonts w:asciiTheme="minorHAnsi" w:hAnsiTheme="minorHAnsi" w:cstheme="minorHAnsi"/>
          <w:lang w:val="en-US"/>
        </w:rPr>
        <w:t xml:space="preserve"> antigen</w:t>
      </w:r>
      <w:r w:rsidR="00CA3918">
        <w:rPr>
          <w:rFonts w:asciiTheme="minorHAnsi" w:hAnsiTheme="minorHAnsi" w:cstheme="minorHAnsi"/>
          <w:lang w:val="en-US"/>
        </w:rPr>
        <w:t xml:space="preserve">-specific immune response after DC vaccination. Further evidence for the </w:t>
      </w:r>
      <w:r w:rsidR="00B70562">
        <w:rPr>
          <w:rFonts w:asciiTheme="minorHAnsi" w:hAnsiTheme="minorHAnsi" w:cstheme="minorHAnsi"/>
          <w:lang w:val="en-US"/>
        </w:rPr>
        <w:t>clinical efficacy</w:t>
      </w:r>
      <w:r w:rsidR="00CA3918">
        <w:rPr>
          <w:rFonts w:asciiTheme="minorHAnsi" w:hAnsiTheme="minorHAnsi" w:cstheme="minorHAnsi"/>
          <w:lang w:val="en-US"/>
        </w:rPr>
        <w:t xml:space="preserve"> of </w:t>
      </w:r>
      <w:r w:rsidR="007A2DFD">
        <w:rPr>
          <w:rFonts w:asciiTheme="minorHAnsi" w:hAnsiTheme="minorHAnsi" w:cstheme="minorHAnsi"/>
          <w:lang w:val="en-US"/>
        </w:rPr>
        <w:t xml:space="preserve">adjuvant </w:t>
      </w:r>
      <w:r w:rsidR="00CA3918">
        <w:rPr>
          <w:rFonts w:asciiTheme="minorHAnsi" w:hAnsiTheme="minorHAnsi" w:cstheme="minorHAnsi"/>
          <w:lang w:val="en-US"/>
        </w:rPr>
        <w:t>DC vacci</w:t>
      </w:r>
      <w:r w:rsidR="00B70562">
        <w:rPr>
          <w:rFonts w:asciiTheme="minorHAnsi" w:hAnsiTheme="minorHAnsi" w:cstheme="minorHAnsi"/>
          <w:lang w:val="en-US"/>
        </w:rPr>
        <w:t>nation should be obtained from</w:t>
      </w:r>
      <w:r w:rsidR="00CA3918">
        <w:rPr>
          <w:rFonts w:asciiTheme="minorHAnsi" w:hAnsiTheme="minorHAnsi" w:cstheme="minorHAnsi"/>
          <w:lang w:val="en-US"/>
        </w:rPr>
        <w:t xml:space="preserve"> prospective randomized clinical </w:t>
      </w:r>
      <w:r w:rsidR="002F0135">
        <w:rPr>
          <w:rFonts w:asciiTheme="minorHAnsi" w:hAnsiTheme="minorHAnsi" w:cstheme="minorHAnsi"/>
          <w:lang w:val="en-US"/>
        </w:rPr>
        <w:t>trials</w:t>
      </w:r>
      <w:r w:rsidR="00CA3918" w:rsidRPr="006A1199">
        <w:rPr>
          <w:rFonts w:asciiTheme="minorHAnsi" w:hAnsiTheme="minorHAnsi" w:cstheme="minorHAnsi"/>
          <w:lang w:val="en-US"/>
        </w:rPr>
        <w:t>.</w:t>
      </w:r>
      <w:r w:rsidR="004252B6" w:rsidRPr="004252B6">
        <w:rPr>
          <w:rFonts w:asciiTheme="minorHAnsi" w:hAnsiTheme="minorHAnsi" w:cstheme="minorHAnsi"/>
          <w:lang w:val="en-US"/>
        </w:rPr>
        <w:t xml:space="preserve"> </w:t>
      </w:r>
    </w:p>
    <w:p w:rsidR="002F0135" w:rsidRDefault="002F0135" w:rsidP="00E201F5">
      <w:pPr>
        <w:pStyle w:val="NoSpacing"/>
        <w:spacing w:line="480" w:lineRule="auto"/>
        <w:rPr>
          <w:rFonts w:asciiTheme="minorHAnsi" w:hAnsiTheme="minorHAnsi" w:cstheme="minorHAnsi"/>
          <w:lang w:val="en-US"/>
        </w:rPr>
      </w:pPr>
    </w:p>
    <w:p w:rsidR="00F27514" w:rsidRDefault="00F27514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:rsidR="00391173" w:rsidRPr="00823184" w:rsidRDefault="00391173" w:rsidP="00E201F5">
      <w:pPr>
        <w:spacing w:after="0" w:line="480" w:lineRule="auto"/>
        <w:rPr>
          <w:rFonts w:cstheme="minorHAnsi"/>
          <w:b/>
          <w:lang w:val="en-US"/>
        </w:rPr>
      </w:pPr>
      <w:r w:rsidRPr="00823184">
        <w:rPr>
          <w:rFonts w:cstheme="minorHAnsi"/>
          <w:b/>
          <w:lang w:val="en-US"/>
        </w:rPr>
        <w:lastRenderedPageBreak/>
        <w:t>Figure legends</w:t>
      </w:r>
    </w:p>
    <w:p w:rsidR="00110E27" w:rsidRDefault="00721B1C" w:rsidP="003133E1">
      <w:pPr>
        <w:spacing w:after="0" w:line="480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Figure </w:t>
      </w:r>
      <w:r w:rsidR="000F3F21">
        <w:rPr>
          <w:rFonts w:cstheme="minorHAnsi"/>
          <w:b/>
          <w:lang w:val="en-US"/>
        </w:rPr>
        <w:t>1</w:t>
      </w:r>
      <w:r w:rsidR="00DD6B31" w:rsidRPr="00A93A47">
        <w:rPr>
          <w:rFonts w:cstheme="minorHAnsi"/>
          <w:b/>
          <w:lang w:val="en-US"/>
        </w:rPr>
        <w:t xml:space="preserve">. </w:t>
      </w:r>
      <w:r w:rsidR="0005598D">
        <w:rPr>
          <w:rFonts w:cstheme="minorHAnsi"/>
          <w:b/>
          <w:lang w:val="en-US"/>
        </w:rPr>
        <w:t>S</w:t>
      </w:r>
      <w:r w:rsidR="001A0713" w:rsidRPr="00A93A47">
        <w:rPr>
          <w:rFonts w:cstheme="minorHAnsi"/>
          <w:b/>
          <w:lang w:val="en-US"/>
        </w:rPr>
        <w:t xml:space="preserve">urvival </w:t>
      </w:r>
      <w:r w:rsidR="00A93A47" w:rsidRPr="00A93A47">
        <w:rPr>
          <w:rFonts w:cstheme="minorHAnsi"/>
          <w:b/>
          <w:lang w:val="en-US"/>
        </w:rPr>
        <w:t xml:space="preserve">in correlation with </w:t>
      </w:r>
      <w:r w:rsidR="00056053">
        <w:rPr>
          <w:rFonts w:cstheme="minorHAnsi"/>
          <w:b/>
          <w:lang w:val="en-US"/>
        </w:rPr>
        <w:t xml:space="preserve">the presence of </w:t>
      </w:r>
      <w:r w:rsidR="00A93A47" w:rsidRPr="00A93A47">
        <w:rPr>
          <w:rFonts w:cstheme="minorHAnsi"/>
          <w:b/>
          <w:lang w:val="en-US"/>
        </w:rPr>
        <w:t>tumor</w:t>
      </w:r>
      <w:r w:rsidR="00133E3F">
        <w:rPr>
          <w:rFonts w:cstheme="minorHAnsi"/>
          <w:b/>
          <w:lang w:val="en-US"/>
        </w:rPr>
        <w:t xml:space="preserve"> antigen</w:t>
      </w:r>
      <w:r w:rsidR="00A93A47" w:rsidRPr="00A93A47">
        <w:rPr>
          <w:rFonts w:cstheme="minorHAnsi"/>
          <w:b/>
          <w:lang w:val="en-US"/>
        </w:rPr>
        <w:t xml:space="preserve">-specific T cells </w:t>
      </w:r>
      <w:r w:rsidR="00B87B67">
        <w:rPr>
          <w:rFonts w:cstheme="minorHAnsi"/>
          <w:b/>
          <w:lang w:val="en-US"/>
        </w:rPr>
        <w:t xml:space="preserve">after </w:t>
      </w:r>
      <w:r w:rsidR="007A2DFD">
        <w:rPr>
          <w:rFonts w:cstheme="minorHAnsi"/>
          <w:b/>
          <w:lang w:val="en-US"/>
        </w:rPr>
        <w:t xml:space="preserve">adjuvant </w:t>
      </w:r>
      <w:r w:rsidR="002642C8">
        <w:rPr>
          <w:rFonts w:cstheme="minorHAnsi"/>
          <w:b/>
          <w:lang w:val="en-US"/>
        </w:rPr>
        <w:t>DC</w:t>
      </w:r>
      <w:r w:rsidR="001A0713" w:rsidRPr="00A93A47">
        <w:rPr>
          <w:rFonts w:cstheme="minorHAnsi"/>
          <w:b/>
          <w:lang w:val="en-US"/>
        </w:rPr>
        <w:t xml:space="preserve"> vaccination</w:t>
      </w:r>
      <w:r w:rsidR="005E1D49" w:rsidRPr="00A93A47">
        <w:rPr>
          <w:rFonts w:cstheme="minorHAnsi"/>
          <w:b/>
          <w:lang w:val="en-US"/>
        </w:rPr>
        <w:t>.</w:t>
      </w:r>
      <w:r w:rsidR="005E1D49" w:rsidRPr="00A93A47">
        <w:rPr>
          <w:rFonts w:cstheme="minorHAnsi"/>
          <w:lang w:val="en-US"/>
        </w:rPr>
        <w:t xml:space="preserve"> </w:t>
      </w:r>
      <w:r w:rsidR="003E4B72">
        <w:rPr>
          <w:rFonts w:cstheme="minorHAnsi"/>
          <w:lang w:val="en-US"/>
        </w:rPr>
        <w:t>K</w:t>
      </w:r>
      <w:r w:rsidR="005E1D49" w:rsidRPr="00A93A47">
        <w:rPr>
          <w:rFonts w:cstheme="minorHAnsi"/>
          <w:lang w:val="en-US"/>
        </w:rPr>
        <w:t>aplan-Meier curve</w:t>
      </w:r>
      <w:r w:rsidR="007A2DFD">
        <w:rPr>
          <w:rFonts w:cstheme="minorHAnsi"/>
          <w:lang w:val="en-US"/>
        </w:rPr>
        <w:t>s</w:t>
      </w:r>
      <w:r w:rsidR="005E1D49" w:rsidRPr="00A93A47">
        <w:rPr>
          <w:rFonts w:cstheme="minorHAnsi"/>
          <w:lang w:val="en-US"/>
        </w:rPr>
        <w:t xml:space="preserve"> of </w:t>
      </w:r>
      <w:r w:rsidR="00F2420F" w:rsidRPr="00A93A47">
        <w:rPr>
          <w:rFonts w:cstheme="minorHAnsi"/>
          <w:lang w:val="en-US"/>
        </w:rPr>
        <w:t>disease-</w:t>
      </w:r>
      <w:r w:rsidR="00A93A47" w:rsidRPr="00A93A47">
        <w:rPr>
          <w:rFonts w:cstheme="minorHAnsi"/>
          <w:lang w:val="en-US"/>
        </w:rPr>
        <w:t>free</w:t>
      </w:r>
      <w:r w:rsidR="005E1D49" w:rsidRPr="00A93A47">
        <w:rPr>
          <w:rFonts w:cstheme="minorHAnsi"/>
          <w:lang w:val="en-US"/>
        </w:rPr>
        <w:t xml:space="preserve"> </w:t>
      </w:r>
      <w:r w:rsidR="00A93A47" w:rsidRPr="00A93A47">
        <w:rPr>
          <w:rFonts w:cstheme="minorHAnsi"/>
          <w:lang w:val="en-US"/>
        </w:rPr>
        <w:t xml:space="preserve">survival </w:t>
      </w:r>
      <w:r w:rsidR="0005598D">
        <w:rPr>
          <w:rFonts w:cstheme="minorHAnsi"/>
          <w:lang w:val="en-US"/>
        </w:rPr>
        <w:t>(</w:t>
      </w:r>
      <w:r w:rsidR="00960222">
        <w:rPr>
          <w:rFonts w:cstheme="minorHAnsi"/>
          <w:b/>
          <w:lang w:val="en-US"/>
        </w:rPr>
        <w:t>A</w:t>
      </w:r>
      <w:r w:rsidR="0005598D">
        <w:rPr>
          <w:rFonts w:cstheme="minorHAnsi"/>
          <w:lang w:val="en-US"/>
        </w:rPr>
        <w:t>) and overall survival (</w:t>
      </w:r>
      <w:r w:rsidR="00960222">
        <w:rPr>
          <w:rFonts w:cstheme="minorHAnsi"/>
          <w:b/>
          <w:lang w:val="en-US"/>
        </w:rPr>
        <w:t>B</w:t>
      </w:r>
      <w:r w:rsidR="0005598D">
        <w:rPr>
          <w:rFonts w:cstheme="minorHAnsi"/>
          <w:lang w:val="en-US"/>
        </w:rPr>
        <w:t xml:space="preserve">) </w:t>
      </w:r>
      <w:r w:rsidR="005E1D49" w:rsidRPr="00A93A47">
        <w:rPr>
          <w:rFonts w:cstheme="minorHAnsi"/>
          <w:lang w:val="en-US"/>
        </w:rPr>
        <w:t>for patients with high</w:t>
      </w:r>
      <w:r w:rsidR="00105813">
        <w:rPr>
          <w:rFonts w:cstheme="minorHAnsi"/>
          <w:lang w:val="en-US"/>
        </w:rPr>
        <w:t>-</w:t>
      </w:r>
      <w:r w:rsidR="005E1D49" w:rsidRPr="00A93A47">
        <w:rPr>
          <w:rFonts w:cstheme="minorHAnsi"/>
          <w:lang w:val="en-US"/>
        </w:rPr>
        <w:t xml:space="preserve">risk </w:t>
      </w:r>
      <w:r w:rsidR="003C39E0">
        <w:rPr>
          <w:rFonts w:cstheme="minorHAnsi"/>
          <w:lang w:val="en-US"/>
        </w:rPr>
        <w:t>UM</w:t>
      </w:r>
      <w:r w:rsidR="00A93A47" w:rsidRPr="00A93A47">
        <w:rPr>
          <w:rFonts w:cstheme="minorHAnsi"/>
          <w:lang w:val="en-US"/>
        </w:rPr>
        <w:t xml:space="preserve"> </w:t>
      </w:r>
      <w:r w:rsidR="005E1D49" w:rsidRPr="00A93A47">
        <w:rPr>
          <w:rFonts w:cstheme="minorHAnsi"/>
          <w:lang w:val="en-US"/>
        </w:rPr>
        <w:t>who r</w:t>
      </w:r>
      <w:r w:rsidR="00C15FE2">
        <w:rPr>
          <w:rFonts w:cstheme="minorHAnsi"/>
          <w:lang w:val="en-US"/>
        </w:rPr>
        <w:t xml:space="preserve">eceived adjuvant </w:t>
      </w:r>
      <w:r w:rsidR="00B87B67">
        <w:rPr>
          <w:rFonts w:cstheme="minorHAnsi"/>
          <w:lang w:val="en-US"/>
        </w:rPr>
        <w:t xml:space="preserve">DC </w:t>
      </w:r>
      <w:r w:rsidR="005E1D49" w:rsidRPr="00A93A47">
        <w:rPr>
          <w:rFonts w:cstheme="minorHAnsi"/>
          <w:lang w:val="en-US"/>
        </w:rPr>
        <w:t xml:space="preserve">vaccination after treatment of the primary tumor according to the </w:t>
      </w:r>
      <w:r w:rsidR="005E1D49" w:rsidRPr="0074393D">
        <w:rPr>
          <w:rFonts w:cstheme="minorHAnsi"/>
          <w:lang w:val="en-US"/>
        </w:rPr>
        <w:t xml:space="preserve">presence </w:t>
      </w:r>
      <w:r w:rsidR="00375C1A" w:rsidRPr="0074393D">
        <w:rPr>
          <w:rFonts w:cstheme="minorHAnsi"/>
          <w:lang w:val="en-US"/>
        </w:rPr>
        <w:t>(</w:t>
      </w:r>
      <w:r w:rsidR="00253B01">
        <w:rPr>
          <w:rFonts w:cstheme="minorHAnsi"/>
          <w:lang w:val="en-US"/>
        </w:rPr>
        <w:t>Tc</w:t>
      </w:r>
      <w:r w:rsidR="00440FB1" w:rsidRPr="0074393D">
        <w:rPr>
          <w:rFonts w:cstheme="minorHAnsi"/>
          <w:lang w:val="en-US"/>
        </w:rPr>
        <w:t xml:space="preserve">+; </w:t>
      </w:r>
      <w:r w:rsidR="00960222" w:rsidRPr="0074393D">
        <w:rPr>
          <w:rFonts w:cstheme="minorHAnsi"/>
          <w:lang w:val="en-US"/>
        </w:rPr>
        <w:t>n=17</w:t>
      </w:r>
      <w:r w:rsidR="0005598D" w:rsidRPr="0074393D">
        <w:rPr>
          <w:rFonts w:cstheme="minorHAnsi"/>
          <w:lang w:val="en-US"/>
        </w:rPr>
        <w:t xml:space="preserve">; </w:t>
      </w:r>
      <w:r w:rsidR="00375C1A" w:rsidRPr="0074393D">
        <w:rPr>
          <w:rFonts w:cstheme="minorHAnsi"/>
          <w:lang w:val="en-US"/>
        </w:rPr>
        <w:t>solid</w:t>
      </w:r>
      <w:r w:rsidR="002810D7" w:rsidRPr="0074393D">
        <w:rPr>
          <w:rFonts w:cstheme="minorHAnsi"/>
          <w:lang w:val="en-US"/>
        </w:rPr>
        <w:t xml:space="preserve"> black</w:t>
      </w:r>
      <w:r w:rsidR="00375C1A" w:rsidRPr="0074393D">
        <w:rPr>
          <w:rFonts w:cstheme="minorHAnsi"/>
          <w:lang w:val="en-US"/>
        </w:rPr>
        <w:t xml:space="preserve"> line) </w:t>
      </w:r>
      <w:r w:rsidR="005E1D49" w:rsidRPr="0074393D">
        <w:rPr>
          <w:rFonts w:cstheme="minorHAnsi"/>
          <w:lang w:val="en-US"/>
        </w:rPr>
        <w:t>or</w:t>
      </w:r>
      <w:r w:rsidR="005E1D49" w:rsidRPr="001372F8">
        <w:rPr>
          <w:rFonts w:cstheme="minorHAnsi"/>
          <w:lang w:val="en-US"/>
        </w:rPr>
        <w:t xml:space="preserve"> absence</w:t>
      </w:r>
      <w:r w:rsidR="00375C1A" w:rsidRPr="001372F8">
        <w:rPr>
          <w:rFonts w:cstheme="minorHAnsi"/>
          <w:lang w:val="en-US"/>
        </w:rPr>
        <w:t xml:space="preserve"> (</w:t>
      </w:r>
      <w:r w:rsidR="00253B01">
        <w:rPr>
          <w:rFonts w:cstheme="minorHAnsi"/>
          <w:lang w:val="en-US"/>
        </w:rPr>
        <w:t>Tc</w:t>
      </w:r>
      <w:r w:rsidR="00440FB1" w:rsidRPr="0074393D">
        <w:rPr>
          <w:rFonts w:cstheme="minorHAnsi"/>
          <w:lang w:val="en-US"/>
        </w:rPr>
        <w:t xml:space="preserve">-; </w:t>
      </w:r>
      <w:r w:rsidR="00960222" w:rsidRPr="0074393D">
        <w:rPr>
          <w:rFonts w:cstheme="minorHAnsi"/>
          <w:lang w:val="en-US"/>
        </w:rPr>
        <w:t>n=6</w:t>
      </w:r>
      <w:r w:rsidR="0005598D" w:rsidRPr="0074393D">
        <w:rPr>
          <w:rFonts w:cstheme="minorHAnsi"/>
          <w:lang w:val="en-US"/>
        </w:rPr>
        <w:t xml:space="preserve">; </w:t>
      </w:r>
      <w:r w:rsidR="00375C1A" w:rsidRPr="0074393D">
        <w:rPr>
          <w:rFonts w:cstheme="minorHAnsi"/>
          <w:lang w:val="en-US"/>
        </w:rPr>
        <w:t xml:space="preserve">dashed </w:t>
      </w:r>
      <w:r w:rsidR="002810D7" w:rsidRPr="0074393D">
        <w:rPr>
          <w:rFonts w:cstheme="minorHAnsi"/>
          <w:lang w:val="en-US"/>
        </w:rPr>
        <w:t xml:space="preserve">grey </w:t>
      </w:r>
      <w:r w:rsidR="00375C1A" w:rsidRPr="0074393D">
        <w:rPr>
          <w:rFonts w:cstheme="minorHAnsi"/>
          <w:lang w:val="en-US"/>
        </w:rPr>
        <w:t>line</w:t>
      </w:r>
      <w:r w:rsidR="00375C1A" w:rsidRPr="001372F8">
        <w:rPr>
          <w:rFonts w:cstheme="minorHAnsi"/>
          <w:lang w:val="en-US"/>
        </w:rPr>
        <w:t xml:space="preserve">) </w:t>
      </w:r>
      <w:r w:rsidR="005E1D49" w:rsidRPr="001372F8">
        <w:rPr>
          <w:rFonts w:cstheme="minorHAnsi"/>
          <w:lang w:val="en-US"/>
        </w:rPr>
        <w:t xml:space="preserve">of </w:t>
      </w:r>
      <w:r w:rsidR="005E1D49" w:rsidRPr="00A93A47">
        <w:rPr>
          <w:rFonts w:cstheme="minorHAnsi"/>
          <w:lang w:val="en-US"/>
        </w:rPr>
        <w:t>tumor</w:t>
      </w:r>
      <w:r w:rsidR="00133E3F">
        <w:rPr>
          <w:rFonts w:cstheme="minorHAnsi"/>
          <w:lang w:val="en-US"/>
        </w:rPr>
        <w:t xml:space="preserve"> antigen</w:t>
      </w:r>
      <w:r w:rsidR="005E1D49" w:rsidRPr="00A93A47">
        <w:rPr>
          <w:rFonts w:cstheme="minorHAnsi"/>
          <w:lang w:val="en-US"/>
        </w:rPr>
        <w:t>-specific T cells in skin-test infiltrating lymphocytes</w:t>
      </w:r>
      <w:r w:rsidR="0005598D" w:rsidRPr="00960222">
        <w:rPr>
          <w:rFonts w:cstheme="minorHAnsi"/>
          <w:lang w:val="en-US"/>
        </w:rPr>
        <w:t>.</w:t>
      </w:r>
      <w:r w:rsidR="000F3F21">
        <w:rPr>
          <w:rFonts w:cstheme="minorHAnsi"/>
          <w:lang w:val="en-US"/>
        </w:rPr>
        <w:t xml:space="preserve"> </w:t>
      </w:r>
      <w:r w:rsidR="007A2DFD">
        <w:rPr>
          <w:rFonts w:cstheme="minorHAnsi"/>
          <w:lang w:val="en-US"/>
        </w:rPr>
        <w:t>Survival was calculated from calculated from the treatment of the primary tumor.</w:t>
      </w:r>
      <w:r w:rsidR="007A2DFD" w:rsidRPr="00C15FE2">
        <w:rPr>
          <w:rFonts w:cstheme="minorHAnsi"/>
          <w:lang w:val="en-US"/>
        </w:rPr>
        <w:t xml:space="preserve"> </w:t>
      </w:r>
      <w:r w:rsidR="004D7F43" w:rsidRPr="00C15FE2">
        <w:rPr>
          <w:rFonts w:cstheme="minorHAnsi"/>
          <w:lang w:val="en-US"/>
        </w:rPr>
        <w:t>Statistical significance was determined by a log rank test.</w:t>
      </w:r>
    </w:p>
    <w:p w:rsidR="002E75D7" w:rsidRDefault="002E75D7" w:rsidP="003133E1">
      <w:pPr>
        <w:spacing w:after="0" w:line="480" w:lineRule="auto"/>
        <w:rPr>
          <w:rFonts w:cstheme="minorHAnsi"/>
          <w:lang w:val="en-US"/>
        </w:rPr>
      </w:pPr>
    </w:p>
    <w:p w:rsidR="00330EC5" w:rsidRDefault="00330EC5">
      <w:pPr>
        <w:rPr>
          <w:rFonts w:cstheme="minorHAnsi"/>
          <w:b/>
          <w:lang w:val="en-GB"/>
        </w:rPr>
      </w:pPr>
      <w:r>
        <w:rPr>
          <w:rFonts w:cstheme="minorHAnsi"/>
          <w:b/>
          <w:noProof/>
          <w:lang w:val="en-GB" w:eastAsia="en-GB"/>
        </w:rPr>
        <w:drawing>
          <wp:inline distT="0" distB="0" distL="0" distR="0">
            <wp:extent cx="5760720" cy="2246566"/>
            <wp:effectExtent l="0" t="0" r="0" b="0"/>
            <wp:docPr id="1" name="Afbeelding 1" descr="D:\1. External hard disk K 11-2 full\1 In de molen\Adjuvant oogmelanoom\Ophthal\Submission\Rebuttal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External hard disk K 11-2 full\1 In de molen\Adjuvant oogmelanoom\Ophthal\Submission\Rebuttal\Figure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C5" w:rsidRDefault="00330EC5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:rsidR="00330EC5" w:rsidRPr="00BC4F95" w:rsidRDefault="00330EC5" w:rsidP="00330EC5">
      <w:pPr>
        <w:tabs>
          <w:tab w:val="right" w:pos="540"/>
          <w:tab w:val="left" w:pos="720"/>
        </w:tabs>
        <w:spacing w:after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lastRenderedPageBreak/>
        <w:t xml:space="preserve">Supplementary </w:t>
      </w:r>
      <w:r w:rsidRPr="00BC4F95">
        <w:rPr>
          <w:rFonts w:cstheme="minorHAnsi"/>
          <w:b/>
          <w:lang w:val="en-GB"/>
        </w:rPr>
        <w:t>Table 1. Baseline characteristics.</w:t>
      </w:r>
    </w:p>
    <w:tbl>
      <w:tblPr>
        <w:tblW w:w="8277" w:type="dxa"/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1587"/>
        <w:gridCol w:w="1417"/>
        <w:gridCol w:w="794"/>
        <w:gridCol w:w="1417"/>
        <w:gridCol w:w="794"/>
        <w:gridCol w:w="1474"/>
        <w:gridCol w:w="794"/>
      </w:tblGrid>
      <w:tr w:rsidR="00330EC5" w:rsidRPr="00BC4F95" w:rsidTr="00AC16CC">
        <w:trPr>
          <w:trHeight w:val="397"/>
        </w:trPr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All patients</w:t>
            </w: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 xml:space="preserve"> n=23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T cell positive</w:t>
            </w:r>
            <w:r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  <w:t>a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n=17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>%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T cell negative</w:t>
            </w:r>
            <w:r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  <w:t>b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n=6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>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52%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59%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33%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48%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41%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67%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>Age, years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Mean (range)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56 (31-69)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56 (31-69)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54 (36-69)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>T stage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T1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4%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T2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39%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41%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33%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T3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52%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53%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50%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T4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4%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>T location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Choroid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65%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71%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50%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Ciliary body + Choroid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35%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29%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50%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>T histology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Mixed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61%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59%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67%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Epitheloid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13%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Spindle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13%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13%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0%</w:t>
            </w:r>
          </w:p>
        </w:tc>
      </w:tr>
      <w:tr w:rsidR="00330EC5" w:rsidRPr="00330EC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T tumor size mean (range)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Diameter (mm)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14 (7-23)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 (2-12)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 (4-12)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Thickness (mm)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 (2-12)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14 (7-18)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13.5 (10-23)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Local t</w:t>
            </w:r>
            <w:r w:rsidRPr="00F27AC9">
              <w:rPr>
                <w:rFonts w:cstheme="minorHAnsi"/>
                <w:b/>
                <w:sz w:val="20"/>
                <w:szCs w:val="20"/>
                <w:lang w:val="en-GB"/>
              </w:rPr>
              <w:t>reatment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vertAlign w:val="superscript"/>
                <w:lang w:val="en-GB"/>
              </w:rPr>
            </w:pP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Enucleation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78%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71%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94" w:type="dxa"/>
            <w:shd w:val="clear" w:color="auto" w:fill="FFFFFF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100%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 xml:space="preserve">Stereotactic </w:t>
            </w:r>
            <w:r>
              <w:rPr>
                <w:rFonts w:cstheme="minorHAnsi"/>
                <w:sz w:val="20"/>
                <w:szCs w:val="20"/>
                <w:lang w:val="en-GB"/>
              </w:rPr>
              <w:t>radiotherapy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17%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24%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0%</w:t>
            </w:r>
          </w:p>
        </w:tc>
      </w:tr>
      <w:tr w:rsidR="00330EC5" w:rsidRPr="00BC4F95" w:rsidTr="00AC16CC">
        <w:trPr>
          <w:trHeight w:val="193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 xml:space="preserve">Plaque </w:t>
            </w:r>
            <w:r>
              <w:rPr>
                <w:rFonts w:cstheme="minorHAnsi"/>
                <w:sz w:val="20"/>
                <w:szCs w:val="20"/>
                <w:lang w:val="en-GB"/>
              </w:rPr>
              <w:t>brachy</w:t>
            </w:r>
            <w:r w:rsidRPr="00F27AC9">
              <w:rPr>
                <w:rFonts w:cstheme="minorHAnsi"/>
                <w:sz w:val="20"/>
                <w:szCs w:val="20"/>
                <w:lang w:val="en-GB"/>
              </w:rPr>
              <w:t>therapy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27AC9">
              <w:rPr>
                <w:rFonts w:cstheme="minorHAnsi"/>
                <w:sz w:val="20"/>
                <w:szCs w:val="20"/>
                <w:lang w:val="en-GB"/>
              </w:rPr>
              <w:t>4%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6%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330EC5" w:rsidRPr="00F27AC9" w:rsidRDefault="00330EC5" w:rsidP="00AC16CC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0%</w:t>
            </w:r>
          </w:p>
        </w:tc>
      </w:tr>
    </w:tbl>
    <w:p w:rsidR="00330EC5" w:rsidRDefault="00330EC5" w:rsidP="00330EC5">
      <w:pPr>
        <w:spacing w:after="0" w:line="240" w:lineRule="auto"/>
        <w:rPr>
          <w:lang w:val="en-US"/>
        </w:rPr>
      </w:pPr>
      <w:r>
        <w:rPr>
          <w:rFonts w:cstheme="minorHAnsi"/>
          <w:b/>
          <w:vertAlign w:val="superscript"/>
          <w:lang w:val="en-GB"/>
        </w:rPr>
        <w:t>a</w:t>
      </w:r>
      <w:r>
        <w:rPr>
          <w:rFonts w:cstheme="minorHAnsi"/>
          <w:b/>
          <w:lang w:val="en-GB"/>
        </w:rPr>
        <w:t xml:space="preserve"> </w:t>
      </w:r>
      <w:r>
        <w:rPr>
          <w:lang w:val="en-US"/>
        </w:rPr>
        <w:t>presence of tumor antigen-associated specific T cells in the skin test.</w:t>
      </w:r>
    </w:p>
    <w:p w:rsidR="00330EC5" w:rsidRPr="00AD7DFF" w:rsidRDefault="00330EC5" w:rsidP="00330EC5">
      <w:pPr>
        <w:spacing w:after="0" w:line="240" w:lineRule="auto"/>
        <w:rPr>
          <w:rFonts w:cstheme="minorHAnsi"/>
          <w:b/>
          <w:lang w:val="en-GB"/>
        </w:rPr>
      </w:pPr>
      <w:r>
        <w:rPr>
          <w:vertAlign w:val="superscript"/>
          <w:lang w:val="en-US"/>
        </w:rPr>
        <w:t>b</w:t>
      </w:r>
      <w:r>
        <w:rPr>
          <w:lang w:val="en-US"/>
        </w:rPr>
        <w:t xml:space="preserve"> absence of tumor antigen-associated specific T cells in the skin test</w:t>
      </w:r>
      <w:r>
        <w:rPr>
          <w:rFonts w:cstheme="minorHAnsi"/>
          <w:b/>
          <w:lang w:val="en-GB"/>
        </w:rPr>
        <w:t>.</w:t>
      </w:r>
    </w:p>
    <w:p w:rsidR="00F27514" w:rsidRDefault="00F27514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:rsidR="008678C5" w:rsidRPr="001D57F4" w:rsidRDefault="00CF640A" w:rsidP="00956949">
      <w:pPr>
        <w:spacing w:after="0" w:line="480" w:lineRule="auto"/>
        <w:rPr>
          <w:rFonts w:cstheme="minorHAnsi"/>
          <w:b/>
        </w:rPr>
      </w:pPr>
      <w:r w:rsidRPr="001D57F4">
        <w:rPr>
          <w:rFonts w:cstheme="minorHAnsi"/>
          <w:b/>
        </w:rPr>
        <w:lastRenderedPageBreak/>
        <w:t>References</w:t>
      </w:r>
    </w:p>
    <w:p w:rsidR="00D24C4E" w:rsidRPr="00D24C4E" w:rsidRDefault="00D24C4E" w:rsidP="00D24C4E">
      <w:pPr>
        <w:pStyle w:val="EndNoteBibliography"/>
        <w:spacing w:after="0"/>
      </w:pPr>
      <w:r w:rsidRPr="001D57F4">
        <w:rPr>
          <w:lang w:val="nl-NL"/>
        </w:rPr>
        <w:t>1.</w:t>
      </w:r>
      <w:r w:rsidRPr="001D57F4">
        <w:rPr>
          <w:lang w:val="nl-NL"/>
        </w:rPr>
        <w:tab/>
        <w:t xml:space="preserve">Bol KF, Mensink HW, Aarntzen EH, et al. </w:t>
      </w:r>
      <w:r w:rsidRPr="00D24C4E">
        <w:t>Long overall survival after dendritic cell vaccination in metastatic uveal melanoma patients. Am J Ophthalmol 2014;158(5):939-47.</w:t>
      </w:r>
    </w:p>
    <w:p w:rsidR="00D24C4E" w:rsidRPr="005C40FF" w:rsidRDefault="00D24C4E" w:rsidP="00D24C4E">
      <w:pPr>
        <w:pStyle w:val="EndNoteBibliography"/>
        <w:spacing w:after="0"/>
        <w:rPr>
          <w:lang w:val="nl-NL"/>
        </w:rPr>
      </w:pPr>
      <w:r w:rsidRPr="00D24C4E">
        <w:t>2.</w:t>
      </w:r>
      <w:r w:rsidRPr="00D24C4E">
        <w:tab/>
        <w:t xml:space="preserve">Prescher G, Bornfeld N, Hirche H, et al. Prognostic implications of monosomy 3 in uveal melanoma. </w:t>
      </w:r>
      <w:r w:rsidRPr="005C40FF">
        <w:rPr>
          <w:lang w:val="nl-NL"/>
        </w:rPr>
        <w:t>Lancet 1996;347(9010):1222-5.</w:t>
      </w:r>
    </w:p>
    <w:p w:rsidR="00D24C4E" w:rsidRPr="00D24C4E" w:rsidRDefault="00D24C4E" w:rsidP="00D24C4E">
      <w:pPr>
        <w:pStyle w:val="EndNoteBibliography"/>
        <w:spacing w:after="0"/>
      </w:pPr>
      <w:r w:rsidRPr="005C40FF">
        <w:rPr>
          <w:lang w:val="nl-NL"/>
        </w:rPr>
        <w:t>3.</w:t>
      </w:r>
      <w:r w:rsidRPr="005C40FF">
        <w:rPr>
          <w:lang w:val="nl-NL"/>
        </w:rPr>
        <w:tab/>
        <w:t xml:space="preserve">Bol K, Aarntzen EH, in 't Hout FEM, et al. </w:t>
      </w:r>
      <w:r w:rsidRPr="00D24C4E">
        <w:t>Favorable overall survival in stage III melanoma patients after adjuvant dendritic cell vaccination. Oncoimmunology 2015</w:t>
      </w:r>
      <w:r w:rsidR="001D57F4">
        <w:rPr>
          <w:rFonts w:ascii="Arial" w:hAnsi="Arial" w:cs="Arial"/>
          <w:sz w:val="20"/>
          <w:szCs w:val="20"/>
        </w:rPr>
        <w:t>;5(1):e1057673</w:t>
      </w:r>
      <w:r w:rsidRPr="00D24C4E">
        <w:t>.</w:t>
      </w:r>
    </w:p>
    <w:p w:rsidR="00D24C4E" w:rsidRPr="00D24C4E" w:rsidRDefault="00D24C4E" w:rsidP="00D24C4E">
      <w:pPr>
        <w:pStyle w:val="EndNoteBibliography"/>
        <w:spacing w:after="0"/>
      </w:pPr>
      <w:r w:rsidRPr="00D24C4E">
        <w:t>4.</w:t>
      </w:r>
      <w:r w:rsidRPr="00D24C4E">
        <w:tab/>
        <w:t>White VA, Chambers JD, Courtright PD, et al. Correlation of cytogenetic abnormalities with the outcome of patients with uveal melanoma. Cancer 1998;83(2):354-9.</w:t>
      </w:r>
    </w:p>
    <w:p w:rsidR="00D24C4E" w:rsidRPr="00D24C4E" w:rsidRDefault="00D24C4E" w:rsidP="00D24C4E">
      <w:pPr>
        <w:pStyle w:val="EndNoteBibliography"/>
      </w:pPr>
      <w:r w:rsidRPr="00D24C4E">
        <w:t>5.</w:t>
      </w:r>
      <w:r w:rsidRPr="00D24C4E">
        <w:tab/>
        <w:t>Maat W, Haasnoot GW, Claas FH, et al. HLA Class I and II genotype in uveal melanoma: relation to occurrence and prognosis. Invest Ophthalmol Vis Sci 2006;47(1):3-6.</w:t>
      </w:r>
    </w:p>
    <w:p w:rsidR="00CF640A" w:rsidRPr="00A70A5A" w:rsidRDefault="00CF640A" w:rsidP="00956949">
      <w:pPr>
        <w:spacing w:after="0" w:line="480" w:lineRule="auto"/>
        <w:rPr>
          <w:rFonts w:eastAsia="Calibri" w:cstheme="minorHAnsi"/>
          <w:lang w:val="en-US"/>
        </w:rPr>
      </w:pPr>
    </w:p>
    <w:sectPr w:rsidR="00CF640A" w:rsidRPr="00A70A5A" w:rsidSect="00330E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18" w:rsidRDefault="00A14318" w:rsidP="00C856D6">
      <w:pPr>
        <w:spacing w:after="0" w:line="240" w:lineRule="auto"/>
      </w:pPr>
      <w:r>
        <w:separator/>
      </w:r>
    </w:p>
  </w:endnote>
  <w:endnote w:type="continuationSeparator" w:id="0">
    <w:p w:rsidR="00A14318" w:rsidRDefault="00A14318" w:rsidP="00C8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3313"/>
      <w:docPartObj>
        <w:docPartGallery w:val="Page Numbers (Bottom of Page)"/>
        <w:docPartUnique/>
      </w:docPartObj>
    </w:sdtPr>
    <w:sdtEndPr/>
    <w:sdtContent>
      <w:p w:rsidR="007C7080" w:rsidRDefault="00F80F3B">
        <w:pPr>
          <w:pStyle w:val="Footer"/>
          <w:jc w:val="right"/>
        </w:pPr>
        <w:r>
          <w:fldChar w:fldCharType="begin"/>
        </w:r>
        <w:r w:rsidR="00985D94">
          <w:instrText xml:space="preserve"> PAGE   \* MERGEFORMAT </w:instrText>
        </w:r>
        <w:r>
          <w:fldChar w:fldCharType="separate"/>
        </w:r>
        <w:r w:rsidR="003677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7080" w:rsidRDefault="007C7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18" w:rsidRDefault="00A14318" w:rsidP="00C856D6">
      <w:pPr>
        <w:spacing w:after="0" w:line="240" w:lineRule="auto"/>
      </w:pPr>
      <w:r>
        <w:separator/>
      </w:r>
    </w:p>
  </w:footnote>
  <w:footnote w:type="continuationSeparator" w:id="0">
    <w:p w:rsidR="00A14318" w:rsidRDefault="00A14318" w:rsidP="00C8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phthalm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pfreapxwx9wse0rd6va2x25wadawsd2tfe&quot;&gt;uveamelanoom&lt;record-ids&gt;&lt;item&gt;30&lt;/item&gt;&lt;item&gt;83&lt;/item&gt;&lt;item&gt;104&lt;/item&gt;&lt;item&gt;136&lt;/item&gt;&lt;item&gt;139&lt;/item&gt;&lt;/record-ids&gt;&lt;/item&gt;&lt;/Libraries&gt;"/>
  </w:docVars>
  <w:rsids>
    <w:rsidRoot w:val="00391173"/>
    <w:rsid w:val="00000704"/>
    <w:rsid w:val="0000771D"/>
    <w:rsid w:val="00011560"/>
    <w:rsid w:val="00015236"/>
    <w:rsid w:val="00022A86"/>
    <w:rsid w:val="0002341F"/>
    <w:rsid w:val="00024E4C"/>
    <w:rsid w:val="00027312"/>
    <w:rsid w:val="00033015"/>
    <w:rsid w:val="00034E19"/>
    <w:rsid w:val="000356DD"/>
    <w:rsid w:val="0003780C"/>
    <w:rsid w:val="000405B6"/>
    <w:rsid w:val="00042E18"/>
    <w:rsid w:val="00047F9C"/>
    <w:rsid w:val="000538A8"/>
    <w:rsid w:val="00054E22"/>
    <w:rsid w:val="0005598D"/>
    <w:rsid w:val="00056053"/>
    <w:rsid w:val="000638E2"/>
    <w:rsid w:val="00065035"/>
    <w:rsid w:val="00071722"/>
    <w:rsid w:val="00073B15"/>
    <w:rsid w:val="00076781"/>
    <w:rsid w:val="00076BEF"/>
    <w:rsid w:val="00076D63"/>
    <w:rsid w:val="00080448"/>
    <w:rsid w:val="0008154A"/>
    <w:rsid w:val="00081C22"/>
    <w:rsid w:val="00083B4B"/>
    <w:rsid w:val="00083CAD"/>
    <w:rsid w:val="00087993"/>
    <w:rsid w:val="00092123"/>
    <w:rsid w:val="000936D2"/>
    <w:rsid w:val="000944AA"/>
    <w:rsid w:val="00094BA5"/>
    <w:rsid w:val="000A0E1E"/>
    <w:rsid w:val="000A4D19"/>
    <w:rsid w:val="000A61E1"/>
    <w:rsid w:val="000B030D"/>
    <w:rsid w:val="000B10A4"/>
    <w:rsid w:val="000B2F6E"/>
    <w:rsid w:val="000B6769"/>
    <w:rsid w:val="000C0411"/>
    <w:rsid w:val="000C15B3"/>
    <w:rsid w:val="000C4254"/>
    <w:rsid w:val="000C4283"/>
    <w:rsid w:val="000C5A62"/>
    <w:rsid w:val="000D08A9"/>
    <w:rsid w:val="000D0F8F"/>
    <w:rsid w:val="000D1036"/>
    <w:rsid w:val="000D1810"/>
    <w:rsid w:val="000D453A"/>
    <w:rsid w:val="000E0EFC"/>
    <w:rsid w:val="000F2ADC"/>
    <w:rsid w:val="000F2B1D"/>
    <w:rsid w:val="000F3F21"/>
    <w:rsid w:val="000F6813"/>
    <w:rsid w:val="001023FD"/>
    <w:rsid w:val="0010296D"/>
    <w:rsid w:val="00105813"/>
    <w:rsid w:val="00110AEE"/>
    <w:rsid w:val="00110E27"/>
    <w:rsid w:val="00112009"/>
    <w:rsid w:val="001123F7"/>
    <w:rsid w:val="00112919"/>
    <w:rsid w:val="00114657"/>
    <w:rsid w:val="001176FA"/>
    <w:rsid w:val="00122862"/>
    <w:rsid w:val="0012443E"/>
    <w:rsid w:val="00125C3F"/>
    <w:rsid w:val="00130376"/>
    <w:rsid w:val="00131B98"/>
    <w:rsid w:val="00133E3F"/>
    <w:rsid w:val="001341EF"/>
    <w:rsid w:val="00135505"/>
    <w:rsid w:val="001372F8"/>
    <w:rsid w:val="00141713"/>
    <w:rsid w:val="00142605"/>
    <w:rsid w:val="00145AAB"/>
    <w:rsid w:val="00146186"/>
    <w:rsid w:val="001463DF"/>
    <w:rsid w:val="00147803"/>
    <w:rsid w:val="00147DC4"/>
    <w:rsid w:val="00154279"/>
    <w:rsid w:val="0015504B"/>
    <w:rsid w:val="00165667"/>
    <w:rsid w:val="00166121"/>
    <w:rsid w:val="00166565"/>
    <w:rsid w:val="001700DE"/>
    <w:rsid w:val="0017111F"/>
    <w:rsid w:val="001719F5"/>
    <w:rsid w:val="00176A4B"/>
    <w:rsid w:val="00180B86"/>
    <w:rsid w:val="0018273D"/>
    <w:rsid w:val="00187E6B"/>
    <w:rsid w:val="001935CB"/>
    <w:rsid w:val="00193897"/>
    <w:rsid w:val="00195446"/>
    <w:rsid w:val="00195556"/>
    <w:rsid w:val="0019690F"/>
    <w:rsid w:val="00196D18"/>
    <w:rsid w:val="001A0713"/>
    <w:rsid w:val="001A5626"/>
    <w:rsid w:val="001A6074"/>
    <w:rsid w:val="001B0B4F"/>
    <w:rsid w:val="001B3625"/>
    <w:rsid w:val="001B4142"/>
    <w:rsid w:val="001B4411"/>
    <w:rsid w:val="001C54C6"/>
    <w:rsid w:val="001D2B95"/>
    <w:rsid w:val="001D57F4"/>
    <w:rsid w:val="001E0677"/>
    <w:rsid w:val="001E12C6"/>
    <w:rsid w:val="001E37C0"/>
    <w:rsid w:val="001F398D"/>
    <w:rsid w:val="001F47CA"/>
    <w:rsid w:val="001F4D5D"/>
    <w:rsid w:val="001F7233"/>
    <w:rsid w:val="001F7278"/>
    <w:rsid w:val="001F7DE9"/>
    <w:rsid w:val="00200697"/>
    <w:rsid w:val="0020616B"/>
    <w:rsid w:val="00206CBD"/>
    <w:rsid w:val="00211AEC"/>
    <w:rsid w:val="00216B18"/>
    <w:rsid w:val="0021793E"/>
    <w:rsid w:val="00220E56"/>
    <w:rsid w:val="0023176B"/>
    <w:rsid w:val="00235642"/>
    <w:rsid w:val="00240C54"/>
    <w:rsid w:val="002439B0"/>
    <w:rsid w:val="002467EB"/>
    <w:rsid w:val="002515F4"/>
    <w:rsid w:val="002517A1"/>
    <w:rsid w:val="002537DD"/>
    <w:rsid w:val="00253B01"/>
    <w:rsid w:val="00254175"/>
    <w:rsid w:val="002576C5"/>
    <w:rsid w:val="00260770"/>
    <w:rsid w:val="00260847"/>
    <w:rsid w:val="00260A9B"/>
    <w:rsid w:val="00261789"/>
    <w:rsid w:val="00263408"/>
    <w:rsid w:val="00263946"/>
    <w:rsid w:val="002642C8"/>
    <w:rsid w:val="002675F1"/>
    <w:rsid w:val="00271C50"/>
    <w:rsid w:val="00272041"/>
    <w:rsid w:val="00272F1E"/>
    <w:rsid w:val="0027376C"/>
    <w:rsid w:val="00274211"/>
    <w:rsid w:val="00276B2B"/>
    <w:rsid w:val="002810D7"/>
    <w:rsid w:val="00285A00"/>
    <w:rsid w:val="0028602C"/>
    <w:rsid w:val="00286A33"/>
    <w:rsid w:val="002A2A43"/>
    <w:rsid w:val="002B6A4C"/>
    <w:rsid w:val="002B77E2"/>
    <w:rsid w:val="002D06FB"/>
    <w:rsid w:val="002D574C"/>
    <w:rsid w:val="002D609F"/>
    <w:rsid w:val="002E10FB"/>
    <w:rsid w:val="002E1C6A"/>
    <w:rsid w:val="002E21D6"/>
    <w:rsid w:val="002E240A"/>
    <w:rsid w:val="002E4643"/>
    <w:rsid w:val="002E75D7"/>
    <w:rsid w:val="002F0135"/>
    <w:rsid w:val="002F234E"/>
    <w:rsid w:val="002F45D0"/>
    <w:rsid w:val="002F5035"/>
    <w:rsid w:val="00300207"/>
    <w:rsid w:val="003014F4"/>
    <w:rsid w:val="003046FB"/>
    <w:rsid w:val="00311728"/>
    <w:rsid w:val="003133E1"/>
    <w:rsid w:val="003169EB"/>
    <w:rsid w:val="00320992"/>
    <w:rsid w:val="00323C4D"/>
    <w:rsid w:val="00324F74"/>
    <w:rsid w:val="0032502F"/>
    <w:rsid w:val="00325705"/>
    <w:rsid w:val="00325D49"/>
    <w:rsid w:val="00330EC5"/>
    <w:rsid w:val="00340D57"/>
    <w:rsid w:val="0034703B"/>
    <w:rsid w:val="00352570"/>
    <w:rsid w:val="00354C49"/>
    <w:rsid w:val="0035662C"/>
    <w:rsid w:val="00360137"/>
    <w:rsid w:val="0036335B"/>
    <w:rsid w:val="00363FFE"/>
    <w:rsid w:val="003677C0"/>
    <w:rsid w:val="00367D4D"/>
    <w:rsid w:val="0037375D"/>
    <w:rsid w:val="003747F6"/>
    <w:rsid w:val="003751FC"/>
    <w:rsid w:val="00375C1A"/>
    <w:rsid w:val="003761F9"/>
    <w:rsid w:val="00381B78"/>
    <w:rsid w:val="00384B43"/>
    <w:rsid w:val="00385AD8"/>
    <w:rsid w:val="00385EDC"/>
    <w:rsid w:val="0038690D"/>
    <w:rsid w:val="00391173"/>
    <w:rsid w:val="0039458A"/>
    <w:rsid w:val="00397559"/>
    <w:rsid w:val="003A3609"/>
    <w:rsid w:val="003A5975"/>
    <w:rsid w:val="003A6B3B"/>
    <w:rsid w:val="003A6BEF"/>
    <w:rsid w:val="003A7E55"/>
    <w:rsid w:val="003B14F8"/>
    <w:rsid w:val="003B44E1"/>
    <w:rsid w:val="003B46DB"/>
    <w:rsid w:val="003B4724"/>
    <w:rsid w:val="003B6111"/>
    <w:rsid w:val="003C03F7"/>
    <w:rsid w:val="003C39E0"/>
    <w:rsid w:val="003C4897"/>
    <w:rsid w:val="003C6C87"/>
    <w:rsid w:val="003C6F37"/>
    <w:rsid w:val="003C72B5"/>
    <w:rsid w:val="003D0195"/>
    <w:rsid w:val="003D1B29"/>
    <w:rsid w:val="003D2224"/>
    <w:rsid w:val="003D44CD"/>
    <w:rsid w:val="003D4C53"/>
    <w:rsid w:val="003E0065"/>
    <w:rsid w:val="003E4B72"/>
    <w:rsid w:val="003E6761"/>
    <w:rsid w:val="003F1BD4"/>
    <w:rsid w:val="003F524D"/>
    <w:rsid w:val="003F7DC1"/>
    <w:rsid w:val="00400F1A"/>
    <w:rsid w:val="00402EB5"/>
    <w:rsid w:val="00403670"/>
    <w:rsid w:val="004038C2"/>
    <w:rsid w:val="00404BA0"/>
    <w:rsid w:val="00405AD2"/>
    <w:rsid w:val="00406BEC"/>
    <w:rsid w:val="00413DD4"/>
    <w:rsid w:val="00420BC4"/>
    <w:rsid w:val="0042232C"/>
    <w:rsid w:val="00423A8A"/>
    <w:rsid w:val="004252B6"/>
    <w:rsid w:val="00426A3F"/>
    <w:rsid w:val="0042726F"/>
    <w:rsid w:val="00434704"/>
    <w:rsid w:val="00437C60"/>
    <w:rsid w:val="00440FB1"/>
    <w:rsid w:val="00441033"/>
    <w:rsid w:val="00442816"/>
    <w:rsid w:val="00443C85"/>
    <w:rsid w:val="00445757"/>
    <w:rsid w:val="0044576F"/>
    <w:rsid w:val="0044600D"/>
    <w:rsid w:val="00446E09"/>
    <w:rsid w:val="00450D64"/>
    <w:rsid w:val="00451BF3"/>
    <w:rsid w:val="0045658E"/>
    <w:rsid w:val="00457976"/>
    <w:rsid w:val="00461E8A"/>
    <w:rsid w:val="00463327"/>
    <w:rsid w:val="00463A38"/>
    <w:rsid w:val="00474069"/>
    <w:rsid w:val="00474D11"/>
    <w:rsid w:val="00475705"/>
    <w:rsid w:val="004801C7"/>
    <w:rsid w:val="0048324C"/>
    <w:rsid w:val="004835AC"/>
    <w:rsid w:val="004835CF"/>
    <w:rsid w:val="00486029"/>
    <w:rsid w:val="0048649D"/>
    <w:rsid w:val="004877FD"/>
    <w:rsid w:val="00490F96"/>
    <w:rsid w:val="004910D5"/>
    <w:rsid w:val="004952FC"/>
    <w:rsid w:val="004A0C09"/>
    <w:rsid w:val="004A1ED3"/>
    <w:rsid w:val="004A24DA"/>
    <w:rsid w:val="004A4916"/>
    <w:rsid w:val="004A4DC3"/>
    <w:rsid w:val="004A5331"/>
    <w:rsid w:val="004A5FB8"/>
    <w:rsid w:val="004A7544"/>
    <w:rsid w:val="004A7689"/>
    <w:rsid w:val="004A7E0A"/>
    <w:rsid w:val="004B1237"/>
    <w:rsid w:val="004B1329"/>
    <w:rsid w:val="004B1718"/>
    <w:rsid w:val="004B190F"/>
    <w:rsid w:val="004B291C"/>
    <w:rsid w:val="004B7145"/>
    <w:rsid w:val="004B76DF"/>
    <w:rsid w:val="004B7E60"/>
    <w:rsid w:val="004C0A1A"/>
    <w:rsid w:val="004C6AE0"/>
    <w:rsid w:val="004C7C23"/>
    <w:rsid w:val="004D1EF0"/>
    <w:rsid w:val="004D50D0"/>
    <w:rsid w:val="004D712D"/>
    <w:rsid w:val="004D7F3F"/>
    <w:rsid w:val="004D7F43"/>
    <w:rsid w:val="004E0A50"/>
    <w:rsid w:val="004E1045"/>
    <w:rsid w:val="004F0918"/>
    <w:rsid w:val="004F3B05"/>
    <w:rsid w:val="004F3F92"/>
    <w:rsid w:val="00500354"/>
    <w:rsid w:val="005020D9"/>
    <w:rsid w:val="00502471"/>
    <w:rsid w:val="00502553"/>
    <w:rsid w:val="00502DCA"/>
    <w:rsid w:val="005036B8"/>
    <w:rsid w:val="00505201"/>
    <w:rsid w:val="005123E7"/>
    <w:rsid w:val="0051547C"/>
    <w:rsid w:val="00520DCB"/>
    <w:rsid w:val="005223C2"/>
    <w:rsid w:val="00524164"/>
    <w:rsid w:val="005320F0"/>
    <w:rsid w:val="00532893"/>
    <w:rsid w:val="005378F9"/>
    <w:rsid w:val="0054618A"/>
    <w:rsid w:val="00546E33"/>
    <w:rsid w:val="00547462"/>
    <w:rsid w:val="0055170B"/>
    <w:rsid w:val="005524D9"/>
    <w:rsid w:val="005538B4"/>
    <w:rsid w:val="00554126"/>
    <w:rsid w:val="00556ECC"/>
    <w:rsid w:val="00561579"/>
    <w:rsid w:val="00562335"/>
    <w:rsid w:val="00564A0D"/>
    <w:rsid w:val="005668AD"/>
    <w:rsid w:val="00566E54"/>
    <w:rsid w:val="00570936"/>
    <w:rsid w:val="00570F6A"/>
    <w:rsid w:val="005715CE"/>
    <w:rsid w:val="00574F45"/>
    <w:rsid w:val="00575178"/>
    <w:rsid w:val="00575FEE"/>
    <w:rsid w:val="005770C9"/>
    <w:rsid w:val="00583C10"/>
    <w:rsid w:val="0058584C"/>
    <w:rsid w:val="00590FEA"/>
    <w:rsid w:val="00591091"/>
    <w:rsid w:val="00592272"/>
    <w:rsid w:val="005933D0"/>
    <w:rsid w:val="005A5FED"/>
    <w:rsid w:val="005A6FF6"/>
    <w:rsid w:val="005B16C5"/>
    <w:rsid w:val="005B6FF2"/>
    <w:rsid w:val="005C24A7"/>
    <w:rsid w:val="005C40FF"/>
    <w:rsid w:val="005C65FF"/>
    <w:rsid w:val="005D11A8"/>
    <w:rsid w:val="005E19FA"/>
    <w:rsid w:val="005E1D49"/>
    <w:rsid w:val="005F2528"/>
    <w:rsid w:val="00603116"/>
    <w:rsid w:val="00612E67"/>
    <w:rsid w:val="00612E90"/>
    <w:rsid w:val="00614F15"/>
    <w:rsid w:val="00615E6C"/>
    <w:rsid w:val="006176B5"/>
    <w:rsid w:val="00617D99"/>
    <w:rsid w:val="00620394"/>
    <w:rsid w:val="00624071"/>
    <w:rsid w:val="0062686F"/>
    <w:rsid w:val="00626CF8"/>
    <w:rsid w:val="00627C3B"/>
    <w:rsid w:val="00630A65"/>
    <w:rsid w:val="00631354"/>
    <w:rsid w:val="00631472"/>
    <w:rsid w:val="00631838"/>
    <w:rsid w:val="00633F4E"/>
    <w:rsid w:val="00637AD9"/>
    <w:rsid w:val="006401EC"/>
    <w:rsid w:val="00640EB8"/>
    <w:rsid w:val="00647629"/>
    <w:rsid w:val="00647A71"/>
    <w:rsid w:val="00650AA8"/>
    <w:rsid w:val="006536CB"/>
    <w:rsid w:val="006564F9"/>
    <w:rsid w:val="0065728C"/>
    <w:rsid w:val="00657841"/>
    <w:rsid w:val="00660B6B"/>
    <w:rsid w:val="00663D75"/>
    <w:rsid w:val="0066628B"/>
    <w:rsid w:val="006669BA"/>
    <w:rsid w:val="00667B79"/>
    <w:rsid w:val="00671A50"/>
    <w:rsid w:val="00671FC1"/>
    <w:rsid w:val="0067743F"/>
    <w:rsid w:val="006777D3"/>
    <w:rsid w:val="006810CE"/>
    <w:rsid w:val="006817C4"/>
    <w:rsid w:val="0068383F"/>
    <w:rsid w:val="00687A9E"/>
    <w:rsid w:val="00687B69"/>
    <w:rsid w:val="00687E7E"/>
    <w:rsid w:val="00690638"/>
    <w:rsid w:val="006932FB"/>
    <w:rsid w:val="00696026"/>
    <w:rsid w:val="00696A59"/>
    <w:rsid w:val="00697F91"/>
    <w:rsid w:val="006A1199"/>
    <w:rsid w:val="006A3A57"/>
    <w:rsid w:val="006A5D0C"/>
    <w:rsid w:val="006A75F9"/>
    <w:rsid w:val="006B1266"/>
    <w:rsid w:val="006B4335"/>
    <w:rsid w:val="006B6881"/>
    <w:rsid w:val="006B7D1F"/>
    <w:rsid w:val="006C0B10"/>
    <w:rsid w:val="006C4A9D"/>
    <w:rsid w:val="006D14DE"/>
    <w:rsid w:val="006D1631"/>
    <w:rsid w:val="006D454A"/>
    <w:rsid w:val="006E36D6"/>
    <w:rsid w:val="006E4A59"/>
    <w:rsid w:val="006F2D74"/>
    <w:rsid w:val="006F345A"/>
    <w:rsid w:val="006F3C08"/>
    <w:rsid w:val="006F479B"/>
    <w:rsid w:val="0070029A"/>
    <w:rsid w:val="0070139D"/>
    <w:rsid w:val="00701664"/>
    <w:rsid w:val="00704B87"/>
    <w:rsid w:val="0070609F"/>
    <w:rsid w:val="007061E9"/>
    <w:rsid w:val="00707D17"/>
    <w:rsid w:val="0071053E"/>
    <w:rsid w:val="0071199F"/>
    <w:rsid w:val="007154DC"/>
    <w:rsid w:val="00717568"/>
    <w:rsid w:val="007200F5"/>
    <w:rsid w:val="00720231"/>
    <w:rsid w:val="00721B1C"/>
    <w:rsid w:val="00725F45"/>
    <w:rsid w:val="0072635D"/>
    <w:rsid w:val="0072799E"/>
    <w:rsid w:val="007350C9"/>
    <w:rsid w:val="00737274"/>
    <w:rsid w:val="00737291"/>
    <w:rsid w:val="0074006A"/>
    <w:rsid w:val="00740F06"/>
    <w:rsid w:val="0074393D"/>
    <w:rsid w:val="007448AE"/>
    <w:rsid w:val="00744FAC"/>
    <w:rsid w:val="00746DED"/>
    <w:rsid w:val="00747DC5"/>
    <w:rsid w:val="0075277E"/>
    <w:rsid w:val="007549C4"/>
    <w:rsid w:val="007564E3"/>
    <w:rsid w:val="00757A9E"/>
    <w:rsid w:val="00764360"/>
    <w:rsid w:val="00770CA5"/>
    <w:rsid w:val="00772E29"/>
    <w:rsid w:val="0077483D"/>
    <w:rsid w:val="00784265"/>
    <w:rsid w:val="00785752"/>
    <w:rsid w:val="00786C74"/>
    <w:rsid w:val="00787141"/>
    <w:rsid w:val="00787EF0"/>
    <w:rsid w:val="007918C3"/>
    <w:rsid w:val="007920F7"/>
    <w:rsid w:val="00792DB0"/>
    <w:rsid w:val="007941E7"/>
    <w:rsid w:val="007956C8"/>
    <w:rsid w:val="00796D86"/>
    <w:rsid w:val="007A08E5"/>
    <w:rsid w:val="007A124A"/>
    <w:rsid w:val="007A1BEC"/>
    <w:rsid w:val="007A2DFD"/>
    <w:rsid w:val="007A3716"/>
    <w:rsid w:val="007A70E5"/>
    <w:rsid w:val="007B1D21"/>
    <w:rsid w:val="007B45E9"/>
    <w:rsid w:val="007B5DFD"/>
    <w:rsid w:val="007B744C"/>
    <w:rsid w:val="007C39A1"/>
    <w:rsid w:val="007C64EF"/>
    <w:rsid w:val="007C7080"/>
    <w:rsid w:val="007C7532"/>
    <w:rsid w:val="007D0070"/>
    <w:rsid w:val="007D3A77"/>
    <w:rsid w:val="007D6E5A"/>
    <w:rsid w:val="007E0523"/>
    <w:rsid w:val="007E0D6C"/>
    <w:rsid w:val="007E3B72"/>
    <w:rsid w:val="007E495E"/>
    <w:rsid w:val="007E64BE"/>
    <w:rsid w:val="007E71DA"/>
    <w:rsid w:val="007E72C2"/>
    <w:rsid w:val="007E7CF6"/>
    <w:rsid w:val="007F6908"/>
    <w:rsid w:val="00800B06"/>
    <w:rsid w:val="00801F5B"/>
    <w:rsid w:val="008026F3"/>
    <w:rsid w:val="008037F3"/>
    <w:rsid w:val="0080382A"/>
    <w:rsid w:val="00805086"/>
    <w:rsid w:val="00805169"/>
    <w:rsid w:val="00805FD6"/>
    <w:rsid w:val="008079C0"/>
    <w:rsid w:val="008138FE"/>
    <w:rsid w:val="00820AA4"/>
    <w:rsid w:val="008217C6"/>
    <w:rsid w:val="0082222E"/>
    <w:rsid w:val="00823184"/>
    <w:rsid w:val="00831C1B"/>
    <w:rsid w:val="00833F7A"/>
    <w:rsid w:val="008375C7"/>
    <w:rsid w:val="008424A6"/>
    <w:rsid w:val="008452BF"/>
    <w:rsid w:val="008474E2"/>
    <w:rsid w:val="0084782D"/>
    <w:rsid w:val="00847953"/>
    <w:rsid w:val="008547B4"/>
    <w:rsid w:val="008554E2"/>
    <w:rsid w:val="00855D48"/>
    <w:rsid w:val="00856702"/>
    <w:rsid w:val="00862D45"/>
    <w:rsid w:val="00864956"/>
    <w:rsid w:val="00864969"/>
    <w:rsid w:val="0086590A"/>
    <w:rsid w:val="00866268"/>
    <w:rsid w:val="008667F2"/>
    <w:rsid w:val="00866913"/>
    <w:rsid w:val="008678C5"/>
    <w:rsid w:val="00871D16"/>
    <w:rsid w:val="008772B9"/>
    <w:rsid w:val="008801C3"/>
    <w:rsid w:val="00882EC7"/>
    <w:rsid w:val="00886438"/>
    <w:rsid w:val="00893666"/>
    <w:rsid w:val="0089395C"/>
    <w:rsid w:val="00895714"/>
    <w:rsid w:val="008A5D49"/>
    <w:rsid w:val="008A6C42"/>
    <w:rsid w:val="008B0A89"/>
    <w:rsid w:val="008B1763"/>
    <w:rsid w:val="008B2BA8"/>
    <w:rsid w:val="008B5EF1"/>
    <w:rsid w:val="008B66AA"/>
    <w:rsid w:val="008B6B74"/>
    <w:rsid w:val="008B7DB7"/>
    <w:rsid w:val="008C206F"/>
    <w:rsid w:val="008C353E"/>
    <w:rsid w:val="008C73A2"/>
    <w:rsid w:val="008C7D8A"/>
    <w:rsid w:val="008C7EEC"/>
    <w:rsid w:val="008D102A"/>
    <w:rsid w:val="008D18B3"/>
    <w:rsid w:val="008D2E41"/>
    <w:rsid w:val="008D3B78"/>
    <w:rsid w:val="008D71E1"/>
    <w:rsid w:val="008D76F1"/>
    <w:rsid w:val="008E1F9B"/>
    <w:rsid w:val="008E4A71"/>
    <w:rsid w:val="008F290B"/>
    <w:rsid w:val="008F2F87"/>
    <w:rsid w:val="008F3AF5"/>
    <w:rsid w:val="00901885"/>
    <w:rsid w:val="009042AE"/>
    <w:rsid w:val="0090696E"/>
    <w:rsid w:val="0091295F"/>
    <w:rsid w:val="00924C99"/>
    <w:rsid w:val="00926023"/>
    <w:rsid w:val="00932ECC"/>
    <w:rsid w:val="009331AD"/>
    <w:rsid w:val="00933B25"/>
    <w:rsid w:val="00942A6D"/>
    <w:rsid w:val="00944B0C"/>
    <w:rsid w:val="00946013"/>
    <w:rsid w:val="00946F97"/>
    <w:rsid w:val="0094727F"/>
    <w:rsid w:val="00951534"/>
    <w:rsid w:val="009539AF"/>
    <w:rsid w:val="00954423"/>
    <w:rsid w:val="00954A52"/>
    <w:rsid w:val="00956949"/>
    <w:rsid w:val="00960222"/>
    <w:rsid w:val="00963307"/>
    <w:rsid w:val="00966B59"/>
    <w:rsid w:val="009764DF"/>
    <w:rsid w:val="0098060C"/>
    <w:rsid w:val="009829F7"/>
    <w:rsid w:val="009848B8"/>
    <w:rsid w:val="00985D94"/>
    <w:rsid w:val="0098686B"/>
    <w:rsid w:val="00987C3C"/>
    <w:rsid w:val="00990505"/>
    <w:rsid w:val="00990BEF"/>
    <w:rsid w:val="009942A0"/>
    <w:rsid w:val="00994576"/>
    <w:rsid w:val="00994AF7"/>
    <w:rsid w:val="009A0187"/>
    <w:rsid w:val="009A32C1"/>
    <w:rsid w:val="009A7567"/>
    <w:rsid w:val="009B03C3"/>
    <w:rsid w:val="009B0BC7"/>
    <w:rsid w:val="009B1C5B"/>
    <w:rsid w:val="009B31CF"/>
    <w:rsid w:val="009B3E2D"/>
    <w:rsid w:val="009C1676"/>
    <w:rsid w:val="009C678E"/>
    <w:rsid w:val="009D327E"/>
    <w:rsid w:val="009E0B93"/>
    <w:rsid w:val="009E1DE1"/>
    <w:rsid w:val="009E2BD0"/>
    <w:rsid w:val="009E2CDF"/>
    <w:rsid w:val="009E4B14"/>
    <w:rsid w:val="009E794A"/>
    <w:rsid w:val="009F008E"/>
    <w:rsid w:val="00A02653"/>
    <w:rsid w:val="00A05F0F"/>
    <w:rsid w:val="00A06397"/>
    <w:rsid w:val="00A06809"/>
    <w:rsid w:val="00A114A2"/>
    <w:rsid w:val="00A12EC0"/>
    <w:rsid w:val="00A133E8"/>
    <w:rsid w:val="00A13CE8"/>
    <w:rsid w:val="00A13F36"/>
    <w:rsid w:val="00A142B3"/>
    <w:rsid w:val="00A14318"/>
    <w:rsid w:val="00A17E46"/>
    <w:rsid w:val="00A2092E"/>
    <w:rsid w:val="00A22B54"/>
    <w:rsid w:val="00A2388D"/>
    <w:rsid w:val="00A26E8A"/>
    <w:rsid w:val="00A3085E"/>
    <w:rsid w:val="00A4218F"/>
    <w:rsid w:val="00A51345"/>
    <w:rsid w:val="00A53FDE"/>
    <w:rsid w:val="00A55E00"/>
    <w:rsid w:val="00A560E3"/>
    <w:rsid w:val="00A60937"/>
    <w:rsid w:val="00A61641"/>
    <w:rsid w:val="00A63476"/>
    <w:rsid w:val="00A63D86"/>
    <w:rsid w:val="00A66A7A"/>
    <w:rsid w:val="00A70A5A"/>
    <w:rsid w:val="00A70B2D"/>
    <w:rsid w:val="00A73318"/>
    <w:rsid w:val="00A76851"/>
    <w:rsid w:val="00A77F92"/>
    <w:rsid w:val="00A807E7"/>
    <w:rsid w:val="00A80A89"/>
    <w:rsid w:val="00A83BB5"/>
    <w:rsid w:val="00A83DC4"/>
    <w:rsid w:val="00A83DE7"/>
    <w:rsid w:val="00A86A07"/>
    <w:rsid w:val="00A917ED"/>
    <w:rsid w:val="00A935D7"/>
    <w:rsid w:val="00A93772"/>
    <w:rsid w:val="00A93A47"/>
    <w:rsid w:val="00A9710F"/>
    <w:rsid w:val="00A97CD7"/>
    <w:rsid w:val="00AA3DCC"/>
    <w:rsid w:val="00AB5784"/>
    <w:rsid w:val="00AC0042"/>
    <w:rsid w:val="00AC1CED"/>
    <w:rsid w:val="00AC328B"/>
    <w:rsid w:val="00AC4505"/>
    <w:rsid w:val="00AC69A9"/>
    <w:rsid w:val="00AD081F"/>
    <w:rsid w:val="00AD53B6"/>
    <w:rsid w:val="00AE0D09"/>
    <w:rsid w:val="00AE12C6"/>
    <w:rsid w:val="00AE220F"/>
    <w:rsid w:val="00AE55BB"/>
    <w:rsid w:val="00AE6EDE"/>
    <w:rsid w:val="00AF0AC9"/>
    <w:rsid w:val="00AF12CE"/>
    <w:rsid w:val="00AF31B9"/>
    <w:rsid w:val="00AF3F77"/>
    <w:rsid w:val="00B05E0B"/>
    <w:rsid w:val="00B0621B"/>
    <w:rsid w:val="00B0768D"/>
    <w:rsid w:val="00B139B1"/>
    <w:rsid w:val="00B13C23"/>
    <w:rsid w:val="00B13D6B"/>
    <w:rsid w:val="00B1786D"/>
    <w:rsid w:val="00B20758"/>
    <w:rsid w:val="00B21078"/>
    <w:rsid w:val="00B22C38"/>
    <w:rsid w:val="00B24495"/>
    <w:rsid w:val="00B25867"/>
    <w:rsid w:val="00B301B4"/>
    <w:rsid w:val="00B311D6"/>
    <w:rsid w:val="00B3222B"/>
    <w:rsid w:val="00B33575"/>
    <w:rsid w:val="00B35BC5"/>
    <w:rsid w:val="00B36B4C"/>
    <w:rsid w:val="00B407EF"/>
    <w:rsid w:val="00B428A8"/>
    <w:rsid w:val="00B4517A"/>
    <w:rsid w:val="00B471AD"/>
    <w:rsid w:val="00B5040E"/>
    <w:rsid w:val="00B51738"/>
    <w:rsid w:val="00B5173E"/>
    <w:rsid w:val="00B53F3A"/>
    <w:rsid w:val="00B54508"/>
    <w:rsid w:val="00B55703"/>
    <w:rsid w:val="00B61110"/>
    <w:rsid w:val="00B622FE"/>
    <w:rsid w:val="00B64F53"/>
    <w:rsid w:val="00B6598C"/>
    <w:rsid w:val="00B70562"/>
    <w:rsid w:val="00B70CAF"/>
    <w:rsid w:val="00B73995"/>
    <w:rsid w:val="00B73E9F"/>
    <w:rsid w:val="00B73FD5"/>
    <w:rsid w:val="00B75F82"/>
    <w:rsid w:val="00B81444"/>
    <w:rsid w:val="00B86677"/>
    <w:rsid w:val="00B87B67"/>
    <w:rsid w:val="00B93C7B"/>
    <w:rsid w:val="00B94F93"/>
    <w:rsid w:val="00B95A31"/>
    <w:rsid w:val="00B97942"/>
    <w:rsid w:val="00BA1C2A"/>
    <w:rsid w:val="00BA2D1D"/>
    <w:rsid w:val="00BB0E26"/>
    <w:rsid w:val="00BB2CB1"/>
    <w:rsid w:val="00BB2DA7"/>
    <w:rsid w:val="00BB2FE4"/>
    <w:rsid w:val="00BB45BB"/>
    <w:rsid w:val="00BB4BFF"/>
    <w:rsid w:val="00BB7873"/>
    <w:rsid w:val="00BC4F95"/>
    <w:rsid w:val="00BC607E"/>
    <w:rsid w:val="00BC6979"/>
    <w:rsid w:val="00BC6E2E"/>
    <w:rsid w:val="00BC70F3"/>
    <w:rsid w:val="00BD098E"/>
    <w:rsid w:val="00BD0DCF"/>
    <w:rsid w:val="00BD1C5F"/>
    <w:rsid w:val="00BD3796"/>
    <w:rsid w:val="00BD4050"/>
    <w:rsid w:val="00BD53A7"/>
    <w:rsid w:val="00BD64A8"/>
    <w:rsid w:val="00BD79EB"/>
    <w:rsid w:val="00BE32F4"/>
    <w:rsid w:val="00BE3462"/>
    <w:rsid w:val="00BE47F5"/>
    <w:rsid w:val="00BE4937"/>
    <w:rsid w:val="00BE6D7F"/>
    <w:rsid w:val="00BF0D8A"/>
    <w:rsid w:val="00BF4DB8"/>
    <w:rsid w:val="00BF643E"/>
    <w:rsid w:val="00BF6A15"/>
    <w:rsid w:val="00C02511"/>
    <w:rsid w:val="00C0267C"/>
    <w:rsid w:val="00C02867"/>
    <w:rsid w:val="00C039CF"/>
    <w:rsid w:val="00C03EBA"/>
    <w:rsid w:val="00C130A9"/>
    <w:rsid w:val="00C13360"/>
    <w:rsid w:val="00C144DF"/>
    <w:rsid w:val="00C15FE2"/>
    <w:rsid w:val="00C16176"/>
    <w:rsid w:val="00C1662A"/>
    <w:rsid w:val="00C20DE7"/>
    <w:rsid w:val="00C22CF9"/>
    <w:rsid w:val="00C23638"/>
    <w:rsid w:val="00C266D8"/>
    <w:rsid w:val="00C2733C"/>
    <w:rsid w:val="00C36230"/>
    <w:rsid w:val="00C372E7"/>
    <w:rsid w:val="00C43E60"/>
    <w:rsid w:val="00C46344"/>
    <w:rsid w:val="00C47A53"/>
    <w:rsid w:val="00C52869"/>
    <w:rsid w:val="00C52E91"/>
    <w:rsid w:val="00C53841"/>
    <w:rsid w:val="00C53CB3"/>
    <w:rsid w:val="00C54FB5"/>
    <w:rsid w:val="00C60FE0"/>
    <w:rsid w:val="00C67C91"/>
    <w:rsid w:val="00C75976"/>
    <w:rsid w:val="00C7636F"/>
    <w:rsid w:val="00C83239"/>
    <w:rsid w:val="00C856D6"/>
    <w:rsid w:val="00C86631"/>
    <w:rsid w:val="00C871A2"/>
    <w:rsid w:val="00C90D0D"/>
    <w:rsid w:val="00C92233"/>
    <w:rsid w:val="00C939D9"/>
    <w:rsid w:val="00C95400"/>
    <w:rsid w:val="00CA0C7A"/>
    <w:rsid w:val="00CA38E2"/>
    <w:rsid w:val="00CA3918"/>
    <w:rsid w:val="00CA60FA"/>
    <w:rsid w:val="00CB0B23"/>
    <w:rsid w:val="00CB45D3"/>
    <w:rsid w:val="00CC04CA"/>
    <w:rsid w:val="00CC338C"/>
    <w:rsid w:val="00CC3EB0"/>
    <w:rsid w:val="00CC479A"/>
    <w:rsid w:val="00CC5243"/>
    <w:rsid w:val="00CC55CA"/>
    <w:rsid w:val="00CC5A5B"/>
    <w:rsid w:val="00CC6661"/>
    <w:rsid w:val="00CC7020"/>
    <w:rsid w:val="00CC7083"/>
    <w:rsid w:val="00CD1B72"/>
    <w:rsid w:val="00CD5679"/>
    <w:rsid w:val="00CD578F"/>
    <w:rsid w:val="00CD5CCC"/>
    <w:rsid w:val="00CD736B"/>
    <w:rsid w:val="00CD7A9E"/>
    <w:rsid w:val="00CE0037"/>
    <w:rsid w:val="00CE295F"/>
    <w:rsid w:val="00CE29A1"/>
    <w:rsid w:val="00CE7D17"/>
    <w:rsid w:val="00CE7F7E"/>
    <w:rsid w:val="00CF1374"/>
    <w:rsid w:val="00CF1735"/>
    <w:rsid w:val="00CF19D4"/>
    <w:rsid w:val="00CF4FB8"/>
    <w:rsid w:val="00CF55C1"/>
    <w:rsid w:val="00CF640A"/>
    <w:rsid w:val="00D06E93"/>
    <w:rsid w:val="00D16930"/>
    <w:rsid w:val="00D207FA"/>
    <w:rsid w:val="00D24C4E"/>
    <w:rsid w:val="00D27B99"/>
    <w:rsid w:val="00D318CA"/>
    <w:rsid w:val="00D34262"/>
    <w:rsid w:val="00D3742E"/>
    <w:rsid w:val="00D406D4"/>
    <w:rsid w:val="00D41FD1"/>
    <w:rsid w:val="00D46947"/>
    <w:rsid w:val="00D50831"/>
    <w:rsid w:val="00D519C5"/>
    <w:rsid w:val="00D52223"/>
    <w:rsid w:val="00D53C0D"/>
    <w:rsid w:val="00D55656"/>
    <w:rsid w:val="00D55DDD"/>
    <w:rsid w:val="00D55E31"/>
    <w:rsid w:val="00D629D5"/>
    <w:rsid w:val="00D62D68"/>
    <w:rsid w:val="00D63918"/>
    <w:rsid w:val="00D642F5"/>
    <w:rsid w:val="00D645FD"/>
    <w:rsid w:val="00D65526"/>
    <w:rsid w:val="00D66C30"/>
    <w:rsid w:val="00D67AF2"/>
    <w:rsid w:val="00D73E64"/>
    <w:rsid w:val="00D775EB"/>
    <w:rsid w:val="00D77D7F"/>
    <w:rsid w:val="00D810E8"/>
    <w:rsid w:val="00D81A3C"/>
    <w:rsid w:val="00D82E89"/>
    <w:rsid w:val="00D94FA4"/>
    <w:rsid w:val="00DA4836"/>
    <w:rsid w:val="00DA69C4"/>
    <w:rsid w:val="00DB0503"/>
    <w:rsid w:val="00DB58A8"/>
    <w:rsid w:val="00DB5B77"/>
    <w:rsid w:val="00DC33AC"/>
    <w:rsid w:val="00DC3FEC"/>
    <w:rsid w:val="00DC4FC4"/>
    <w:rsid w:val="00DC6746"/>
    <w:rsid w:val="00DC6A53"/>
    <w:rsid w:val="00DD22F6"/>
    <w:rsid w:val="00DD2E7C"/>
    <w:rsid w:val="00DD3FFD"/>
    <w:rsid w:val="00DD4BF4"/>
    <w:rsid w:val="00DD6290"/>
    <w:rsid w:val="00DD6B31"/>
    <w:rsid w:val="00DE22F4"/>
    <w:rsid w:val="00DF0703"/>
    <w:rsid w:val="00DF07B0"/>
    <w:rsid w:val="00DF542B"/>
    <w:rsid w:val="00DF73A8"/>
    <w:rsid w:val="00E02AE7"/>
    <w:rsid w:val="00E0702C"/>
    <w:rsid w:val="00E072CB"/>
    <w:rsid w:val="00E07FB7"/>
    <w:rsid w:val="00E126FD"/>
    <w:rsid w:val="00E1327B"/>
    <w:rsid w:val="00E15703"/>
    <w:rsid w:val="00E17D00"/>
    <w:rsid w:val="00E201F5"/>
    <w:rsid w:val="00E20C84"/>
    <w:rsid w:val="00E216BE"/>
    <w:rsid w:val="00E21EF3"/>
    <w:rsid w:val="00E22A6A"/>
    <w:rsid w:val="00E24432"/>
    <w:rsid w:val="00E26C65"/>
    <w:rsid w:val="00E305F4"/>
    <w:rsid w:val="00E32A1A"/>
    <w:rsid w:val="00E37747"/>
    <w:rsid w:val="00E4215C"/>
    <w:rsid w:val="00E440BC"/>
    <w:rsid w:val="00E44FAC"/>
    <w:rsid w:val="00E515C7"/>
    <w:rsid w:val="00E55503"/>
    <w:rsid w:val="00E55B99"/>
    <w:rsid w:val="00E567F9"/>
    <w:rsid w:val="00E57F96"/>
    <w:rsid w:val="00E636B4"/>
    <w:rsid w:val="00E664BB"/>
    <w:rsid w:val="00E70883"/>
    <w:rsid w:val="00E7697F"/>
    <w:rsid w:val="00E82D35"/>
    <w:rsid w:val="00E90D79"/>
    <w:rsid w:val="00E91E84"/>
    <w:rsid w:val="00E92C1C"/>
    <w:rsid w:val="00E94368"/>
    <w:rsid w:val="00E9499D"/>
    <w:rsid w:val="00E95DD5"/>
    <w:rsid w:val="00EA15AB"/>
    <w:rsid w:val="00EA2BF9"/>
    <w:rsid w:val="00EA5527"/>
    <w:rsid w:val="00EA62DF"/>
    <w:rsid w:val="00EA75C7"/>
    <w:rsid w:val="00EB4928"/>
    <w:rsid w:val="00EB53EE"/>
    <w:rsid w:val="00EB59E3"/>
    <w:rsid w:val="00EB5BA3"/>
    <w:rsid w:val="00EB68D9"/>
    <w:rsid w:val="00EB7131"/>
    <w:rsid w:val="00EB7A55"/>
    <w:rsid w:val="00EC43D8"/>
    <w:rsid w:val="00EC4C03"/>
    <w:rsid w:val="00EC4F95"/>
    <w:rsid w:val="00EC756B"/>
    <w:rsid w:val="00EE314F"/>
    <w:rsid w:val="00EE3C71"/>
    <w:rsid w:val="00EE6516"/>
    <w:rsid w:val="00EF5709"/>
    <w:rsid w:val="00EF6604"/>
    <w:rsid w:val="00F04999"/>
    <w:rsid w:val="00F059F4"/>
    <w:rsid w:val="00F062CC"/>
    <w:rsid w:val="00F07C05"/>
    <w:rsid w:val="00F1173E"/>
    <w:rsid w:val="00F174C1"/>
    <w:rsid w:val="00F2078A"/>
    <w:rsid w:val="00F21B68"/>
    <w:rsid w:val="00F226A2"/>
    <w:rsid w:val="00F2420F"/>
    <w:rsid w:val="00F24745"/>
    <w:rsid w:val="00F26A06"/>
    <w:rsid w:val="00F27514"/>
    <w:rsid w:val="00F27AC9"/>
    <w:rsid w:val="00F30DAA"/>
    <w:rsid w:val="00F321BB"/>
    <w:rsid w:val="00F34672"/>
    <w:rsid w:val="00F4261B"/>
    <w:rsid w:val="00F4364D"/>
    <w:rsid w:val="00F53875"/>
    <w:rsid w:val="00F54232"/>
    <w:rsid w:val="00F5453F"/>
    <w:rsid w:val="00F56035"/>
    <w:rsid w:val="00F564FB"/>
    <w:rsid w:val="00F568DE"/>
    <w:rsid w:val="00F61FDC"/>
    <w:rsid w:val="00F64652"/>
    <w:rsid w:val="00F64A10"/>
    <w:rsid w:val="00F6530F"/>
    <w:rsid w:val="00F65670"/>
    <w:rsid w:val="00F676BA"/>
    <w:rsid w:val="00F703EB"/>
    <w:rsid w:val="00F73888"/>
    <w:rsid w:val="00F74665"/>
    <w:rsid w:val="00F75487"/>
    <w:rsid w:val="00F7552B"/>
    <w:rsid w:val="00F75695"/>
    <w:rsid w:val="00F759F4"/>
    <w:rsid w:val="00F80F3B"/>
    <w:rsid w:val="00F8214C"/>
    <w:rsid w:val="00F84AC6"/>
    <w:rsid w:val="00F8569F"/>
    <w:rsid w:val="00F85A99"/>
    <w:rsid w:val="00F8709F"/>
    <w:rsid w:val="00F924CB"/>
    <w:rsid w:val="00F92EEE"/>
    <w:rsid w:val="00F932E1"/>
    <w:rsid w:val="00F9575D"/>
    <w:rsid w:val="00F960F4"/>
    <w:rsid w:val="00F9697A"/>
    <w:rsid w:val="00F96F7B"/>
    <w:rsid w:val="00FA3101"/>
    <w:rsid w:val="00FA310B"/>
    <w:rsid w:val="00FA4FC3"/>
    <w:rsid w:val="00FA6CD3"/>
    <w:rsid w:val="00FB27FD"/>
    <w:rsid w:val="00FB320E"/>
    <w:rsid w:val="00FB4361"/>
    <w:rsid w:val="00FB44AA"/>
    <w:rsid w:val="00FC4B1E"/>
    <w:rsid w:val="00FC794B"/>
    <w:rsid w:val="00FD01CD"/>
    <w:rsid w:val="00FD3A1B"/>
    <w:rsid w:val="00FD3BA0"/>
    <w:rsid w:val="00FD3C69"/>
    <w:rsid w:val="00FD5D8B"/>
    <w:rsid w:val="00FD64D3"/>
    <w:rsid w:val="00FD7D69"/>
    <w:rsid w:val="00FE0E70"/>
    <w:rsid w:val="00FE1070"/>
    <w:rsid w:val="00FE2FE9"/>
    <w:rsid w:val="00FE42E9"/>
    <w:rsid w:val="00FE4844"/>
    <w:rsid w:val="00FE558B"/>
    <w:rsid w:val="00FE6490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173"/>
    <w:rPr>
      <w:color w:val="0000FF"/>
      <w:u w:val="single"/>
    </w:rPr>
  </w:style>
  <w:style w:type="paragraph" w:styleId="NoSpacing">
    <w:name w:val="No Spacing"/>
    <w:uiPriority w:val="1"/>
    <w:qFormat/>
    <w:rsid w:val="00391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391173"/>
  </w:style>
  <w:style w:type="paragraph" w:styleId="Header">
    <w:name w:val="header"/>
    <w:basedOn w:val="Normal"/>
    <w:link w:val="HeaderChar"/>
    <w:uiPriority w:val="99"/>
    <w:semiHidden/>
    <w:unhideWhenUsed/>
    <w:rsid w:val="00C8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D6"/>
  </w:style>
  <w:style w:type="paragraph" w:styleId="Footer">
    <w:name w:val="footer"/>
    <w:basedOn w:val="Normal"/>
    <w:link w:val="FooterChar"/>
    <w:uiPriority w:val="99"/>
    <w:unhideWhenUsed/>
    <w:rsid w:val="00C8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D6"/>
  </w:style>
  <w:style w:type="paragraph" w:customStyle="1" w:styleId="EndNoteBibliographyTitle">
    <w:name w:val="EndNote Bibliography Title"/>
    <w:basedOn w:val="Normal"/>
    <w:link w:val="EndNoteBibliographyTitleChar"/>
    <w:rsid w:val="004B291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291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291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291C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29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3C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173"/>
    <w:rPr>
      <w:color w:val="0000FF"/>
      <w:u w:val="single"/>
    </w:rPr>
  </w:style>
  <w:style w:type="paragraph" w:styleId="NoSpacing">
    <w:name w:val="No Spacing"/>
    <w:uiPriority w:val="1"/>
    <w:qFormat/>
    <w:rsid w:val="00391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391173"/>
  </w:style>
  <w:style w:type="paragraph" w:styleId="Header">
    <w:name w:val="header"/>
    <w:basedOn w:val="Normal"/>
    <w:link w:val="HeaderChar"/>
    <w:uiPriority w:val="99"/>
    <w:semiHidden/>
    <w:unhideWhenUsed/>
    <w:rsid w:val="00C8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6D6"/>
  </w:style>
  <w:style w:type="paragraph" w:styleId="Footer">
    <w:name w:val="footer"/>
    <w:basedOn w:val="Normal"/>
    <w:link w:val="FooterChar"/>
    <w:uiPriority w:val="99"/>
    <w:unhideWhenUsed/>
    <w:rsid w:val="00C8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D6"/>
  </w:style>
  <w:style w:type="paragraph" w:customStyle="1" w:styleId="EndNoteBibliographyTitle">
    <w:name w:val="EndNote Bibliography Title"/>
    <w:basedOn w:val="Normal"/>
    <w:link w:val="EndNoteBibliographyTitleChar"/>
    <w:rsid w:val="004B291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B291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291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291C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29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3C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360">
          <w:marLeft w:val="0"/>
          <w:marRight w:val="0"/>
          <w:marTop w:val="365"/>
          <w:marBottom w:val="122"/>
          <w:divBdr>
            <w:top w:val="single" w:sz="8" w:space="24" w:color="CCCCCC"/>
            <w:left w:val="single" w:sz="8" w:space="18" w:color="CCCCCC"/>
            <w:bottom w:val="single" w:sz="8" w:space="14" w:color="CCCCCC"/>
            <w:right w:val="single" w:sz="8" w:space="18" w:color="CCCCCC"/>
          </w:divBdr>
          <w:divsChild>
            <w:div w:id="1898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455">
                  <w:marLeft w:val="0"/>
                  <w:marRight w:val="1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678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EE86-59FF-4C44-B54C-7402E46A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z091132</dc:creator>
  <cp:lastModifiedBy>Rhian Williams</cp:lastModifiedBy>
  <cp:revision>2</cp:revision>
  <cp:lastPrinted>2016-05-06T16:03:00Z</cp:lastPrinted>
  <dcterms:created xsi:type="dcterms:W3CDTF">2016-12-16T15:04:00Z</dcterms:created>
  <dcterms:modified xsi:type="dcterms:W3CDTF">2016-12-16T15:04:00Z</dcterms:modified>
</cp:coreProperties>
</file>