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18" w:rsidRPr="00885ED3" w:rsidRDefault="00471518" w:rsidP="009938FA">
      <w:pPr>
        <w:spacing w:line="360" w:lineRule="auto"/>
        <w:jc w:val="both"/>
        <w:rPr>
          <w:b/>
          <w:strike/>
          <w:sz w:val="32"/>
          <w:szCs w:val="36"/>
          <w:lang w:val="en-US"/>
        </w:rPr>
      </w:pPr>
      <w:bookmarkStart w:id="0" w:name="_GoBack"/>
      <w:bookmarkEnd w:id="0"/>
      <w:r w:rsidRPr="00AB5CFF">
        <w:rPr>
          <w:b/>
          <w:sz w:val="32"/>
          <w:szCs w:val="36"/>
          <w:lang w:val="en-US"/>
        </w:rPr>
        <w:t>F</w:t>
      </w:r>
      <w:r w:rsidRPr="00E3762F">
        <w:rPr>
          <w:b/>
          <w:sz w:val="32"/>
          <w:szCs w:val="36"/>
          <w:lang w:val="en-US"/>
        </w:rPr>
        <w:t>atigue</w:t>
      </w:r>
      <w:r w:rsidRPr="00C37929">
        <w:rPr>
          <w:b/>
          <w:sz w:val="32"/>
          <w:szCs w:val="36"/>
          <w:lang w:val="en-US"/>
        </w:rPr>
        <w:t xml:space="preserve"> in advanced cancer patients: congruence between patients and their informal caregivers about patients’ fatigue severity during cancer treatment with </w:t>
      </w:r>
      <w:r w:rsidRPr="00906D52">
        <w:rPr>
          <w:b/>
          <w:sz w:val="32"/>
          <w:szCs w:val="36"/>
          <w:lang w:val="en-US"/>
        </w:rPr>
        <w:t>palliative</w:t>
      </w:r>
      <w:r w:rsidRPr="00C37929">
        <w:rPr>
          <w:b/>
          <w:sz w:val="32"/>
          <w:szCs w:val="36"/>
          <w:lang w:val="en-US"/>
        </w:rPr>
        <w:t xml:space="preserve"> intent and predictors of </w:t>
      </w:r>
      <w:r w:rsidRPr="00885ED3">
        <w:rPr>
          <w:b/>
          <w:sz w:val="32"/>
          <w:szCs w:val="36"/>
          <w:lang w:val="en-US"/>
        </w:rPr>
        <w:t>agreement</w:t>
      </w:r>
    </w:p>
    <w:p w:rsidR="00471518" w:rsidRPr="00C73AAA" w:rsidRDefault="00471518" w:rsidP="00FB63F3">
      <w:pPr>
        <w:spacing w:line="360" w:lineRule="auto"/>
        <w:rPr>
          <w:sz w:val="24"/>
          <w:szCs w:val="24"/>
          <w:lang w:val="en-US"/>
        </w:rPr>
      </w:pPr>
    </w:p>
    <w:p w:rsidR="00471518" w:rsidRPr="007271F2" w:rsidRDefault="00471518" w:rsidP="00FB63F3">
      <w:pPr>
        <w:spacing w:line="360" w:lineRule="auto"/>
        <w:rPr>
          <w:b/>
          <w:i/>
          <w:sz w:val="24"/>
          <w:szCs w:val="24"/>
          <w:lang w:val="en-US"/>
        </w:rPr>
      </w:pPr>
      <w:r w:rsidRPr="007271F2">
        <w:rPr>
          <w:b/>
          <w:i/>
          <w:sz w:val="24"/>
          <w:szCs w:val="24"/>
          <w:lang w:val="en-US"/>
        </w:rPr>
        <w:t xml:space="preserve">Running head: </w:t>
      </w:r>
      <w:r>
        <w:rPr>
          <w:b/>
          <w:i/>
          <w:sz w:val="24"/>
          <w:szCs w:val="24"/>
          <w:lang w:val="en-US"/>
        </w:rPr>
        <w:t>Dyadic</w:t>
      </w:r>
      <w:r w:rsidRPr="007271F2">
        <w:rPr>
          <w:b/>
          <w:i/>
          <w:sz w:val="24"/>
          <w:szCs w:val="24"/>
          <w:lang w:val="en-US"/>
        </w:rPr>
        <w:t xml:space="preserve"> agreement on cancer patients’ fatigue </w:t>
      </w:r>
    </w:p>
    <w:p w:rsidR="00471518" w:rsidRPr="00C73AAA" w:rsidRDefault="00471518" w:rsidP="00FB63F3">
      <w:pPr>
        <w:spacing w:line="360" w:lineRule="auto"/>
        <w:jc w:val="both"/>
        <w:rPr>
          <w:sz w:val="24"/>
          <w:szCs w:val="24"/>
          <w:lang w:val="en-US"/>
        </w:rPr>
      </w:pPr>
    </w:p>
    <w:p w:rsidR="00471518" w:rsidRPr="00842672" w:rsidRDefault="00471518" w:rsidP="00FB63F3">
      <w:pPr>
        <w:spacing w:line="360" w:lineRule="auto"/>
        <w:jc w:val="both"/>
        <w:rPr>
          <w:sz w:val="24"/>
          <w:szCs w:val="24"/>
        </w:rPr>
      </w:pPr>
      <w:r w:rsidRPr="00842672">
        <w:rPr>
          <w:sz w:val="24"/>
          <w:szCs w:val="24"/>
        </w:rPr>
        <w:t>Hanneke Poort, MSc</w:t>
      </w:r>
      <w:r w:rsidRPr="00842672">
        <w:rPr>
          <w:sz w:val="24"/>
          <w:szCs w:val="24"/>
          <w:vertAlign w:val="superscript"/>
        </w:rPr>
        <w:t>1</w:t>
      </w:r>
      <w:r w:rsidRPr="00842672">
        <w:rPr>
          <w:sz w:val="24"/>
          <w:szCs w:val="24"/>
        </w:rPr>
        <w:t>, Marlies Peters, PhD, RN</w:t>
      </w:r>
      <w:r w:rsidRPr="00842672">
        <w:rPr>
          <w:sz w:val="24"/>
          <w:szCs w:val="24"/>
          <w:vertAlign w:val="superscript"/>
        </w:rPr>
        <w:t>2</w:t>
      </w:r>
      <w:r w:rsidRPr="00842672">
        <w:rPr>
          <w:sz w:val="24"/>
          <w:szCs w:val="24"/>
        </w:rPr>
        <w:t>, Marieke Gielissen, PhD</w:t>
      </w:r>
      <w:r w:rsidRPr="00842672">
        <w:rPr>
          <w:sz w:val="24"/>
          <w:szCs w:val="24"/>
          <w:vertAlign w:val="superscript"/>
        </w:rPr>
        <w:t>1</w:t>
      </w:r>
      <w:r w:rsidRPr="00842672">
        <w:rPr>
          <w:sz w:val="24"/>
          <w:szCs w:val="24"/>
        </w:rPr>
        <w:t>, Stans Verhagen, PhD, MD</w:t>
      </w:r>
      <w:r w:rsidRPr="00842672">
        <w:rPr>
          <w:sz w:val="24"/>
          <w:szCs w:val="24"/>
          <w:vertAlign w:val="superscript"/>
        </w:rPr>
        <w:t>2</w:t>
      </w:r>
      <w:r w:rsidRPr="00842672">
        <w:rPr>
          <w:sz w:val="24"/>
          <w:szCs w:val="24"/>
        </w:rPr>
        <w:t>, Gijs Bleijenberg, PhD</w:t>
      </w:r>
      <w:r w:rsidRPr="00842672">
        <w:rPr>
          <w:sz w:val="24"/>
          <w:szCs w:val="24"/>
          <w:vertAlign w:val="superscript"/>
        </w:rPr>
        <w:t>1</w:t>
      </w:r>
      <w:r w:rsidRPr="00842672">
        <w:rPr>
          <w:sz w:val="24"/>
          <w:szCs w:val="24"/>
        </w:rPr>
        <w:t>, Winette van der Graaf, PhD, MD</w:t>
      </w:r>
      <w:r w:rsidRPr="00842672">
        <w:rPr>
          <w:sz w:val="24"/>
          <w:szCs w:val="24"/>
          <w:vertAlign w:val="superscript"/>
        </w:rPr>
        <w:t>2</w:t>
      </w:r>
      <w:r w:rsidRPr="00842672">
        <w:rPr>
          <w:sz w:val="24"/>
          <w:szCs w:val="24"/>
        </w:rPr>
        <w:t>, Alison Wearden, PhD</w:t>
      </w:r>
      <w:r w:rsidRPr="00842672">
        <w:rPr>
          <w:sz w:val="24"/>
          <w:szCs w:val="24"/>
          <w:vertAlign w:val="superscript"/>
        </w:rPr>
        <w:t>3</w:t>
      </w:r>
      <w:r w:rsidRPr="00842672">
        <w:rPr>
          <w:sz w:val="24"/>
          <w:szCs w:val="24"/>
        </w:rPr>
        <w:t>, Hans Knoop, PhD</w:t>
      </w:r>
      <w:r w:rsidRPr="00842672">
        <w:rPr>
          <w:sz w:val="24"/>
          <w:szCs w:val="24"/>
          <w:vertAlign w:val="superscript"/>
        </w:rPr>
        <w:t>1</w:t>
      </w:r>
    </w:p>
    <w:p w:rsidR="00471518" w:rsidRPr="00842672" w:rsidRDefault="00471518" w:rsidP="00FB63F3">
      <w:pPr>
        <w:spacing w:line="360" w:lineRule="auto"/>
        <w:jc w:val="both"/>
        <w:rPr>
          <w:sz w:val="24"/>
          <w:szCs w:val="24"/>
        </w:rPr>
      </w:pPr>
    </w:p>
    <w:p w:rsidR="00471518" w:rsidRPr="00C73AAA" w:rsidRDefault="00471518" w:rsidP="00FB63F3">
      <w:pPr>
        <w:spacing w:line="360" w:lineRule="auto"/>
        <w:jc w:val="both"/>
        <w:rPr>
          <w:sz w:val="24"/>
          <w:szCs w:val="24"/>
          <w:lang w:val="en-US"/>
        </w:rPr>
      </w:pPr>
      <w:r w:rsidRPr="00C73AAA">
        <w:rPr>
          <w:sz w:val="24"/>
          <w:szCs w:val="24"/>
          <w:lang w:val="en-US"/>
        </w:rPr>
        <w:t xml:space="preserve">Radboud university medical center, The Netherlands, </w:t>
      </w:r>
      <w:r w:rsidRPr="00C73AAA">
        <w:rPr>
          <w:sz w:val="24"/>
          <w:szCs w:val="24"/>
          <w:vertAlign w:val="superscript"/>
          <w:lang w:val="en-US"/>
        </w:rPr>
        <w:t>1</w:t>
      </w:r>
      <w:r w:rsidRPr="00C73AAA">
        <w:rPr>
          <w:sz w:val="24"/>
          <w:szCs w:val="24"/>
          <w:lang w:val="en-US"/>
        </w:rPr>
        <w:t>Expert Center for Chronic Fatigue, Department of Medical Psychology,</w:t>
      </w:r>
      <w:r w:rsidRPr="00C73AAA">
        <w:rPr>
          <w:sz w:val="24"/>
          <w:szCs w:val="24"/>
          <w:vertAlign w:val="superscript"/>
          <w:lang w:val="en-US"/>
        </w:rPr>
        <w:t xml:space="preserve"> 2</w:t>
      </w:r>
      <w:r w:rsidRPr="00C73AAA">
        <w:rPr>
          <w:sz w:val="24"/>
          <w:szCs w:val="24"/>
          <w:lang w:val="en-US"/>
        </w:rPr>
        <w:t xml:space="preserve">Department of Medical Oncology, </w:t>
      </w:r>
      <w:r w:rsidRPr="00C73AAA">
        <w:rPr>
          <w:sz w:val="24"/>
          <w:szCs w:val="24"/>
          <w:vertAlign w:val="superscript"/>
          <w:lang w:val="en-US"/>
        </w:rPr>
        <w:t>3</w:t>
      </w:r>
      <w:r w:rsidRPr="00C73AAA">
        <w:rPr>
          <w:sz w:val="24"/>
          <w:szCs w:val="24"/>
          <w:lang w:val="en-US"/>
        </w:rPr>
        <w:t>University of Manchester, School of Psychological Sciences &amp; Manchester Centre for Health Psychology, United Kingdom</w:t>
      </w:r>
    </w:p>
    <w:p w:rsidR="00471518" w:rsidRPr="00C73AAA" w:rsidRDefault="00471518" w:rsidP="00FB63F3">
      <w:pPr>
        <w:spacing w:line="360" w:lineRule="auto"/>
        <w:jc w:val="both"/>
        <w:rPr>
          <w:sz w:val="24"/>
          <w:szCs w:val="24"/>
          <w:lang w:val="en-US"/>
        </w:rPr>
      </w:pPr>
    </w:p>
    <w:p w:rsidR="00471518" w:rsidRPr="00C73AAA" w:rsidRDefault="00471518" w:rsidP="00FB63F3">
      <w:pPr>
        <w:spacing w:line="360" w:lineRule="auto"/>
        <w:jc w:val="both"/>
        <w:rPr>
          <w:b/>
          <w:sz w:val="24"/>
          <w:szCs w:val="24"/>
          <w:lang w:val="en-GB"/>
        </w:rPr>
      </w:pPr>
      <w:r w:rsidRPr="00C73AAA">
        <w:rPr>
          <w:sz w:val="24"/>
          <w:szCs w:val="24"/>
          <w:lang w:val="en-US"/>
        </w:rPr>
        <w:t xml:space="preserve">Correspondence to Hanneke Poort, Radboud university medical center, Expert Center for Chronic Fatigue, PO box 9101, 6500 HB Nijmegen, The Netherlands, Telephone no. </w:t>
      </w:r>
      <w:r w:rsidRPr="00C73AAA">
        <w:rPr>
          <w:sz w:val="24"/>
          <w:szCs w:val="24"/>
          <w:lang w:val="en-GB"/>
        </w:rPr>
        <w:t>+316 24 3610042, Fax no. +316 24 3610041, E-mail: Hanneke.Poort@radboudumc.nl</w:t>
      </w:r>
    </w:p>
    <w:p w:rsidR="00471518" w:rsidRDefault="00471518" w:rsidP="00FB63F3">
      <w:pPr>
        <w:spacing w:line="480" w:lineRule="auto"/>
        <w:jc w:val="both"/>
        <w:rPr>
          <w:b/>
          <w:lang w:val="en-GB"/>
        </w:rPr>
      </w:pPr>
    </w:p>
    <w:p w:rsidR="00471518" w:rsidRPr="00BC1471" w:rsidRDefault="00471518" w:rsidP="00FB63F3">
      <w:pPr>
        <w:spacing w:line="480" w:lineRule="auto"/>
        <w:jc w:val="both"/>
        <w:rPr>
          <w:b/>
          <w:lang w:val="en-GB"/>
        </w:rPr>
      </w:pPr>
      <w:r>
        <w:rPr>
          <w:b/>
          <w:lang w:val="en-GB"/>
        </w:rPr>
        <w:t xml:space="preserve">Number of tables: </w:t>
      </w:r>
      <w:r w:rsidRPr="00AE37D1">
        <w:rPr>
          <w:b/>
          <w:lang w:val="en-GB"/>
        </w:rPr>
        <w:t>4</w:t>
      </w:r>
    </w:p>
    <w:p w:rsidR="00471518" w:rsidRPr="00BC1471" w:rsidRDefault="00471518" w:rsidP="00FB63F3">
      <w:pPr>
        <w:spacing w:line="480" w:lineRule="auto"/>
        <w:jc w:val="both"/>
        <w:rPr>
          <w:b/>
          <w:lang w:val="en-GB"/>
        </w:rPr>
      </w:pPr>
      <w:r>
        <w:rPr>
          <w:b/>
          <w:lang w:val="en-GB"/>
        </w:rPr>
        <w:t xml:space="preserve">Number of figures: </w:t>
      </w:r>
      <w:r w:rsidRPr="00AE37D1">
        <w:rPr>
          <w:b/>
          <w:lang w:val="en-GB"/>
        </w:rPr>
        <w:t>1</w:t>
      </w:r>
    </w:p>
    <w:p w:rsidR="00471518" w:rsidRDefault="00471518" w:rsidP="00FB63F3">
      <w:pPr>
        <w:spacing w:line="480" w:lineRule="auto"/>
        <w:jc w:val="both"/>
        <w:rPr>
          <w:b/>
          <w:lang w:val="en-GB"/>
        </w:rPr>
      </w:pPr>
      <w:r>
        <w:rPr>
          <w:b/>
          <w:lang w:val="en-GB"/>
        </w:rPr>
        <w:t>Refer</w:t>
      </w:r>
      <w:r w:rsidR="00FB0264">
        <w:rPr>
          <w:b/>
          <w:lang w:val="en-GB"/>
        </w:rPr>
        <w:t>ences: 49</w:t>
      </w:r>
    </w:p>
    <w:p w:rsidR="00471518" w:rsidRPr="00C73AAA" w:rsidRDefault="00471518" w:rsidP="00FB63F3">
      <w:pPr>
        <w:spacing w:line="480" w:lineRule="auto"/>
        <w:jc w:val="both"/>
        <w:rPr>
          <w:b/>
          <w:lang w:val="en-GB"/>
        </w:rPr>
      </w:pPr>
      <w:r>
        <w:rPr>
          <w:b/>
          <w:lang w:val="en-GB"/>
        </w:rPr>
        <w:t xml:space="preserve">Word count main manuscript: </w:t>
      </w:r>
      <w:r w:rsidRPr="008671E5">
        <w:rPr>
          <w:b/>
          <w:lang w:val="en-GB"/>
        </w:rPr>
        <w:t>39</w:t>
      </w:r>
      <w:r w:rsidR="00FA6D5A">
        <w:rPr>
          <w:b/>
          <w:lang w:val="en-GB"/>
        </w:rPr>
        <w:t>94</w:t>
      </w:r>
    </w:p>
    <w:p w:rsidR="00471518" w:rsidRPr="00C73AAA" w:rsidRDefault="00471518" w:rsidP="00FB63F3">
      <w:pPr>
        <w:spacing w:line="480" w:lineRule="auto"/>
        <w:jc w:val="both"/>
        <w:rPr>
          <w:b/>
          <w:lang w:val="en-GB"/>
        </w:rPr>
      </w:pPr>
    </w:p>
    <w:p w:rsidR="00471518" w:rsidRPr="00C73AAA" w:rsidRDefault="00471518" w:rsidP="00FB63F3">
      <w:pPr>
        <w:spacing w:line="480" w:lineRule="auto"/>
        <w:jc w:val="both"/>
        <w:rPr>
          <w:b/>
          <w:lang w:val="en-GB"/>
        </w:rPr>
      </w:pPr>
      <w:r w:rsidRPr="00C73AAA">
        <w:rPr>
          <w:b/>
          <w:lang w:val="en-US"/>
        </w:rPr>
        <w:br w:type="page"/>
      </w:r>
    </w:p>
    <w:p w:rsidR="00471518" w:rsidRPr="00C73AAA" w:rsidRDefault="00471518" w:rsidP="00FB63F3">
      <w:pPr>
        <w:spacing w:line="360" w:lineRule="auto"/>
        <w:rPr>
          <w:b/>
          <w:sz w:val="28"/>
          <w:szCs w:val="24"/>
          <w:lang w:val="en-US"/>
        </w:rPr>
      </w:pPr>
      <w:r w:rsidRPr="00C73AAA">
        <w:rPr>
          <w:b/>
          <w:sz w:val="28"/>
          <w:szCs w:val="24"/>
          <w:lang w:val="en-US"/>
        </w:rPr>
        <w:lastRenderedPageBreak/>
        <w:t>Abstract</w:t>
      </w:r>
    </w:p>
    <w:p w:rsidR="00471518" w:rsidRDefault="00471518" w:rsidP="00FB63F3">
      <w:pPr>
        <w:spacing w:line="360" w:lineRule="auto"/>
        <w:jc w:val="both"/>
        <w:rPr>
          <w:sz w:val="24"/>
          <w:szCs w:val="24"/>
          <w:lang w:val="en-US"/>
        </w:rPr>
      </w:pPr>
      <w:r w:rsidRPr="00D75B58">
        <w:rPr>
          <w:b/>
          <w:sz w:val="24"/>
          <w:szCs w:val="24"/>
          <w:lang w:val="en-US"/>
        </w:rPr>
        <w:t>Context:</w:t>
      </w:r>
      <w:r w:rsidRPr="00D75B58">
        <w:rPr>
          <w:sz w:val="24"/>
          <w:szCs w:val="24"/>
          <w:lang w:val="en-US"/>
        </w:rPr>
        <w:t xml:space="preserve"> Informal caregivers (ICs) are increasingly involved in the monitoring of symptoms during advanced cancer patients’ treatment with palliative intent.</w:t>
      </w:r>
      <w:r w:rsidRPr="00C73AAA">
        <w:rPr>
          <w:sz w:val="24"/>
          <w:szCs w:val="24"/>
          <w:lang w:val="en-US"/>
        </w:rPr>
        <w:t xml:space="preserve"> </w:t>
      </w:r>
      <w:r>
        <w:rPr>
          <w:sz w:val="24"/>
          <w:szCs w:val="24"/>
          <w:lang w:val="en-US"/>
        </w:rPr>
        <w:t xml:space="preserve">A common, but subjective symptom during this extended treatment phase is fatigue. </w:t>
      </w:r>
    </w:p>
    <w:p w:rsidR="00471518" w:rsidRPr="00A977C4" w:rsidRDefault="00471518" w:rsidP="00FB63F3">
      <w:pPr>
        <w:spacing w:line="360" w:lineRule="auto"/>
        <w:jc w:val="both"/>
        <w:rPr>
          <w:sz w:val="24"/>
          <w:szCs w:val="24"/>
          <w:lang w:val="en-US"/>
        </w:rPr>
      </w:pPr>
      <w:r w:rsidRPr="00C73AAA">
        <w:rPr>
          <w:b/>
          <w:sz w:val="24"/>
          <w:szCs w:val="24"/>
          <w:lang w:val="en-US"/>
        </w:rPr>
        <w:t>Objective:</w:t>
      </w:r>
      <w:r>
        <w:rPr>
          <w:b/>
          <w:sz w:val="24"/>
          <w:szCs w:val="24"/>
          <w:lang w:val="en-US"/>
        </w:rPr>
        <w:t xml:space="preserve"> </w:t>
      </w:r>
      <w:r w:rsidRPr="00A977C4">
        <w:rPr>
          <w:sz w:val="24"/>
          <w:szCs w:val="24"/>
          <w:lang w:val="en-US"/>
        </w:rPr>
        <w:t>This exploratory longitudinal study aimed to determine agreement between patients and ICs about patients’ fatigue severity. In addition, predictors of agreement over time were studied.</w:t>
      </w:r>
    </w:p>
    <w:p w:rsidR="00471518" w:rsidRPr="00A977C4" w:rsidRDefault="00471518" w:rsidP="00FB63F3">
      <w:pPr>
        <w:spacing w:line="360" w:lineRule="auto"/>
        <w:jc w:val="both"/>
        <w:rPr>
          <w:sz w:val="24"/>
          <w:szCs w:val="24"/>
          <w:lang w:val="en-US"/>
        </w:rPr>
      </w:pPr>
      <w:r w:rsidRPr="00A977C4">
        <w:rPr>
          <w:b/>
          <w:sz w:val="24"/>
          <w:szCs w:val="24"/>
          <w:lang w:val="en-US"/>
        </w:rPr>
        <w:t xml:space="preserve">Methods: </w:t>
      </w:r>
      <w:r w:rsidRPr="00A977C4">
        <w:rPr>
          <w:sz w:val="24"/>
          <w:szCs w:val="24"/>
          <w:lang w:val="en-US"/>
        </w:rPr>
        <w:t xml:space="preserve">A sample of 107 advanced cancer patients (life expectancy ≥ six months) and their ICs completed the subscale fatigue severity of the Checklist Individual Strength based on the patient’s status at baseline and six months later. This 8-item subscale has a validated cut-off to determine the presence of clinically relevant levels of fatigue. ICs’ own fatigue severity, strain, self-esteem, and relationship satisfaction were examined as predictors of agreement. </w:t>
      </w:r>
    </w:p>
    <w:p w:rsidR="00471518" w:rsidRPr="00A977C4" w:rsidRDefault="00471518" w:rsidP="00FB63F3">
      <w:pPr>
        <w:spacing w:line="360" w:lineRule="auto"/>
        <w:jc w:val="both"/>
        <w:rPr>
          <w:sz w:val="24"/>
          <w:szCs w:val="24"/>
          <w:lang w:val="en-US"/>
        </w:rPr>
      </w:pPr>
      <w:r w:rsidRPr="00A977C4">
        <w:rPr>
          <w:b/>
          <w:sz w:val="24"/>
          <w:szCs w:val="24"/>
          <w:lang w:val="en-US"/>
        </w:rPr>
        <w:t xml:space="preserve">Results: </w:t>
      </w:r>
      <w:r w:rsidRPr="00A977C4">
        <w:rPr>
          <w:sz w:val="24"/>
          <w:szCs w:val="24"/>
          <w:lang w:val="en-US"/>
        </w:rPr>
        <w:t>107 dyads completed measures at baseline, 69 dyads six months later. At baseline, ICs’ significantly overestimated patients’ fatigue severity (</w:t>
      </w:r>
      <w:r w:rsidRPr="00A977C4">
        <w:rPr>
          <w:i/>
          <w:sz w:val="24"/>
          <w:szCs w:val="24"/>
          <w:lang w:val="en-US"/>
        </w:rPr>
        <w:t xml:space="preserve">p </w:t>
      </w:r>
      <w:r w:rsidRPr="00A977C4">
        <w:rPr>
          <w:sz w:val="24"/>
          <w:szCs w:val="24"/>
          <w:lang w:val="en-US"/>
        </w:rPr>
        <w:t xml:space="preserve">&lt;.001) with a moderate amount of bias </w:t>
      </w:r>
      <w:r w:rsidRPr="00A977C4">
        <w:rPr>
          <w:sz w:val="24"/>
          <w:szCs w:val="24"/>
          <w:lang w:val="en-GB"/>
        </w:rPr>
        <w:t xml:space="preserve">(Cohen’s </w:t>
      </w:r>
      <w:r w:rsidRPr="00A977C4">
        <w:rPr>
          <w:i/>
          <w:sz w:val="24"/>
          <w:szCs w:val="24"/>
          <w:lang w:val="en-GB"/>
        </w:rPr>
        <w:t>d</w:t>
      </w:r>
      <w:r w:rsidRPr="00A977C4">
        <w:rPr>
          <w:sz w:val="24"/>
          <w:szCs w:val="24"/>
          <w:lang w:val="en-GB"/>
        </w:rPr>
        <w:t xml:space="preserve"> = 0.48)</w:t>
      </w:r>
      <w:r w:rsidRPr="00A977C4">
        <w:rPr>
          <w:sz w:val="24"/>
          <w:szCs w:val="24"/>
          <w:lang w:val="en-US"/>
        </w:rPr>
        <w:t>. In 81 of the 107 dyads (76%) there was congruence about the presence or absence of severe fatigue. On a group level, congruence did not significantly change over time. On a dyad level, there was a tendency to either remain congruent or reach congruence. Next to baseline congruence, ICs’ fatigue severity and strain predicted ICs’ in fatigue ratings (R</w:t>
      </w:r>
      <w:r w:rsidRPr="00A977C4">
        <w:rPr>
          <w:sz w:val="24"/>
          <w:szCs w:val="24"/>
          <w:vertAlign w:val="superscript"/>
          <w:lang w:val="en-US"/>
        </w:rPr>
        <w:t>2</w:t>
      </w:r>
      <w:r w:rsidRPr="00A977C4">
        <w:rPr>
          <w:sz w:val="24"/>
          <w:szCs w:val="24"/>
          <w:lang w:val="en-US"/>
        </w:rPr>
        <w:t xml:space="preserve">=0.23). </w:t>
      </w:r>
    </w:p>
    <w:p w:rsidR="00471518" w:rsidRPr="00C73AAA" w:rsidRDefault="00471518" w:rsidP="00FB63F3">
      <w:pPr>
        <w:spacing w:line="360" w:lineRule="auto"/>
        <w:jc w:val="both"/>
        <w:rPr>
          <w:sz w:val="24"/>
          <w:szCs w:val="24"/>
          <w:lang w:val="en-US"/>
        </w:rPr>
      </w:pPr>
      <w:r w:rsidRPr="00C73AAA">
        <w:rPr>
          <w:b/>
          <w:sz w:val="24"/>
          <w:szCs w:val="24"/>
          <w:lang w:val="en-US"/>
        </w:rPr>
        <w:t xml:space="preserve">Conclusions: </w:t>
      </w:r>
      <w:r w:rsidRPr="00C73AAA">
        <w:rPr>
          <w:sz w:val="24"/>
          <w:szCs w:val="24"/>
          <w:lang w:val="en-US"/>
        </w:rPr>
        <w:t>The majority of ICs accurately predict presence or absence of clinically relevant levels of patients’ fatigue. ICs</w:t>
      </w:r>
      <w:r>
        <w:rPr>
          <w:sz w:val="24"/>
          <w:szCs w:val="24"/>
          <w:lang w:val="en-US"/>
        </w:rPr>
        <w:t>’</w:t>
      </w:r>
      <w:r w:rsidRPr="00C73AAA">
        <w:rPr>
          <w:sz w:val="24"/>
          <w:szCs w:val="24"/>
          <w:lang w:val="en-US"/>
        </w:rPr>
        <w:t xml:space="preserve"> own fatigue severity and strain should be taken into account, as they influence </w:t>
      </w:r>
      <w:r>
        <w:rPr>
          <w:sz w:val="24"/>
          <w:szCs w:val="24"/>
          <w:lang w:val="en-US"/>
        </w:rPr>
        <w:t>agreement</w:t>
      </w:r>
      <w:r w:rsidRPr="00C73AAA">
        <w:rPr>
          <w:sz w:val="24"/>
          <w:szCs w:val="24"/>
          <w:lang w:val="en-US"/>
        </w:rPr>
        <w:t xml:space="preserve">. </w:t>
      </w:r>
    </w:p>
    <w:p w:rsidR="00471518" w:rsidRDefault="00471518" w:rsidP="00FB63F3">
      <w:pPr>
        <w:spacing w:line="360" w:lineRule="auto"/>
        <w:rPr>
          <w:b/>
          <w:sz w:val="24"/>
          <w:szCs w:val="24"/>
          <w:lang w:val="en-US"/>
        </w:rPr>
      </w:pPr>
    </w:p>
    <w:p w:rsidR="00471518" w:rsidRPr="00C73AAA" w:rsidRDefault="00471518" w:rsidP="00FB63F3">
      <w:pPr>
        <w:spacing w:line="360" w:lineRule="auto"/>
        <w:rPr>
          <w:sz w:val="24"/>
          <w:szCs w:val="24"/>
          <w:lang w:val="en-US"/>
        </w:rPr>
      </w:pPr>
      <w:r w:rsidRPr="00C73AAA">
        <w:rPr>
          <w:b/>
          <w:sz w:val="24"/>
          <w:szCs w:val="24"/>
          <w:lang w:val="en-US"/>
        </w:rPr>
        <w:t>Keywords:</w:t>
      </w:r>
      <w:r w:rsidRPr="00C73AAA">
        <w:rPr>
          <w:sz w:val="24"/>
          <w:szCs w:val="24"/>
          <w:lang w:val="en-US"/>
        </w:rPr>
        <w:t xml:space="preserve"> Cancer, Oncology, Fatigu</w:t>
      </w:r>
      <w:r w:rsidR="005272E5">
        <w:rPr>
          <w:sz w:val="24"/>
          <w:szCs w:val="24"/>
          <w:lang w:val="en-US"/>
        </w:rPr>
        <w:t>e, Informal C</w:t>
      </w:r>
      <w:r w:rsidRPr="00C73AAA">
        <w:rPr>
          <w:sz w:val="24"/>
          <w:szCs w:val="24"/>
          <w:lang w:val="en-US"/>
        </w:rPr>
        <w:t>aregiver, Proxy-rating</w:t>
      </w:r>
    </w:p>
    <w:p w:rsidR="00471518" w:rsidRPr="00C73AAA" w:rsidRDefault="00471518" w:rsidP="00FB63F3">
      <w:pPr>
        <w:spacing w:line="360" w:lineRule="auto"/>
        <w:rPr>
          <w:b/>
          <w:sz w:val="28"/>
          <w:szCs w:val="28"/>
          <w:lang w:val="en-US"/>
        </w:rPr>
      </w:pPr>
    </w:p>
    <w:p w:rsidR="00471518" w:rsidRPr="00C73AAA" w:rsidRDefault="00471518" w:rsidP="00FB63F3">
      <w:pPr>
        <w:spacing w:line="360" w:lineRule="auto"/>
        <w:rPr>
          <w:b/>
          <w:sz w:val="28"/>
          <w:szCs w:val="28"/>
          <w:lang w:val="en-US"/>
        </w:rPr>
      </w:pPr>
    </w:p>
    <w:p w:rsidR="00471518" w:rsidRPr="00C73AAA" w:rsidRDefault="00471518">
      <w:pPr>
        <w:rPr>
          <w:b/>
          <w:sz w:val="28"/>
          <w:szCs w:val="28"/>
          <w:lang w:val="en-GB"/>
        </w:rPr>
      </w:pPr>
      <w:r w:rsidRPr="00C73AAA">
        <w:rPr>
          <w:b/>
          <w:sz w:val="28"/>
          <w:szCs w:val="28"/>
          <w:lang w:val="en-GB"/>
        </w:rPr>
        <w:br w:type="page"/>
      </w:r>
    </w:p>
    <w:p w:rsidR="00471518" w:rsidRPr="00C73AAA" w:rsidRDefault="00471518" w:rsidP="00FB63F3">
      <w:pPr>
        <w:spacing w:line="360" w:lineRule="auto"/>
        <w:rPr>
          <w:b/>
          <w:sz w:val="28"/>
          <w:szCs w:val="28"/>
          <w:lang w:val="en-GB"/>
        </w:rPr>
      </w:pPr>
      <w:r>
        <w:rPr>
          <w:b/>
          <w:sz w:val="28"/>
          <w:szCs w:val="28"/>
          <w:lang w:val="en-GB"/>
        </w:rPr>
        <w:lastRenderedPageBreak/>
        <w:t>Introduction</w:t>
      </w:r>
    </w:p>
    <w:p w:rsidR="00471518" w:rsidRPr="00A977C4" w:rsidRDefault="00471518" w:rsidP="00FB63F3">
      <w:pPr>
        <w:spacing w:line="360" w:lineRule="auto"/>
        <w:jc w:val="both"/>
        <w:rPr>
          <w:sz w:val="24"/>
          <w:szCs w:val="24"/>
          <w:lang w:val="en-GB"/>
        </w:rPr>
      </w:pPr>
      <w:r w:rsidRPr="00C73AAA">
        <w:rPr>
          <w:sz w:val="24"/>
          <w:szCs w:val="24"/>
          <w:lang w:val="en-GB"/>
        </w:rPr>
        <w:t xml:space="preserve">A diagnosis of cancer, particularly when the disease is incurable, impacts not only the patient </w:t>
      </w:r>
      <w:r w:rsidRPr="00A977C4">
        <w:rPr>
          <w:sz w:val="24"/>
          <w:szCs w:val="24"/>
          <w:lang w:val="en-GB"/>
        </w:rPr>
        <w:t xml:space="preserve">but also the informal caregiver (IC) </w:t>
      </w:r>
      <w:r w:rsidRPr="00A977C4">
        <w:rPr>
          <w:noProof/>
          <w:sz w:val="24"/>
          <w:szCs w:val="24"/>
          <w:lang w:val="en-GB"/>
        </w:rPr>
        <w:t>[1]</w:t>
      </w:r>
      <w:r w:rsidRPr="00A977C4">
        <w:rPr>
          <w:sz w:val="24"/>
          <w:szCs w:val="24"/>
          <w:lang w:val="en-GB"/>
        </w:rPr>
        <w:t xml:space="preserve">. ICs are faced with new responsibilities in medical, emotional, and practical domains </w:t>
      </w:r>
      <w:r w:rsidRPr="00A977C4">
        <w:rPr>
          <w:noProof/>
          <w:sz w:val="24"/>
          <w:szCs w:val="24"/>
          <w:lang w:val="en-GB"/>
        </w:rPr>
        <w:t>[2]</w:t>
      </w:r>
      <w:r w:rsidRPr="00A977C4">
        <w:rPr>
          <w:sz w:val="24"/>
          <w:szCs w:val="24"/>
          <w:lang w:val="en-GB"/>
        </w:rPr>
        <w:t xml:space="preserve">. The main aims of care for patients with incurable cancer are to prolong patients’ lives, while maintaining acceptable quality of life (QoL) by providing pain and symptom relief </w:t>
      </w:r>
      <w:r w:rsidRPr="00A977C4">
        <w:rPr>
          <w:noProof/>
          <w:sz w:val="24"/>
          <w:szCs w:val="24"/>
          <w:lang w:val="en-GB"/>
        </w:rPr>
        <w:t>[3]</w:t>
      </w:r>
      <w:r w:rsidRPr="00A977C4">
        <w:rPr>
          <w:sz w:val="24"/>
          <w:szCs w:val="24"/>
          <w:lang w:val="en-GB"/>
        </w:rPr>
        <w:t xml:space="preserve">. Due to advances in medical treatment, patients with certain types of incurable cancer receiving treatment with palliative intent may now live for an extended period </w:t>
      </w:r>
      <w:r w:rsidRPr="00A977C4">
        <w:rPr>
          <w:noProof/>
          <w:sz w:val="24"/>
          <w:szCs w:val="24"/>
          <w:lang w:val="en-GB"/>
        </w:rPr>
        <w:t>[4, 5]</w:t>
      </w:r>
      <w:r w:rsidRPr="00A977C4">
        <w:rPr>
          <w:sz w:val="24"/>
          <w:szCs w:val="24"/>
          <w:lang w:val="en-GB"/>
        </w:rPr>
        <w:t xml:space="preserve">. This extended phase of cancer treatment with palliative intent is associated with the occurrence of several physical and psychological symptoms. One of the most frequently reported symptoms is fatigue </w:t>
      </w:r>
      <w:r w:rsidRPr="00A977C4">
        <w:rPr>
          <w:noProof/>
          <w:sz w:val="24"/>
          <w:szCs w:val="24"/>
          <w:lang w:val="en-GB"/>
        </w:rPr>
        <w:t>[6]</w:t>
      </w:r>
      <w:r w:rsidRPr="00A977C4">
        <w:rPr>
          <w:sz w:val="24"/>
          <w:szCs w:val="24"/>
          <w:lang w:val="en-GB"/>
        </w:rPr>
        <w:t xml:space="preserve">. Fatigue is often cited as being among the most distressing symptoms </w:t>
      </w:r>
      <w:r w:rsidRPr="00A977C4">
        <w:rPr>
          <w:noProof/>
          <w:sz w:val="24"/>
          <w:szCs w:val="24"/>
          <w:lang w:val="en-GB"/>
        </w:rPr>
        <w:t>[7-9]</w:t>
      </w:r>
      <w:r w:rsidRPr="00A977C4">
        <w:rPr>
          <w:sz w:val="24"/>
          <w:szCs w:val="24"/>
          <w:lang w:val="en-GB"/>
        </w:rPr>
        <w:t xml:space="preserve"> and has a negative impact on QoL, performance status, and daily activities </w:t>
      </w:r>
      <w:r w:rsidRPr="00A977C4">
        <w:rPr>
          <w:noProof/>
          <w:sz w:val="24"/>
          <w:szCs w:val="24"/>
          <w:lang w:val="en-GB"/>
        </w:rPr>
        <w:t>[7, 10, 11]</w:t>
      </w:r>
      <w:r w:rsidRPr="00A977C4">
        <w:rPr>
          <w:sz w:val="24"/>
          <w:szCs w:val="24"/>
          <w:lang w:val="en-GB"/>
        </w:rPr>
        <w:t xml:space="preserve">. Both patients and ICs have to deal with this distressing and disabling symptom </w:t>
      </w:r>
      <w:r w:rsidRPr="00A977C4">
        <w:rPr>
          <w:noProof/>
          <w:sz w:val="24"/>
          <w:szCs w:val="24"/>
          <w:lang w:val="en-GB"/>
        </w:rPr>
        <w:t>[12]</w:t>
      </w:r>
      <w:r w:rsidRPr="00A977C4">
        <w:rPr>
          <w:sz w:val="24"/>
          <w:szCs w:val="24"/>
          <w:lang w:val="en-GB"/>
        </w:rPr>
        <w:t>.</w:t>
      </w:r>
    </w:p>
    <w:p w:rsidR="00471518" w:rsidRPr="00A977C4" w:rsidRDefault="00471518" w:rsidP="00FB63F3">
      <w:pPr>
        <w:spacing w:line="360" w:lineRule="auto"/>
        <w:ind w:firstLine="708"/>
        <w:jc w:val="both"/>
        <w:rPr>
          <w:sz w:val="24"/>
          <w:szCs w:val="24"/>
          <w:lang w:val="en-GB"/>
        </w:rPr>
      </w:pPr>
      <w:r w:rsidRPr="00A977C4">
        <w:rPr>
          <w:sz w:val="24"/>
          <w:szCs w:val="24"/>
          <w:lang w:val="en-GB"/>
        </w:rPr>
        <w:t xml:space="preserve">Cancer-related fatigue (CRF) is defined by the NCCN as “a distressing, persistent, subjective sense of physical, emotional, and/or cognitive tiredness or exhaustion related to cancer or cancer treatment that is not proportional to recent activity and interferes with usual functioning” </w:t>
      </w:r>
      <w:r w:rsidRPr="00A977C4">
        <w:rPr>
          <w:noProof/>
          <w:sz w:val="24"/>
          <w:szCs w:val="24"/>
          <w:lang w:val="en-GB"/>
        </w:rPr>
        <w:t>[13]</w:t>
      </w:r>
      <w:r w:rsidRPr="00A977C4">
        <w:rPr>
          <w:sz w:val="24"/>
          <w:szCs w:val="24"/>
          <w:lang w:val="en-GB"/>
        </w:rPr>
        <w:t>, which cannot be objectively measured. Patients directly perceive their</w:t>
      </w:r>
      <w:r w:rsidRPr="00C73AAA">
        <w:rPr>
          <w:sz w:val="24"/>
          <w:szCs w:val="24"/>
          <w:lang w:val="en-GB"/>
        </w:rPr>
        <w:t xml:space="preserve"> fatigue, whereas ICs can only know about the patients’ fatigue indirectly, that is, from what the patient communicates verbally or non-verbally. </w:t>
      </w:r>
      <w:r>
        <w:rPr>
          <w:sz w:val="24"/>
          <w:szCs w:val="24"/>
          <w:lang w:val="en-GB"/>
        </w:rPr>
        <w:t>It</w:t>
      </w:r>
      <w:r w:rsidRPr="00C73AAA">
        <w:rPr>
          <w:sz w:val="24"/>
          <w:szCs w:val="24"/>
          <w:lang w:val="en-GB"/>
        </w:rPr>
        <w:t xml:space="preserve"> is important to understand ICs’ perceptions for several reasons. First, perceptions drive IC responses to patients’ fatigue, which in turn can have an impact on patients. </w:t>
      </w:r>
      <w:r w:rsidRPr="00B07ECA">
        <w:rPr>
          <w:sz w:val="24"/>
          <w:szCs w:val="24"/>
          <w:lang w:val="en-GB"/>
        </w:rPr>
        <w:t xml:space="preserve">For example, failing to perceive that the patient feels severely fatigued would prevent ICs from giving attention to this symptom, thereby potentially resulting in a perceived lack of social support by the patient. </w:t>
      </w:r>
      <w:r w:rsidRPr="00AB5CFF">
        <w:rPr>
          <w:sz w:val="24"/>
          <w:szCs w:val="24"/>
          <w:lang w:val="en-GB"/>
        </w:rPr>
        <w:t>In turn, it is known that a perceived lack of social support can be a perpetuating factor of fatigue</w:t>
      </w:r>
      <w:r>
        <w:rPr>
          <w:sz w:val="24"/>
          <w:szCs w:val="24"/>
          <w:lang w:val="en-GB"/>
        </w:rPr>
        <w:t xml:space="preserve"> </w:t>
      </w:r>
      <w:r>
        <w:rPr>
          <w:noProof/>
          <w:sz w:val="24"/>
          <w:szCs w:val="24"/>
          <w:lang w:val="en-GB"/>
        </w:rPr>
        <w:t>[14]</w:t>
      </w:r>
      <w:r w:rsidRPr="00AB5CFF">
        <w:rPr>
          <w:sz w:val="24"/>
          <w:szCs w:val="24"/>
          <w:lang w:val="en-GB"/>
        </w:rPr>
        <w:t>.</w:t>
      </w:r>
      <w:r>
        <w:rPr>
          <w:sz w:val="24"/>
          <w:szCs w:val="24"/>
          <w:lang w:val="en-GB"/>
        </w:rPr>
        <w:t xml:space="preserve"> </w:t>
      </w:r>
      <w:r w:rsidRPr="00C73AAA">
        <w:rPr>
          <w:sz w:val="24"/>
          <w:szCs w:val="24"/>
          <w:lang w:val="en-GB"/>
        </w:rPr>
        <w:t xml:space="preserve">Second, ICs are increasingly involved in the care for advanced cancer patients. For example, </w:t>
      </w:r>
      <w:r w:rsidRPr="00A977C4">
        <w:rPr>
          <w:sz w:val="24"/>
          <w:szCs w:val="24"/>
          <w:lang w:val="en-GB"/>
        </w:rPr>
        <w:t>monitoring and management of symptoms during palliative treatment may rely on information from ICs. It is therefore important to know whether an IC can give a meaningful additional rating of the severity of patients’ fatigue.</w:t>
      </w:r>
    </w:p>
    <w:p w:rsidR="00471518" w:rsidRPr="00A977C4" w:rsidRDefault="00471518" w:rsidP="00FB63F3">
      <w:pPr>
        <w:spacing w:line="360" w:lineRule="auto"/>
        <w:ind w:firstLine="708"/>
        <w:jc w:val="both"/>
        <w:rPr>
          <w:sz w:val="24"/>
          <w:szCs w:val="24"/>
          <w:lang w:val="en-GB"/>
        </w:rPr>
      </w:pPr>
      <w:r w:rsidRPr="00A977C4">
        <w:rPr>
          <w:sz w:val="24"/>
          <w:szCs w:val="24"/>
          <w:lang w:val="en-GB"/>
        </w:rPr>
        <w:t xml:space="preserve">Studies focusing on patient and proxy-ratings typically assess physical and psychosocial symptoms by asking both patients and proxies to complete questionnaires based on the patients’ status. Findings of a review by Tang &amp; McCorkle (2002) confirmed that ICs’ ratings of terminal cancer patients’ QoL agreed moderately well and when discrepancies existed, ICs held a more negative view of patients’ QoL than did patients </w:t>
      </w:r>
      <w:r w:rsidRPr="00A977C4">
        <w:rPr>
          <w:noProof/>
          <w:sz w:val="24"/>
          <w:szCs w:val="24"/>
          <w:lang w:val="en-GB"/>
        </w:rPr>
        <w:t>[15]</w:t>
      </w:r>
      <w:r w:rsidRPr="00A977C4">
        <w:rPr>
          <w:sz w:val="24"/>
          <w:szCs w:val="24"/>
          <w:lang w:val="en-GB"/>
        </w:rPr>
        <w:t xml:space="preserve">. However, agreement in fatigue ratings has not been studied extensively in incurable cancer patients </w:t>
      </w:r>
      <w:r w:rsidRPr="00A977C4">
        <w:rPr>
          <w:sz w:val="24"/>
          <w:szCs w:val="24"/>
          <w:lang w:val="en-GB"/>
        </w:rPr>
        <w:lastRenderedPageBreak/>
        <w:t xml:space="preserve">receiving treatment with palliative intent. A cross-sectional study focusing on agreement in symptom ratings by 52 advanced lung cancer patients and their ICs found that fatigue ratings were moderately correlated </w:t>
      </w:r>
      <w:r w:rsidRPr="00A977C4">
        <w:rPr>
          <w:noProof/>
          <w:sz w:val="24"/>
          <w:szCs w:val="24"/>
          <w:lang w:val="en-GB"/>
        </w:rPr>
        <w:t>[16]</w:t>
      </w:r>
      <w:r w:rsidRPr="00A977C4">
        <w:rPr>
          <w:sz w:val="24"/>
          <w:szCs w:val="24"/>
          <w:lang w:val="en-GB"/>
        </w:rPr>
        <w:t xml:space="preserve">. Yet, ICs rated patients’ fatigue significantly higher than did patients themselves. ICs’ perceived lack of social support, self-reported health, and caregiver self-esteem influenced agreement in various dimensions of symptoms. However, none of these three factors appeared to have an impact for agreement on fatigue. Another cross-sectional study, assessing agreement between 66 advanced cancer patients and their ICs found that agreement for lack of energy was poor to fair </w:t>
      </w:r>
      <w:r w:rsidRPr="00A977C4">
        <w:rPr>
          <w:noProof/>
          <w:sz w:val="24"/>
          <w:szCs w:val="24"/>
          <w:lang w:val="en-GB"/>
        </w:rPr>
        <w:t>[17]</w:t>
      </w:r>
      <w:r w:rsidRPr="00A977C4">
        <w:rPr>
          <w:sz w:val="24"/>
          <w:szCs w:val="24"/>
          <w:lang w:val="en-GB"/>
        </w:rPr>
        <w:t xml:space="preserve">. In addition, levels of disparity were correlated with IC characteristics (e.g. emotional state, caregiver burden) on several individual symptoms and on all symptom subscales of the Memorial Symptom Assessment Scale. However, these studies had a cross-sectional design and thus it is not possible to determine the pattern of agreement </w:t>
      </w:r>
      <w:r w:rsidR="00F1292F" w:rsidRPr="00A977C4">
        <w:rPr>
          <w:sz w:val="24"/>
          <w:szCs w:val="24"/>
          <w:lang w:val="en-GB"/>
        </w:rPr>
        <w:t xml:space="preserve">in fatigue ratings </w:t>
      </w:r>
      <w:r w:rsidRPr="00A977C4">
        <w:rPr>
          <w:sz w:val="24"/>
          <w:szCs w:val="24"/>
          <w:lang w:val="en-GB"/>
        </w:rPr>
        <w:t xml:space="preserve">over time, nor temporal relationships between patients’ and ICs’ ratings of fatigue and other variables. Furthermore, no attempt was made to determine agreement on clinically relevant levels of fatigue, even though decisions about symptom management will often be based on the evaluation of whether fatigue is severe enough to be clinically relevant. </w:t>
      </w:r>
    </w:p>
    <w:p w:rsidR="00471518" w:rsidRPr="00A977C4" w:rsidRDefault="00471518" w:rsidP="00FB63F3">
      <w:pPr>
        <w:spacing w:line="360" w:lineRule="auto"/>
        <w:ind w:firstLine="708"/>
        <w:jc w:val="both"/>
        <w:rPr>
          <w:sz w:val="24"/>
          <w:szCs w:val="24"/>
          <w:lang w:val="en-GB"/>
        </w:rPr>
      </w:pPr>
      <w:r w:rsidRPr="00A977C4">
        <w:rPr>
          <w:sz w:val="24"/>
          <w:szCs w:val="24"/>
          <w:lang w:val="en-GB"/>
        </w:rPr>
        <w:t>The present exploratory longitudinal study had three aims. First, we aimed to examine at the dyadic and group level whether ICs’ ratings of patient</w:t>
      </w:r>
      <w:r w:rsidR="008F7A4D" w:rsidRPr="00A977C4">
        <w:rPr>
          <w:sz w:val="24"/>
          <w:szCs w:val="24"/>
          <w:lang w:val="en-GB"/>
        </w:rPr>
        <w:t>s’</w:t>
      </w:r>
      <w:r w:rsidRPr="00A977C4">
        <w:rPr>
          <w:sz w:val="24"/>
          <w:szCs w:val="24"/>
          <w:lang w:val="en-GB"/>
        </w:rPr>
        <w:t xml:space="preserve"> fatigue are congruent with patient</w:t>
      </w:r>
      <w:r w:rsidR="003F226D" w:rsidRPr="00A977C4">
        <w:rPr>
          <w:sz w:val="24"/>
          <w:szCs w:val="24"/>
          <w:lang w:val="en-GB"/>
        </w:rPr>
        <w:t>s’</w:t>
      </w:r>
      <w:r w:rsidRPr="00A977C4">
        <w:rPr>
          <w:sz w:val="24"/>
          <w:szCs w:val="24"/>
          <w:lang w:val="en-GB"/>
        </w:rPr>
        <w:t xml:space="preserve"> ratings both when fatigue severity is measured continuously, and when the presence or absence of clinically relevant levels of fatigue is determined using a questionnaire with a validated cut-off for severe fatigue. Based on previous studies reporting poor agreement for more subjective symptoms </w:t>
      </w:r>
      <w:r w:rsidRPr="00A977C4">
        <w:rPr>
          <w:noProof/>
          <w:sz w:val="24"/>
          <w:szCs w:val="24"/>
          <w:lang w:val="en-GB"/>
        </w:rPr>
        <w:t>[15, 18]</w:t>
      </w:r>
      <w:r w:rsidRPr="00A977C4">
        <w:rPr>
          <w:sz w:val="24"/>
          <w:szCs w:val="24"/>
          <w:lang w:val="en-GB"/>
        </w:rPr>
        <w:t xml:space="preserve">, we expected lack of agreement for ICs’ ratings of patients’ fatigue severity on a continuous level. However, we did not have hypotheses about the magnitude of this expected disagreement or about the agreement of ICs’ and patients’ ratings for clinically relevant levels of fatigue. Second, we studied the patterns of agreement over time to investigate whether agreement between ICs’ and patients’ perceptions changed over time. We had no specific hypothesis for this research question. Finally, predictors for the degree of agreement between ICs’ and patients’ fatigue severity ratings over time were explored. Based on the findings of previous studies </w:t>
      </w:r>
      <w:r w:rsidRPr="00A977C4">
        <w:rPr>
          <w:noProof/>
          <w:sz w:val="24"/>
          <w:szCs w:val="24"/>
          <w:lang w:val="en-GB"/>
        </w:rPr>
        <w:t>[16, 17]</w:t>
      </w:r>
      <w:r w:rsidRPr="00A977C4">
        <w:rPr>
          <w:sz w:val="24"/>
          <w:szCs w:val="24"/>
          <w:lang w:val="en-GB"/>
        </w:rPr>
        <w:t xml:space="preserve">, we explored several characteristics associated with the IC (i.e. ICs’ fatigue severity, caregiver strain, and/or caregiver self-esteem) that could explain a significant amount of variance in ICs’ perceptions. For ICs’ with a partner relation to the patient, relationship satisfaction was added as a potential predictor since it has been suggested that this relates to closeness </w:t>
      </w:r>
      <w:r w:rsidRPr="00A977C4">
        <w:rPr>
          <w:noProof/>
          <w:sz w:val="24"/>
          <w:szCs w:val="24"/>
          <w:lang w:val="en-GB"/>
        </w:rPr>
        <w:t>[19]</w:t>
      </w:r>
      <w:r w:rsidRPr="00A977C4">
        <w:rPr>
          <w:sz w:val="24"/>
          <w:szCs w:val="24"/>
          <w:lang w:val="en-GB"/>
        </w:rPr>
        <w:t xml:space="preserve">, i.e. sharing </w:t>
      </w:r>
      <w:r w:rsidRPr="00A977C4">
        <w:rPr>
          <w:sz w:val="24"/>
          <w:szCs w:val="24"/>
          <w:lang w:val="en-GB"/>
        </w:rPr>
        <w:lastRenderedPageBreak/>
        <w:t xml:space="preserve">thoughts or feelings </w:t>
      </w:r>
      <w:r w:rsidRPr="00A977C4">
        <w:rPr>
          <w:noProof/>
          <w:sz w:val="24"/>
          <w:szCs w:val="24"/>
          <w:lang w:val="en-GB"/>
        </w:rPr>
        <w:t>[20]</w:t>
      </w:r>
      <w:r w:rsidRPr="00A977C4">
        <w:rPr>
          <w:sz w:val="24"/>
          <w:szCs w:val="24"/>
          <w:lang w:val="en-GB"/>
        </w:rPr>
        <w:t>, and thus might influence the congruence between ICs’ and patients’ perceptions.</w:t>
      </w:r>
    </w:p>
    <w:p w:rsidR="00471518" w:rsidRPr="00A977C4" w:rsidRDefault="00471518" w:rsidP="00FB63F3">
      <w:pPr>
        <w:spacing w:line="360" w:lineRule="auto"/>
        <w:jc w:val="both"/>
        <w:rPr>
          <w:b/>
          <w:sz w:val="28"/>
          <w:szCs w:val="28"/>
          <w:lang w:val="en-GB"/>
        </w:rPr>
      </w:pPr>
    </w:p>
    <w:p w:rsidR="00471518" w:rsidRPr="00A977C4" w:rsidRDefault="00471518" w:rsidP="00FB63F3">
      <w:pPr>
        <w:spacing w:line="360" w:lineRule="auto"/>
        <w:jc w:val="both"/>
        <w:rPr>
          <w:sz w:val="28"/>
          <w:szCs w:val="28"/>
          <w:lang w:val="en-GB"/>
        </w:rPr>
      </w:pPr>
      <w:r w:rsidRPr="00A977C4">
        <w:rPr>
          <w:b/>
          <w:sz w:val="28"/>
          <w:szCs w:val="28"/>
          <w:lang w:val="en-GB"/>
        </w:rPr>
        <w:t xml:space="preserve">Methods </w:t>
      </w:r>
    </w:p>
    <w:p w:rsidR="00471518" w:rsidRPr="00A977C4" w:rsidRDefault="00471518" w:rsidP="00FB63F3">
      <w:pPr>
        <w:spacing w:line="360" w:lineRule="auto"/>
        <w:jc w:val="both"/>
        <w:rPr>
          <w:sz w:val="24"/>
          <w:szCs w:val="24"/>
          <w:u w:val="single"/>
          <w:lang w:val="en-GB"/>
        </w:rPr>
      </w:pPr>
      <w:r w:rsidRPr="00A977C4">
        <w:rPr>
          <w:sz w:val="24"/>
          <w:szCs w:val="24"/>
          <w:u w:val="single"/>
          <w:lang w:val="en-GB"/>
        </w:rPr>
        <w:t>Study population</w:t>
      </w:r>
    </w:p>
    <w:p w:rsidR="00471518" w:rsidRPr="00A977C4" w:rsidRDefault="00471518" w:rsidP="00FB63F3">
      <w:pPr>
        <w:spacing w:line="360" w:lineRule="auto"/>
        <w:jc w:val="both"/>
        <w:rPr>
          <w:sz w:val="24"/>
          <w:szCs w:val="24"/>
          <w:lang w:val="en-GB"/>
        </w:rPr>
      </w:pPr>
      <w:r w:rsidRPr="00A977C4">
        <w:rPr>
          <w:sz w:val="24"/>
          <w:szCs w:val="24"/>
          <w:lang w:val="en-GB"/>
        </w:rPr>
        <w:t xml:space="preserve">The current study was part of a larger study examining fatigue in advanced cancer </w:t>
      </w:r>
      <w:r w:rsidRPr="00A977C4">
        <w:rPr>
          <w:noProof/>
          <w:sz w:val="24"/>
          <w:szCs w:val="24"/>
          <w:lang w:val="en-GB"/>
        </w:rPr>
        <w:t>[21, 22]</w:t>
      </w:r>
      <w:r w:rsidRPr="00A977C4">
        <w:rPr>
          <w:sz w:val="24"/>
          <w:szCs w:val="24"/>
          <w:lang w:val="en-GB"/>
        </w:rPr>
        <w:t>. Patients were recruited between December 2008 and June 2010 from two Dutch hospitals, the Radboud university medical center (Nijmegen) and the Jeroen Bosch Hospital (Den Bosch). Patients with advanced (i.e. incurable or metastatic) cancer who visited the department of medical oncology for cancer treatment with palliative intent with a life expectancy of at least six months were invited to participate in the study together with their IC. Potential patient participants were identified by the treating physician and telephoned by a researcher to explain study procedures. In addition, patients received written information. Eligible patients that gave consent were asked to identify their principal IC. ICs could either be the patients’ partner or have another relation to the patient (e.g. parent, daughter/son, or friend). Identified ICs were telephoned by a researcher to verify willingness to participate and also received written information. All patients and ICs gave oral informed consent. Paper versions of the questionnaires were sent to patients and ICs by mail in separate packages, which could be returned in a self-addressed, stamped envelope. ICs were explicitly instructed to complete the questionnaires apart from their patient-partners. Medical ethical committees of both hospitals approved the study.</w:t>
      </w:r>
    </w:p>
    <w:p w:rsidR="00471518" w:rsidRPr="00A977C4" w:rsidRDefault="00471518" w:rsidP="00FB63F3">
      <w:pPr>
        <w:spacing w:line="360" w:lineRule="auto"/>
        <w:jc w:val="both"/>
        <w:rPr>
          <w:sz w:val="24"/>
          <w:szCs w:val="24"/>
          <w:lang w:val="en-GB"/>
        </w:rPr>
      </w:pPr>
    </w:p>
    <w:p w:rsidR="00471518" w:rsidRPr="00A977C4" w:rsidRDefault="00471518" w:rsidP="00FB63F3">
      <w:pPr>
        <w:spacing w:line="360" w:lineRule="auto"/>
        <w:jc w:val="both"/>
        <w:rPr>
          <w:sz w:val="24"/>
          <w:szCs w:val="24"/>
          <w:u w:val="single"/>
          <w:lang w:val="en-GB"/>
        </w:rPr>
      </w:pPr>
      <w:r w:rsidRPr="00A977C4">
        <w:rPr>
          <w:sz w:val="24"/>
          <w:szCs w:val="24"/>
          <w:u w:val="single"/>
          <w:lang w:val="en-GB"/>
        </w:rPr>
        <w:t>Fatigue measurement</w:t>
      </w:r>
    </w:p>
    <w:p w:rsidR="00471518" w:rsidRPr="00A977C4" w:rsidRDefault="00471518" w:rsidP="00FB63F3">
      <w:pPr>
        <w:spacing w:line="360" w:lineRule="auto"/>
        <w:jc w:val="both"/>
        <w:rPr>
          <w:i/>
          <w:sz w:val="24"/>
          <w:szCs w:val="24"/>
          <w:lang w:val="en-GB"/>
        </w:rPr>
      </w:pPr>
      <w:r w:rsidRPr="00A977C4">
        <w:rPr>
          <w:sz w:val="24"/>
          <w:szCs w:val="24"/>
          <w:lang w:val="en-GB"/>
        </w:rPr>
        <w:t xml:space="preserve">Fatigue severity in patients and ICs was assessed with the subscale fatigue severity of the </w:t>
      </w:r>
      <w:r w:rsidRPr="00A977C4">
        <w:rPr>
          <w:i/>
          <w:sz w:val="24"/>
          <w:szCs w:val="24"/>
          <w:lang w:val="en-GB"/>
        </w:rPr>
        <w:t xml:space="preserve">Checklist Individual Strength </w:t>
      </w:r>
      <w:r w:rsidRPr="00A977C4">
        <w:rPr>
          <w:sz w:val="24"/>
          <w:szCs w:val="24"/>
          <w:lang w:val="en-GB"/>
        </w:rPr>
        <w:t>(CIS-fatigue)</w:t>
      </w:r>
      <w:r w:rsidRPr="00A977C4">
        <w:rPr>
          <w:i/>
          <w:sz w:val="24"/>
          <w:szCs w:val="24"/>
          <w:lang w:val="en-GB"/>
        </w:rPr>
        <w:t xml:space="preserve"> </w:t>
      </w:r>
      <w:r w:rsidRPr="00A977C4">
        <w:rPr>
          <w:noProof/>
          <w:sz w:val="24"/>
          <w:szCs w:val="24"/>
          <w:lang w:val="en-GB"/>
        </w:rPr>
        <w:t>[23]</w:t>
      </w:r>
      <w:r w:rsidRPr="00A977C4">
        <w:rPr>
          <w:i/>
          <w:sz w:val="24"/>
          <w:szCs w:val="24"/>
          <w:lang w:val="en-GB"/>
        </w:rPr>
        <w:t xml:space="preserve">. </w:t>
      </w:r>
      <w:r w:rsidRPr="00A977C4">
        <w:rPr>
          <w:sz w:val="24"/>
          <w:szCs w:val="24"/>
          <w:lang w:val="en-GB"/>
        </w:rPr>
        <w:t xml:space="preserve">Besides reporting their own fatigue, ICs also responded to a version of the CIS-fatigue adapted to elicit their perspective on the patients’ fatigue. ICs were instructed to focus on how their partner (or parent, daughter/son, or friend) had felt during the last two weeks. In addition, first-person item statements were changed into the third-person perspective (e.g. ‘My partner feels fatigued’). The CIS-fatigue consists of 8 items, scored on a 7-point Likert scale. Total scores range from 8 (no fatigue) to 56 (severe fatigue). The cut-off for severe fatigue is set at 35, i.e. two standard deviations (SD) above the mean of a healthy control group </w:t>
      </w:r>
      <w:r w:rsidRPr="00A977C4">
        <w:rPr>
          <w:noProof/>
          <w:sz w:val="24"/>
          <w:szCs w:val="24"/>
          <w:lang w:val="en-GB"/>
        </w:rPr>
        <w:t>[23]</w:t>
      </w:r>
      <w:r w:rsidRPr="00A977C4">
        <w:rPr>
          <w:sz w:val="24"/>
          <w:szCs w:val="24"/>
          <w:lang w:val="en-GB"/>
        </w:rPr>
        <w:t xml:space="preserve">. This cut-off has been used previously for assessing severe fatigue in cancer patients during or after curative cancer treatment </w:t>
      </w:r>
      <w:r w:rsidRPr="00A977C4">
        <w:rPr>
          <w:noProof/>
          <w:sz w:val="24"/>
          <w:szCs w:val="24"/>
          <w:lang w:val="en-GB"/>
        </w:rPr>
        <w:t xml:space="preserve">[24-27] as well as in </w:t>
      </w:r>
      <w:r w:rsidRPr="00A977C4">
        <w:rPr>
          <w:noProof/>
          <w:sz w:val="24"/>
          <w:szCs w:val="24"/>
          <w:lang w:val="en-GB"/>
        </w:rPr>
        <w:lastRenderedPageBreak/>
        <w:t>patients receiving cancer treatment with palliative intent [28]</w:t>
      </w:r>
      <w:r w:rsidRPr="00A977C4">
        <w:rPr>
          <w:sz w:val="24"/>
          <w:szCs w:val="24"/>
          <w:lang w:val="en-GB"/>
        </w:rPr>
        <w:t>. The CIS-fatigue was administered at baseline (T0) and six months later (T1).</w:t>
      </w:r>
    </w:p>
    <w:p w:rsidR="00471518" w:rsidRPr="00A977C4" w:rsidRDefault="00471518" w:rsidP="00FB63F3">
      <w:pPr>
        <w:spacing w:line="360" w:lineRule="auto"/>
        <w:jc w:val="both"/>
        <w:rPr>
          <w:sz w:val="24"/>
          <w:szCs w:val="24"/>
          <w:u w:val="single"/>
          <w:lang w:val="en-GB"/>
        </w:rPr>
      </w:pPr>
    </w:p>
    <w:p w:rsidR="00471518" w:rsidRPr="00A977C4" w:rsidRDefault="00471518" w:rsidP="00FB63F3">
      <w:pPr>
        <w:spacing w:line="360" w:lineRule="auto"/>
        <w:jc w:val="both"/>
        <w:rPr>
          <w:sz w:val="24"/>
          <w:szCs w:val="24"/>
          <w:u w:val="single"/>
          <w:lang w:val="en-GB"/>
        </w:rPr>
      </w:pPr>
      <w:r w:rsidRPr="00A977C4">
        <w:rPr>
          <w:sz w:val="24"/>
          <w:szCs w:val="24"/>
          <w:u w:val="single"/>
          <w:lang w:val="en-GB"/>
        </w:rPr>
        <w:t>Patient and informal caregiver characteristics</w:t>
      </w:r>
    </w:p>
    <w:p w:rsidR="00471518" w:rsidRPr="00A977C4" w:rsidRDefault="00471518" w:rsidP="00FB63F3">
      <w:pPr>
        <w:spacing w:line="360" w:lineRule="auto"/>
        <w:jc w:val="both"/>
        <w:rPr>
          <w:sz w:val="24"/>
          <w:szCs w:val="24"/>
          <w:lang w:val="en-GB"/>
        </w:rPr>
      </w:pPr>
      <w:r w:rsidRPr="00A977C4">
        <w:rPr>
          <w:sz w:val="24"/>
          <w:szCs w:val="24"/>
          <w:lang w:val="en-GB"/>
        </w:rPr>
        <w:t xml:space="preserve">At baseline, characteristics of the patients including demographic data (i.e. age and gender) and medical data (i.e. tumour type and treatment modality) were retrieved from medical records. In addition, ICs answered demographic questions (i.e. age, gender, and relation to the patient) at T0 and questionnaires about caregiver strain and caregiver self-esteem at T0 and T1. The </w:t>
      </w:r>
      <w:r w:rsidRPr="00A977C4">
        <w:rPr>
          <w:i/>
          <w:sz w:val="24"/>
          <w:szCs w:val="24"/>
          <w:lang w:val="en-GB"/>
        </w:rPr>
        <w:t>Caregiver Strain Index (CSI)</w:t>
      </w:r>
      <w:r w:rsidRPr="00A977C4">
        <w:rPr>
          <w:sz w:val="24"/>
          <w:szCs w:val="24"/>
          <w:lang w:val="en-GB"/>
        </w:rPr>
        <w:t xml:space="preserve"> contains 13 yes/no statements about perceived caregiver strain </w:t>
      </w:r>
      <w:r w:rsidRPr="00A977C4">
        <w:rPr>
          <w:noProof/>
          <w:sz w:val="24"/>
          <w:szCs w:val="24"/>
          <w:lang w:val="en-GB"/>
        </w:rPr>
        <w:t>[29]</w:t>
      </w:r>
      <w:r w:rsidRPr="00A977C4">
        <w:rPr>
          <w:sz w:val="24"/>
          <w:szCs w:val="24"/>
          <w:lang w:val="en-GB"/>
        </w:rPr>
        <w:t xml:space="preserve">. Total scores range from 0 to 13 and a score of 7 or more indicates high caregiver burden. Positive experience of care giving was measured with the subscale self-esteem of the </w:t>
      </w:r>
      <w:r w:rsidRPr="00A977C4">
        <w:rPr>
          <w:i/>
          <w:sz w:val="24"/>
          <w:szCs w:val="24"/>
          <w:lang w:val="en-GB"/>
        </w:rPr>
        <w:t xml:space="preserve">Caregiver Reaction Assessment-Dutch (CRA-D) </w:t>
      </w:r>
      <w:r w:rsidRPr="00A977C4">
        <w:rPr>
          <w:noProof/>
          <w:sz w:val="24"/>
          <w:szCs w:val="24"/>
          <w:lang w:val="en-GB"/>
        </w:rPr>
        <w:t>[30]</w:t>
      </w:r>
      <w:r w:rsidRPr="00A977C4">
        <w:rPr>
          <w:i/>
          <w:sz w:val="24"/>
          <w:szCs w:val="24"/>
          <w:lang w:val="en-GB"/>
        </w:rPr>
        <w:t xml:space="preserve">. </w:t>
      </w:r>
      <w:r w:rsidRPr="00A977C4">
        <w:rPr>
          <w:sz w:val="24"/>
          <w:szCs w:val="24"/>
          <w:lang w:val="en-GB"/>
        </w:rPr>
        <w:t xml:space="preserve">The CRA-D self-esteem consists of 7 items scored on a 5-point Likert scale of 1-5. Total scores range from 7 to 35 and a higher score represents more caregiver self-esteem </w:t>
      </w:r>
      <w:r w:rsidRPr="00A977C4">
        <w:rPr>
          <w:noProof/>
          <w:sz w:val="24"/>
          <w:szCs w:val="24"/>
          <w:lang w:val="en-GB"/>
        </w:rPr>
        <w:t>[31]</w:t>
      </w:r>
      <w:r w:rsidRPr="00A977C4">
        <w:rPr>
          <w:sz w:val="24"/>
          <w:szCs w:val="24"/>
          <w:lang w:val="en-GB"/>
        </w:rPr>
        <w:t xml:space="preserve">. ICs with a partner relationship to the patient also completed a questionnaire about their relationship satisfaction. The subscale marital satisfaction of the </w:t>
      </w:r>
      <w:r w:rsidRPr="00A977C4">
        <w:rPr>
          <w:i/>
          <w:sz w:val="24"/>
          <w:szCs w:val="24"/>
          <w:lang w:val="en-GB"/>
        </w:rPr>
        <w:t xml:space="preserve">Maudsley Marital Questionnaire (MMQ) </w:t>
      </w:r>
      <w:r w:rsidRPr="00A977C4">
        <w:rPr>
          <w:noProof/>
          <w:sz w:val="24"/>
          <w:szCs w:val="24"/>
          <w:lang w:val="en-GB"/>
        </w:rPr>
        <w:t>[32]</w:t>
      </w:r>
      <w:r w:rsidRPr="00A977C4">
        <w:rPr>
          <w:sz w:val="24"/>
          <w:szCs w:val="24"/>
          <w:lang w:val="en-GB"/>
        </w:rPr>
        <w:t xml:space="preserve"> consists of 10 items scored on a 9-point Likert scale of 0-8. Total scores range from 0 (very satisfied) to 80 (very dissatisfied).</w:t>
      </w:r>
    </w:p>
    <w:p w:rsidR="00471518" w:rsidRPr="00A977C4" w:rsidRDefault="00471518" w:rsidP="00FB63F3">
      <w:pPr>
        <w:spacing w:line="360" w:lineRule="auto"/>
        <w:jc w:val="both"/>
        <w:rPr>
          <w:sz w:val="24"/>
          <w:szCs w:val="24"/>
          <w:u w:val="single"/>
          <w:lang w:val="en-GB"/>
        </w:rPr>
      </w:pPr>
    </w:p>
    <w:p w:rsidR="00471518" w:rsidRPr="00A977C4" w:rsidRDefault="00471518" w:rsidP="00FB63F3">
      <w:pPr>
        <w:spacing w:line="360" w:lineRule="auto"/>
        <w:jc w:val="both"/>
        <w:rPr>
          <w:sz w:val="24"/>
          <w:szCs w:val="24"/>
          <w:u w:val="single"/>
          <w:lang w:val="en-GB"/>
        </w:rPr>
      </w:pPr>
      <w:r w:rsidRPr="00A977C4">
        <w:rPr>
          <w:sz w:val="24"/>
          <w:szCs w:val="24"/>
          <w:u w:val="single"/>
          <w:lang w:val="en-GB"/>
        </w:rPr>
        <w:t>Statistical analysis</w:t>
      </w:r>
    </w:p>
    <w:p w:rsidR="00471518" w:rsidRPr="00A977C4" w:rsidRDefault="00471518" w:rsidP="00FB63F3">
      <w:pPr>
        <w:spacing w:line="360" w:lineRule="auto"/>
        <w:jc w:val="both"/>
        <w:rPr>
          <w:sz w:val="24"/>
          <w:szCs w:val="24"/>
          <w:lang w:val="en-GB"/>
        </w:rPr>
      </w:pPr>
      <w:r w:rsidRPr="00A977C4">
        <w:rPr>
          <w:sz w:val="24"/>
          <w:szCs w:val="24"/>
          <w:lang w:val="en-GB"/>
        </w:rPr>
        <w:t xml:space="preserve">Only data from dyads where both members had completed the CIS-fatigue were included in the analyses. Due to the natural course of the illness, significant attrition was expected. No missing data were replaced. Analyses for T1 data only included dyads that completed the CIS-fatigue at both T0 and T1. </w:t>
      </w:r>
    </w:p>
    <w:p w:rsidR="00471518" w:rsidRPr="00A977C4" w:rsidRDefault="00471518" w:rsidP="00FB63F3">
      <w:pPr>
        <w:spacing w:line="360" w:lineRule="auto"/>
        <w:jc w:val="both"/>
        <w:rPr>
          <w:sz w:val="24"/>
          <w:szCs w:val="24"/>
          <w:lang w:val="en-GB"/>
        </w:rPr>
      </w:pPr>
    </w:p>
    <w:p w:rsidR="00471518" w:rsidRPr="00A977C4" w:rsidRDefault="00471518" w:rsidP="00FB63F3">
      <w:pPr>
        <w:spacing w:line="360" w:lineRule="auto"/>
        <w:jc w:val="both"/>
        <w:rPr>
          <w:sz w:val="24"/>
          <w:szCs w:val="24"/>
          <w:lang w:val="en-GB"/>
        </w:rPr>
      </w:pPr>
      <w:r w:rsidRPr="00A977C4">
        <w:rPr>
          <w:b/>
          <w:sz w:val="24"/>
          <w:szCs w:val="24"/>
          <w:lang w:val="en-GB"/>
        </w:rPr>
        <w:t xml:space="preserve">ICs’ ratings of patients’ fatigue at baseline. </w:t>
      </w:r>
      <w:r w:rsidRPr="00A977C4">
        <w:rPr>
          <w:sz w:val="24"/>
          <w:szCs w:val="24"/>
          <w:lang w:val="en-GB"/>
        </w:rPr>
        <w:t xml:space="preserve">First, an intraclass correlation coefficient (ICC) </w:t>
      </w:r>
      <w:r w:rsidRPr="00A977C4">
        <w:rPr>
          <w:noProof/>
          <w:sz w:val="24"/>
          <w:szCs w:val="24"/>
          <w:lang w:val="en-GB"/>
        </w:rPr>
        <w:t>[33]</w:t>
      </w:r>
      <w:r w:rsidRPr="00A977C4">
        <w:rPr>
          <w:sz w:val="24"/>
          <w:szCs w:val="24"/>
          <w:lang w:val="en-GB"/>
        </w:rPr>
        <w:t xml:space="preserve"> was calculated to examine congruence between patient and IC proxy ratings on the CIS-fatigue </w:t>
      </w:r>
      <w:r w:rsidRPr="00A977C4">
        <w:rPr>
          <w:noProof/>
          <w:sz w:val="24"/>
          <w:szCs w:val="24"/>
          <w:lang w:val="en-GB"/>
        </w:rPr>
        <w:t>[34]</w:t>
      </w:r>
      <w:r w:rsidRPr="00A977C4">
        <w:rPr>
          <w:sz w:val="24"/>
          <w:szCs w:val="24"/>
          <w:lang w:val="en-GB"/>
        </w:rPr>
        <w:t xml:space="preserve">. The strength of congruence as reflected by the ICC was labelled as follows: ≤ 0.40 poor to fair agreement; 0.41-0.60 moderate agreement; 0.61-0.80 good agreement; 0.81-1.00 excellent agreement </w:t>
      </w:r>
      <w:r w:rsidRPr="00A977C4">
        <w:rPr>
          <w:noProof/>
          <w:sz w:val="24"/>
          <w:szCs w:val="24"/>
          <w:lang w:val="en-GB"/>
        </w:rPr>
        <w:t>[35]</w:t>
      </w:r>
      <w:r w:rsidRPr="00A977C4">
        <w:rPr>
          <w:sz w:val="24"/>
          <w:szCs w:val="24"/>
          <w:lang w:val="en-GB"/>
        </w:rPr>
        <w:t xml:space="preserve">. Second, for each dyad, a continuous congruence score (CCS) was calculated by subtracting the patients’ CIS-fatigue score from the ICs’ CIS-fatigue proxy score, so that a positive CCS denoted the ICs’ proxy assessment of patients’ fatigue severity as being higher than that of the patient </w:t>
      </w:r>
      <w:r w:rsidRPr="00A977C4">
        <w:rPr>
          <w:noProof/>
          <w:sz w:val="24"/>
          <w:szCs w:val="24"/>
          <w:lang w:val="en-GB"/>
        </w:rPr>
        <w:t>[36]</w:t>
      </w:r>
      <w:r w:rsidRPr="00A977C4">
        <w:rPr>
          <w:sz w:val="24"/>
          <w:szCs w:val="24"/>
          <w:lang w:val="en-GB"/>
        </w:rPr>
        <w:t xml:space="preserve">. Given the possible range of 8 to 56 for scores on the CIS-fatigue, possible CCSs ranged between -48 and 48. In accordance with previous </w:t>
      </w:r>
      <w:r w:rsidRPr="00A977C4">
        <w:rPr>
          <w:sz w:val="24"/>
          <w:szCs w:val="24"/>
          <w:lang w:val="en-GB"/>
        </w:rPr>
        <w:lastRenderedPageBreak/>
        <w:t xml:space="preserve">studies examining dyadic congruence, a minimal threshold for a clinically relevant CCS was set at &gt;10% of the possible range </w:t>
      </w:r>
      <w:r w:rsidRPr="00A977C4">
        <w:rPr>
          <w:noProof/>
          <w:sz w:val="24"/>
          <w:szCs w:val="24"/>
          <w:lang w:val="en-GB"/>
        </w:rPr>
        <w:t>[37, 38]</w:t>
      </w:r>
      <w:r w:rsidRPr="00A977C4">
        <w:rPr>
          <w:sz w:val="24"/>
          <w:szCs w:val="24"/>
          <w:lang w:val="en-GB"/>
        </w:rPr>
        <w:t xml:space="preserve">. Therefore, CCSs exceeding 4.8 or -4.8 were considered clinically relevant. At the group level, additional paired samples t-tests were used to determine the mean CCS at baseline, being indicative of bias in ICs’ proxy score relative to those of the patient. The statistical magnitude of any observed bias was examined by calculating the effect size (Cohen’s </w:t>
      </w:r>
      <w:r w:rsidRPr="00A977C4">
        <w:rPr>
          <w:i/>
          <w:sz w:val="24"/>
          <w:szCs w:val="24"/>
          <w:lang w:val="en-GB"/>
        </w:rPr>
        <w:t>d</w:t>
      </w:r>
      <w:r w:rsidRPr="00A977C4">
        <w:rPr>
          <w:sz w:val="24"/>
          <w:szCs w:val="24"/>
          <w:lang w:val="en-GB"/>
        </w:rPr>
        <w:t xml:space="preserve">) using mean CCS and SD </w:t>
      </w:r>
      <w:r w:rsidRPr="00A977C4">
        <w:rPr>
          <w:noProof/>
          <w:sz w:val="24"/>
          <w:szCs w:val="24"/>
          <w:lang w:val="en-GB"/>
        </w:rPr>
        <w:t>[39]</w:t>
      </w:r>
      <w:r w:rsidRPr="00A977C4">
        <w:rPr>
          <w:sz w:val="24"/>
          <w:szCs w:val="24"/>
          <w:lang w:val="en-GB"/>
        </w:rPr>
        <w:t xml:space="preserve">. An effect size of at least 0.2 was considered small, 0.5 was considered moderate, and 0.8 was considered large </w:t>
      </w:r>
      <w:r w:rsidRPr="00A977C4">
        <w:rPr>
          <w:noProof/>
          <w:sz w:val="24"/>
          <w:szCs w:val="24"/>
          <w:lang w:val="en-GB"/>
        </w:rPr>
        <w:t>[39, 40]</w:t>
      </w:r>
      <w:r w:rsidRPr="00A977C4">
        <w:rPr>
          <w:sz w:val="24"/>
          <w:szCs w:val="24"/>
          <w:lang w:val="en-GB"/>
        </w:rPr>
        <w:t xml:space="preserve">. </w:t>
      </w:r>
    </w:p>
    <w:p w:rsidR="00471518" w:rsidRPr="00A977C4" w:rsidRDefault="00471518" w:rsidP="00702AA1">
      <w:pPr>
        <w:spacing w:line="360" w:lineRule="auto"/>
        <w:ind w:firstLine="708"/>
        <w:jc w:val="both"/>
        <w:rPr>
          <w:b/>
          <w:i/>
          <w:sz w:val="24"/>
          <w:szCs w:val="24"/>
          <w:lang w:val="en-GB"/>
        </w:rPr>
      </w:pPr>
      <w:r w:rsidRPr="00A977C4">
        <w:rPr>
          <w:sz w:val="24"/>
          <w:szCs w:val="24"/>
          <w:lang w:val="en-GB"/>
        </w:rPr>
        <w:t xml:space="preserve">To examine absolute congruence, CIS-fatigue scores of patients and ICs’ CIS-fatigue proxy scores were dichotomized as denoting the presence (≥35) or absence (&lt;35) of severe fatigue. Dyadic congruence about the presence or absence of severe fatigue was determined and coded (0=congruence, 1=incongruence). At the group level, proportion agreement was calculated to evaluate the amount and direction of congruence between patients and ICs. Incongruent dyads were further classified as to whether the IC under- or over-estimated the presence of severe fatigue relative to the patient. </w:t>
      </w:r>
    </w:p>
    <w:p w:rsidR="00471518" w:rsidRPr="00A977C4" w:rsidRDefault="00471518" w:rsidP="00FB63F3">
      <w:pPr>
        <w:spacing w:line="360" w:lineRule="auto"/>
        <w:jc w:val="both"/>
        <w:rPr>
          <w:b/>
          <w:sz w:val="24"/>
          <w:szCs w:val="24"/>
          <w:highlight w:val="lightGray"/>
          <w:lang w:val="en-GB"/>
        </w:rPr>
      </w:pPr>
    </w:p>
    <w:p w:rsidR="00702AA1" w:rsidRPr="00A977C4" w:rsidRDefault="00471518" w:rsidP="00FB63F3">
      <w:pPr>
        <w:spacing w:line="360" w:lineRule="auto"/>
        <w:jc w:val="both"/>
        <w:rPr>
          <w:sz w:val="24"/>
          <w:szCs w:val="24"/>
          <w:lang w:val="en-GB"/>
        </w:rPr>
      </w:pPr>
      <w:r w:rsidRPr="00A977C4">
        <w:rPr>
          <w:b/>
          <w:sz w:val="24"/>
          <w:szCs w:val="24"/>
          <w:lang w:val="en-GB"/>
        </w:rPr>
        <w:t xml:space="preserve">ICs’ ratings of patients’ fatigue over time.  </w:t>
      </w:r>
      <w:r w:rsidRPr="00A977C4">
        <w:rPr>
          <w:sz w:val="24"/>
          <w:szCs w:val="24"/>
          <w:lang w:val="en-GB"/>
        </w:rPr>
        <w:t xml:space="preserve">First, a paired samples </w:t>
      </w:r>
      <w:r w:rsidRPr="00A977C4">
        <w:rPr>
          <w:i/>
          <w:sz w:val="24"/>
          <w:szCs w:val="24"/>
          <w:lang w:val="en-GB"/>
        </w:rPr>
        <w:t>t</w:t>
      </w:r>
      <w:r w:rsidRPr="00A977C4">
        <w:rPr>
          <w:sz w:val="24"/>
          <w:szCs w:val="24"/>
          <w:lang w:val="en-GB"/>
        </w:rPr>
        <w:t xml:space="preserve">-test was used to test whether the means for CCS at T0 and T1 differed over time. Second, two separate Bland-Altman plots were drawn for agreement at T0 and T1 to visually inspect patterns of agreement over time </w:t>
      </w:r>
      <w:r w:rsidRPr="00A977C4">
        <w:rPr>
          <w:noProof/>
          <w:sz w:val="24"/>
          <w:szCs w:val="24"/>
          <w:lang w:val="en-GB"/>
        </w:rPr>
        <w:t>[41, 42]</w:t>
      </w:r>
      <w:r w:rsidRPr="00A977C4">
        <w:rPr>
          <w:sz w:val="24"/>
          <w:szCs w:val="24"/>
          <w:lang w:val="en-GB"/>
        </w:rPr>
        <w:t xml:space="preserve">. In this graphical method, the differences between patient and IC ratings (CCS) are plotted against the gold standard, i.e. patients’ fatigue ratings </w:t>
      </w:r>
      <w:r w:rsidRPr="00A977C4">
        <w:rPr>
          <w:noProof/>
          <w:sz w:val="24"/>
          <w:szCs w:val="24"/>
          <w:lang w:val="en-GB"/>
        </w:rPr>
        <w:t>[43]</w:t>
      </w:r>
      <w:r w:rsidRPr="00A977C4">
        <w:rPr>
          <w:sz w:val="24"/>
          <w:szCs w:val="24"/>
          <w:lang w:val="en-GB"/>
        </w:rPr>
        <w:t xml:space="preserve">. The 95% limits of agreement were defined as the mean CCS ± 1.96 times the SD of the differences. Horizontal lines were drawn for the mean CCS and the upper and lower limits of agreement. We inspected width of the 95% limits of agreement, trends in agreement, and consistency of variability across the graph for T0 and T1. In addition, we calculated the proportion of dyads with a CCS exceeding the threshold for clinical relevance. </w:t>
      </w:r>
    </w:p>
    <w:p w:rsidR="00471518" w:rsidRPr="00A977C4" w:rsidRDefault="00471518" w:rsidP="00702AA1">
      <w:pPr>
        <w:spacing w:line="360" w:lineRule="auto"/>
        <w:ind w:firstLine="708"/>
        <w:jc w:val="both"/>
        <w:rPr>
          <w:sz w:val="24"/>
          <w:szCs w:val="24"/>
          <w:lang w:val="en-GB"/>
        </w:rPr>
      </w:pPr>
      <w:r w:rsidRPr="00A977C4">
        <w:rPr>
          <w:sz w:val="24"/>
          <w:szCs w:val="24"/>
          <w:lang w:val="en-GB"/>
        </w:rPr>
        <w:t>To examine absolute congruence over time, we calculated the numbers and percentages of dyads that were classified as congruent or incongruent about the presence or absence of severe fatigue at T0 and T1.</w:t>
      </w:r>
    </w:p>
    <w:p w:rsidR="00471518" w:rsidRPr="00A977C4" w:rsidRDefault="00471518" w:rsidP="00FB63F3">
      <w:pPr>
        <w:spacing w:line="360" w:lineRule="auto"/>
        <w:jc w:val="both"/>
        <w:rPr>
          <w:sz w:val="24"/>
          <w:szCs w:val="24"/>
          <w:lang w:val="en-GB"/>
        </w:rPr>
      </w:pPr>
    </w:p>
    <w:p w:rsidR="00471518" w:rsidRPr="00A977C4" w:rsidRDefault="00471518" w:rsidP="00FB63F3">
      <w:pPr>
        <w:spacing w:line="360" w:lineRule="auto"/>
        <w:jc w:val="both"/>
        <w:rPr>
          <w:sz w:val="24"/>
          <w:szCs w:val="24"/>
          <w:lang w:val="en-GB"/>
        </w:rPr>
      </w:pPr>
      <w:r w:rsidRPr="00A977C4">
        <w:rPr>
          <w:b/>
          <w:sz w:val="24"/>
          <w:szCs w:val="24"/>
          <w:lang w:val="en-GB"/>
        </w:rPr>
        <w:t>Predictors of continuous congruence.</w:t>
      </w:r>
      <w:r w:rsidRPr="00A977C4">
        <w:rPr>
          <w:sz w:val="24"/>
          <w:szCs w:val="24"/>
          <w:lang w:val="en-GB"/>
        </w:rPr>
        <w:t xml:space="preserve"> Bivariate correlations between baseline predictors and CCS at T0 and T1 were determined. Following the methods described by Snow et al. (2005), a multivariate hierarchical regression analysis was conducted to determine which IC characteristics at T0 significantly predicted CCSs at T1 </w:t>
      </w:r>
      <w:r w:rsidRPr="00A977C4">
        <w:rPr>
          <w:noProof/>
          <w:sz w:val="24"/>
          <w:szCs w:val="24"/>
          <w:lang w:val="en-GB"/>
        </w:rPr>
        <w:t>[36]</w:t>
      </w:r>
      <w:r w:rsidRPr="00A977C4">
        <w:rPr>
          <w:sz w:val="24"/>
          <w:szCs w:val="24"/>
          <w:lang w:val="en-GB"/>
        </w:rPr>
        <w:t xml:space="preserve">. Predictors were entered into the </w:t>
      </w:r>
      <w:r w:rsidRPr="00A977C4">
        <w:rPr>
          <w:sz w:val="24"/>
          <w:szCs w:val="24"/>
          <w:lang w:val="en-GB"/>
        </w:rPr>
        <w:lastRenderedPageBreak/>
        <w:t>regression model in three blocks: (1) CCS at T0, (2) T0 predictors that significantly correlate with CCS at T1, (3) the remaining predictors. All data analyses were performed using Statistical Package for Social Science (SPSS; version 20) for Windows. The significance level was set at 0.05.</w:t>
      </w:r>
    </w:p>
    <w:p w:rsidR="00471518" w:rsidRPr="00A977C4" w:rsidRDefault="00471518">
      <w:pPr>
        <w:rPr>
          <w:b/>
          <w:sz w:val="28"/>
          <w:szCs w:val="28"/>
          <w:lang w:val="en-GB"/>
        </w:rPr>
      </w:pPr>
    </w:p>
    <w:p w:rsidR="00471518" w:rsidRPr="00A977C4" w:rsidRDefault="00471518" w:rsidP="00FB63F3">
      <w:pPr>
        <w:spacing w:line="360" w:lineRule="auto"/>
        <w:rPr>
          <w:b/>
          <w:sz w:val="28"/>
          <w:szCs w:val="28"/>
          <w:lang w:val="en-GB"/>
        </w:rPr>
      </w:pPr>
      <w:r w:rsidRPr="00A977C4">
        <w:rPr>
          <w:b/>
          <w:sz w:val="28"/>
          <w:szCs w:val="28"/>
          <w:lang w:val="en-GB"/>
        </w:rPr>
        <w:t>Results</w:t>
      </w:r>
    </w:p>
    <w:p w:rsidR="00471518" w:rsidRPr="00A977C4" w:rsidRDefault="00471518" w:rsidP="00FB63F3">
      <w:pPr>
        <w:spacing w:line="360" w:lineRule="auto"/>
        <w:jc w:val="both"/>
        <w:rPr>
          <w:sz w:val="24"/>
          <w:szCs w:val="24"/>
          <w:u w:val="single"/>
          <w:lang w:val="en-GB"/>
        </w:rPr>
      </w:pPr>
      <w:r w:rsidRPr="00A977C4">
        <w:rPr>
          <w:sz w:val="24"/>
          <w:szCs w:val="24"/>
          <w:u w:val="single"/>
          <w:lang w:val="en-GB"/>
        </w:rPr>
        <w:t>Patients’ and ICs’ characteristics</w:t>
      </w:r>
    </w:p>
    <w:p w:rsidR="00471518" w:rsidRPr="00A977C4" w:rsidRDefault="00471518" w:rsidP="00FB63F3">
      <w:pPr>
        <w:spacing w:line="360" w:lineRule="auto"/>
        <w:jc w:val="both"/>
        <w:rPr>
          <w:sz w:val="24"/>
          <w:szCs w:val="24"/>
          <w:lang w:val="en-GB"/>
        </w:rPr>
      </w:pPr>
      <w:r w:rsidRPr="00A977C4">
        <w:rPr>
          <w:sz w:val="24"/>
          <w:szCs w:val="24"/>
          <w:lang w:val="en-GB"/>
        </w:rPr>
        <w:t>Of the 142 eligible dyads for the larger study, 131 agreed to participate and 107 completed the CIS-fatigue at T0, enabling inclusion in this study (75% response). Due to expected attrition, 69 of the 107 dyads filled out the CIS-fatigue at both time points (64% response). The most common reason for loss of dyads was because the patient died during the study (n=21), followed by patients that did not want to participate any further mostly because of disease deterioration (n=14) or for unknown reasons (n=4). The demographic and medical characteristics of the total group of 107 patients and ICs are presented in Table 1.</w:t>
      </w:r>
    </w:p>
    <w:p w:rsidR="00471518" w:rsidRPr="00A977C4" w:rsidRDefault="00471518" w:rsidP="00FB63F3">
      <w:pPr>
        <w:spacing w:line="360" w:lineRule="auto"/>
        <w:jc w:val="both"/>
        <w:rPr>
          <w:sz w:val="24"/>
          <w:szCs w:val="24"/>
          <w:u w:val="single"/>
          <w:lang w:val="en-GB"/>
        </w:rPr>
      </w:pPr>
    </w:p>
    <w:p w:rsidR="00471518" w:rsidRPr="00A977C4" w:rsidRDefault="00471518" w:rsidP="00FB63F3">
      <w:pPr>
        <w:spacing w:line="360" w:lineRule="auto"/>
        <w:rPr>
          <w:sz w:val="24"/>
          <w:szCs w:val="24"/>
          <w:u w:val="single"/>
          <w:lang w:val="en-GB"/>
        </w:rPr>
      </w:pPr>
      <w:r w:rsidRPr="00A977C4">
        <w:rPr>
          <w:sz w:val="24"/>
          <w:szCs w:val="24"/>
          <w:u w:val="single"/>
          <w:lang w:val="en-GB"/>
        </w:rPr>
        <w:t>ICs’ ratings of patients’ fatigue at baseline</w:t>
      </w:r>
    </w:p>
    <w:p w:rsidR="00471518" w:rsidRPr="00A977C4" w:rsidRDefault="00471518" w:rsidP="00FB63F3">
      <w:pPr>
        <w:spacing w:line="360" w:lineRule="auto"/>
        <w:jc w:val="both"/>
        <w:rPr>
          <w:sz w:val="24"/>
          <w:szCs w:val="24"/>
          <w:lang w:val="en-GB"/>
        </w:rPr>
      </w:pPr>
      <w:r w:rsidRPr="00A977C4">
        <w:rPr>
          <w:sz w:val="24"/>
          <w:szCs w:val="24"/>
          <w:lang w:val="en-GB"/>
        </w:rPr>
        <w:t xml:space="preserve">At baseline, the intraclass correlation indicated excellent agreement between patient and IC proxy ratings (ICC = 0.81). Patients mean CIS-fatigue scores and ICs’ mean CIS-fatigue proxy scores were 31.9 and 36.6, respectively. ICs’ CIS-fatigue proxy scores differed significantly from patients’ CIS-fatigue scores. ICs tended to overestimate the level of fatigue (mean difference 4.74, SD9.97, </w:t>
      </w:r>
      <w:r w:rsidRPr="00A977C4">
        <w:rPr>
          <w:i/>
          <w:sz w:val="24"/>
          <w:szCs w:val="24"/>
          <w:lang w:val="en-GB"/>
        </w:rPr>
        <w:t>t:</w:t>
      </w:r>
      <w:r w:rsidRPr="00A977C4">
        <w:rPr>
          <w:sz w:val="24"/>
          <w:szCs w:val="24"/>
          <w:lang w:val="en-GB"/>
        </w:rPr>
        <w:t xml:space="preserve">4.917, </w:t>
      </w:r>
      <w:r w:rsidRPr="00A977C4">
        <w:rPr>
          <w:i/>
          <w:sz w:val="24"/>
          <w:szCs w:val="24"/>
          <w:lang w:val="en-GB"/>
        </w:rPr>
        <w:t xml:space="preserve">p </w:t>
      </w:r>
      <w:r w:rsidRPr="00A977C4">
        <w:rPr>
          <w:sz w:val="24"/>
          <w:szCs w:val="24"/>
          <w:lang w:val="en-GB"/>
        </w:rPr>
        <w:t xml:space="preserve">&lt;.001). The effect size suggested that the amount of systematic bias was moderate (Cohen’s </w:t>
      </w:r>
      <w:r w:rsidRPr="00A977C4">
        <w:rPr>
          <w:i/>
          <w:sz w:val="24"/>
          <w:szCs w:val="24"/>
          <w:lang w:val="en-GB"/>
        </w:rPr>
        <w:t>d</w:t>
      </w:r>
      <w:r w:rsidRPr="00A977C4">
        <w:rPr>
          <w:sz w:val="24"/>
          <w:szCs w:val="24"/>
          <w:lang w:val="en-GB"/>
        </w:rPr>
        <w:t xml:space="preserve"> = 0.48). At the group level, the mean CCS for fatigue severity did not exceed the clinically relevant threshold (i.e. 4.8 or -4.8). The CCS for each dyad exceeded the clinically relevant threshold in 68 of the 107 dyads (64%). </w:t>
      </w:r>
    </w:p>
    <w:p w:rsidR="00471518" w:rsidRPr="00A977C4" w:rsidRDefault="00471518" w:rsidP="006D0257">
      <w:pPr>
        <w:spacing w:line="360" w:lineRule="auto"/>
        <w:ind w:firstLine="708"/>
        <w:jc w:val="both"/>
        <w:rPr>
          <w:sz w:val="24"/>
          <w:szCs w:val="24"/>
          <w:lang w:val="en-GB"/>
        </w:rPr>
      </w:pPr>
      <w:r w:rsidRPr="00A977C4">
        <w:rPr>
          <w:sz w:val="24"/>
          <w:szCs w:val="24"/>
          <w:lang w:val="en-GB"/>
        </w:rPr>
        <w:t>When the cut-off for severe fatigue (i.e. ≥ 35) was applied, 81 of the 107 dyads (76%) were congruent about the presence (n=43) or absence (n=38) of severe fatigue in patients. Of the remaining 26 incongruent dyads, 22 ICs (85%) overestimated the presence of severe fatigue, while only 4 ICs (15%) underestimated the presence of severe fatigue.</w:t>
      </w:r>
    </w:p>
    <w:p w:rsidR="00471518" w:rsidRPr="00A977C4" w:rsidRDefault="00471518" w:rsidP="00FB63F3">
      <w:pPr>
        <w:spacing w:line="360" w:lineRule="auto"/>
        <w:jc w:val="both"/>
        <w:rPr>
          <w:sz w:val="24"/>
          <w:szCs w:val="24"/>
          <w:u w:val="single"/>
          <w:lang w:val="en-GB"/>
        </w:rPr>
      </w:pPr>
    </w:p>
    <w:p w:rsidR="00471518" w:rsidRPr="00A977C4" w:rsidRDefault="00471518" w:rsidP="00FB63F3">
      <w:pPr>
        <w:spacing w:line="360" w:lineRule="auto"/>
        <w:jc w:val="both"/>
        <w:rPr>
          <w:sz w:val="24"/>
          <w:szCs w:val="24"/>
          <w:lang w:val="en-GB"/>
        </w:rPr>
      </w:pPr>
      <w:r w:rsidRPr="00A977C4">
        <w:rPr>
          <w:sz w:val="24"/>
          <w:szCs w:val="24"/>
          <w:u w:val="single"/>
          <w:lang w:val="en-GB"/>
        </w:rPr>
        <w:t>ICs’ ratings of patients’ fatigue over time</w:t>
      </w:r>
    </w:p>
    <w:p w:rsidR="00471518" w:rsidRPr="00A977C4" w:rsidRDefault="00471518" w:rsidP="00FB63F3">
      <w:pPr>
        <w:spacing w:line="360" w:lineRule="auto"/>
        <w:jc w:val="both"/>
        <w:rPr>
          <w:sz w:val="24"/>
          <w:szCs w:val="24"/>
          <w:lang w:val="en-GB"/>
        </w:rPr>
      </w:pPr>
      <w:r w:rsidRPr="00A977C4">
        <w:rPr>
          <w:sz w:val="24"/>
          <w:szCs w:val="24"/>
          <w:lang w:val="en-GB"/>
        </w:rPr>
        <w:t xml:space="preserve">The following results are related to the 69 dyads that completed the CIS-fatigue (patient and proxy-rating) at both T0 and T1. Dyads lost to follow-up (n=38) were not significantly different with respect to mean CCS at T0 compared to dyads that completed both assessments </w:t>
      </w:r>
      <w:r w:rsidRPr="00A977C4">
        <w:rPr>
          <w:sz w:val="24"/>
          <w:szCs w:val="24"/>
          <w:lang w:val="en-GB"/>
        </w:rPr>
        <w:lastRenderedPageBreak/>
        <w:t xml:space="preserve">(n=69). In addition, ICs’ own fatigue severity, self-esteem, relationship satisfaction, and strain did not differ significantly at baseline (all </w:t>
      </w:r>
      <w:r w:rsidRPr="00A977C4">
        <w:rPr>
          <w:i/>
          <w:sz w:val="24"/>
          <w:szCs w:val="24"/>
          <w:lang w:val="en-GB"/>
        </w:rPr>
        <w:t>p</w:t>
      </w:r>
      <w:r w:rsidRPr="00A977C4">
        <w:rPr>
          <w:sz w:val="24"/>
          <w:szCs w:val="24"/>
          <w:lang w:val="en-GB"/>
        </w:rPr>
        <w:t>’s &gt; 0.05).</w:t>
      </w:r>
    </w:p>
    <w:p w:rsidR="00471518" w:rsidRPr="00A977C4" w:rsidRDefault="00471518" w:rsidP="00FB63F3">
      <w:pPr>
        <w:spacing w:line="360" w:lineRule="auto"/>
        <w:jc w:val="both"/>
        <w:rPr>
          <w:sz w:val="24"/>
          <w:szCs w:val="24"/>
          <w:lang w:val="en-GB"/>
        </w:rPr>
      </w:pPr>
      <w:r w:rsidRPr="00A977C4">
        <w:rPr>
          <w:sz w:val="24"/>
          <w:szCs w:val="24"/>
          <w:lang w:val="en-GB"/>
        </w:rPr>
        <w:t>The mean CCS for fatigue severity was lower at T1 (2.97, SD10.28) compared to T0 (4.62, SD10.54), though not significantly so (</w:t>
      </w:r>
      <w:r w:rsidRPr="00A977C4">
        <w:rPr>
          <w:i/>
          <w:sz w:val="24"/>
          <w:szCs w:val="24"/>
          <w:lang w:val="en-GB"/>
        </w:rPr>
        <w:t>p</w:t>
      </w:r>
      <w:r w:rsidRPr="00A977C4">
        <w:rPr>
          <w:sz w:val="24"/>
          <w:szCs w:val="24"/>
          <w:lang w:val="en-GB"/>
        </w:rPr>
        <w:t xml:space="preserve"> &gt; 0.05). Figures 1A and 1B depict Bland-Altman plots of the difference between patient and IC ratings of patients’ fatigue. For both time points, a wide range for the limits of agreement was found. No trends were observed and variability across the graph was consistent at both time points. The CCS for each dyad exceeded the clinically relevant threshold in 45 (65%) and in 48 (70%) of the 69 dyads at T0 and T1, respectively.</w:t>
      </w:r>
    </w:p>
    <w:p w:rsidR="00471518" w:rsidRPr="00A977C4" w:rsidRDefault="00471518" w:rsidP="006D0257">
      <w:pPr>
        <w:spacing w:line="360" w:lineRule="auto"/>
        <w:ind w:firstLine="708"/>
        <w:jc w:val="both"/>
        <w:rPr>
          <w:sz w:val="24"/>
          <w:szCs w:val="24"/>
          <w:lang w:val="en-GB"/>
        </w:rPr>
      </w:pPr>
      <w:r w:rsidRPr="00A977C4">
        <w:rPr>
          <w:sz w:val="24"/>
          <w:szCs w:val="24"/>
          <w:lang w:val="en-GB"/>
        </w:rPr>
        <w:t xml:space="preserve">We calculated the numbers and percentages of dyads that were classified as congruent or incongruent about the presence or absence of severe fatigue at T0 and T1. Forty-two of the 51 dyads (82%) that were classified as congruent at T0 were also congruent at T1. However, 13 of the 18 dyads (72%) that were incongruent at T0 were in agreement about the presence or absence of severe fatigue at T1. </w:t>
      </w:r>
    </w:p>
    <w:p w:rsidR="00471518" w:rsidRPr="00A977C4" w:rsidRDefault="00471518" w:rsidP="00FB63F3">
      <w:pPr>
        <w:spacing w:line="360" w:lineRule="auto"/>
        <w:rPr>
          <w:sz w:val="24"/>
          <w:szCs w:val="24"/>
          <w:u w:val="single"/>
          <w:lang w:val="en-GB"/>
        </w:rPr>
      </w:pPr>
    </w:p>
    <w:p w:rsidR="00471518" w:rsidRPr="00A977C4" w:rsidRDefault="00471518" w:rsidP="00FB63F3">
      <w:pPr>
        <w:spacing w:line="360" w:lineRule="auto"/>
        <w:rPr>
          <w:sz w:val="24"/>
          <w:szCs w:val="24"/>
          <w:u w:val="single"/>
          <w:lang w:val="en-GB"/>
        </w:rPr>
      </w:pPr>
      <w:r w:rsidRPr="00A977C4">
        <w:rPr>
          <w:sz w:val="24"/>
          <w:szCs w:val="24"/>
          <w:u w:val="single"/>
          <w:lang w:val="en-GB"/>
        </w:rPr>
        <w:t>Predictors of continuous congruence</w:t>
      </w:r>
    </w:p>
    <w:p w:rsidR="00471518" w:rsidRPr="00A977C4" w:rsidRDefault="00471518" w:rsidP="00FB63F3">
      <w:pPr>
        <w:spacing w:line="360" w:lineRule="auto"/>
        <w:jc w:val="both"/>
        <w:rPr>
          <w:sz w:val="24"/>
          <w:szCs w:val="24"/>
          <w:lang w:val="en-GB"/>
        </w:rPr>
      </w:pPr>
      <w:r w:rsidRPr="00A977C4">
        <w:rPr>
          <w:sz w:val="24"/>
          <w:szCs w:val="24"/>
          <w:lang w:val="en-GB"/>
        </w:rPr>
        <w:t>Table 2 shows descriptives for patients’ fatigue and ICs’ own fatigue severity, strain, self-esteem, and relationship satisfaction at T0 and T1. All variables remained largely stable over time (</w:t>
      </w:r>
      <w:r w:rsidRPr="00A977C4">
        <w:rPr>
          <w:i/>
          <w:sz w:val="24"/>
          <w:szCs w:val="24"/>
          <w:lang w:val="en-GB"/>
        </w:rPr>
        <w:t>p</w:t>
      </w:r>
      <w:r w:rsidRPr="00A977C4">
        <w:rPr>
          <w:sz w:val="24"/>
          <w:szCs w:val="24"/>
          <w:lang w:val="en-GB"/>
        </w:rPr>
        <w:t>’s &gt; 0.1). Table 3 displays predictor-outcome correlations for T0 and T1. The CCS at T0, ICs’ own fatigue severity and strain correlated significantly with the CCS at T1 (</w:t>
      </w:r>
      <w:r w:rsidRPr="00A977C4">
        <w:rPr>
          <w:i/>
          <w:sz w:val="24"/>
          <w:szCs w:val="24"/>
          <w:lang w:val="en-GB"/>
        </w:rPr>
        <w:t>p</w:t>
      </w:r>
      <w:r w:rsidRPr="00A977C4">
        <w:rPr>
          <w:sz w:val="24"/>
          <w:szCs w:val="24"/>
          <w:lang w:val="en-GB"/>
        </w:rPr>
        <w:t xml:space="preserve">’s &lt; 0.05). </w:t>
      </w:r>
    </w:p>
    <w:p w:rsidR="00471518" w:rsidRPr="00A977C4" w:rsidRDefault="00471518" w:rsidP="00FB63F3">
      <w:pPr>
        <w:spacing w:line="360" w:lineRule="auto"/>
        <w:ind w:firstLine="708"/>
        <w:jc w:val="both"/>
        <w:rPr>
          <w:sz w:val="24"/>
          <w:szCs w:val="24"/>
          <w:lang w:val="en-GB"/>
        </w:rPr>
      </w:pPr>
      <w:r w:rsidRPr="00A977C4">
        <w:rPr>
          <w:sz w:val="24"/>
          <w:szCs w:val="24"/>
          <w:lang w:val="en-GB"/>
        </w:rPr>
        <w:t xml:space="preserve">Subsequently, three-block hierarchical regression was used. In block 1, the CCS at T0 was entered as a control variable. Block 2 predictors included those variables that significantly correlated with CCS at T1 (ICs’ own fatigue severity and strain). Remaining predictors in block 3 (self-esteem and relationship satisfaction) were entered based on previous research </w:t>
      </w:r>
      <w:r w:rsidRPr="00A977C4">
        <w:rPr>
          <w:noProof/>
          <w:sz w:val="24"/>
          <w:szCs w:val="24"/>
          <w:lang w:val="en-GB"/>
        </w:rPr>
        <w:t>[16, 19]</w:t>
      </w:r>
      <w:r w:rsidRPr="00A977C4">
        <w:rPr>
          <w:sz w:val="24"/>
          <w:szCs w:val="24"/>
          <w:lang w:val="en-GB"/>
        </w:rPr>
        <w:t>. The CCS at T0 predicted 13% of the variance in CCSs at T1. ICs’ own fatigue severity and strain accounted for an additional 10% of the variance in CCSs at T1. Block 3 variables did not account for significant additional variance. Thus, 22% of the variability in CCSs at six months was explained by the CCS at baseline, ICs’ own fatigue severity and strain (Table 4).</w:t>
      </w:r>
    </w:p>
    <w:p w:rsidR="00471518" w:rsidRPr="00A977C4" w:rsidRDefault="00471518" w:rsidP="00FB63F3">
      <w:pPr>
        <w:spacing w:line="360" w:lineRule="auto"/>
        <w:jc w:val="both"/>
        <w:rPr>
          <w:b/>
          <w:sz w:val="28"/>
          <w:szCs w:val="28"/>
          <w:lang w:val="en-GB"/>
        </w:rPr>
      </w:pPr>
    </w:p>
    <w:p w:rsidR="00280B50" w:rsidRPr="00A977C4" w:rsidRDefault="00280B50">
      <w:pPr>
        <w:rPr>
          <w:b/>
          <w:sz w:val="28"/>
          <w:szCs w:val="28"/>
          <w:lang w:val="en-GB"/>
        </w:rPr>
      </w:pPr>
      <w:r w:rsidRPr="00A977C4">
        <w:rPr>
          <w:b/>
          <w:sz w:val="28"/>
          <w:szCs w:val="28"/>
          <w:lang w:val="en-GB"/>
        </w:rPr>
        <w:br w:type="page"/>
      </w:r>
    </w:p>
    <w:p w:rsidR="00471518" w:rsidRPr="00A977C4" w:rsidRDefault="00471518" w:rsidP="00FB63F3">
      <w:pPr>
        <w:spacing w:line="360" w:lineRule="auto"/>
        <w:jc w:val="both"/>
        <w:rPr>
          <w:sz w:val="28"/>
          <w:szCs w:val="28"/>
          <w:lang w:val="en-GB"/>
        </w:rPr>
      </w:pPr>
      <w:r w:rsidRPr="00A977C4">
        <w:rPr>
          <w:b/>
          <w:sz w:val="28"/>
          <w:szCs w:val="28"/>
          <w:lang w:val="en-GB"/>
        </w:rPr>
        <w:lastRenderedPageBreak/>
        <w:t>Discussion</w:t>
      </w:r>
    </w:p>
    <w:p w:rsidR="00471518" w:rsidRPr="00A977C4" w:rsidRDefault="00471518" w:rsidP="00FB63F3">
      <w:pPr>
        <w:spacing w:line="360" w:lineRule="auto"/>
        <w:jc w:val="both"/>
        <w:rPr>
          <w:sz w:val="24"/>
          <w:szCs w:val="24"/>
          <w:lang w:val="en-GB"/>
        </w:rPr>
      </w:pPr>
      <w:r w:rsidRPr="00A977C4">
        <w:rPr>
          <w:sz w:val="24"/>
          <w:szCs w:val="24"/>
          <w:lang w:val="en-GB"/>
        </w:rPr>
        <w:t xml:space="preserve">The present exploratory longitudinal study was performed to determine congruence between patients and ICs about patients’ fatigue severity both on a continuous and clinically relevant level during cancer treatment with palliative intent in patients with a life expectancy of at least six months. In addition, we examined a number of possible predictors of agreement between ICs’ and patients’ ratings of patients’ fatigue. The results show that ICs rate patients’ mean fatigue severity significantly higher than patients themselves. This echoes with findings in other studies where, across diseases and symptoms, ICs tend to over report on more subjective patient symptoms and underestimate quality of life </w:t>
      </w:r>
      <w:r w:rsidRPr="00A977C4">
        <w:rPr>
          <w:noProof/>
          <w:sz w:val="24"/>
          <w:szCs w:val="24"/>
          <w:lang w:val="en-GB"/>
        </w:rPr>
        <w:t>[44]</w:t>
      </w:r>
      <w:r w:rsidRPr="00A977C4">
        <w:rPr>
          <w:sz w:val="24"/>
          <w:szCs w:val="24"/>
          <w:lang w:val="en-GB"/>
        </w:rPr>
        <w:t xml:space="preserve">. However, the overestimation effect in our study was only of moderate size and patient and IC ratings of </w:t>
      </w:r>
      <w:r w:rsidR="00EF7B1E" w:rsidRPr="00A977C4">
        <w:rPr>
          <w:sz w:val="24"/>
          <w:szCs w:val="24"/>
          <w:lang w:val="en-GB"/>
        </w:rPr>
        <w:t xml:space="preserve">patients’ </w:t>
      </w:r>
      <w:r w:rsidRPr="00A977C4">
        <w:rPr>
          <w:sz w:val="24"/>
          <w:szCs w:val="24"/>
          <w:lang w:val="en-GB"/>
        </w:rPr>
        <w:t xml:space="preserve">fatigue on a continuous scale were highly correlated. When fatigue ratings </w:t>
      </w:r>
      <w:r w:rsidR="008F7A4D" w:rsidRPr="00A977C4">
        <w:rPr>
          <w:sz w:val="24"/>
          <w:szCs w:val="24"/>
          <w:lang w:val="en-GB"/>
        </w:rPr>
        <w:t>were dichotomised around a cut-</w:t>
      </w:r>
      <w:r w:rsidRPr="00A977C4">
        <w:rPr>
          <w:sz w:val="24"/>
          <w:szCs w:val="24"/>
          <w:lang w:val="en-GB"/>
        </w:rPr>
        <w:t xml:space="preserve">off of clinically significant fatigue, there was a greater degree of agreement. In the small proportion of incongruent dyads, overestimation was more likely to occur. </w:t>
      </w:r>
      <w:r w:rsidR="00A20194" w:rsidRPr="00A977C4">
        <w:rPr>
          <w:sz w:val="24"/>
          <w:szCs w:val="24"/>
          <w:lang w:val="en-GB"/>
        </w:rPr>
        <w:t>No</w:t>
      </w:r>
      <w:r w:rsidR="0077332A" w:rsidRPr="00A977C4">
        <w:rPr>
          <w:sz w:val="24"/>
          <w:szCs w:val="24"/>
          <w:lang w:val="en-GB"/>
        </w:rPr>
        <w:t xml:space="preserve"> </w:t>
      </w:r>
      <w:r w:rsidR="00BD351E" w:rsidRPr="00A977C4">
        <w:rPr>
          <w:sz w:val="24"/>
          <w:szCs w:val="24"/>
          <w:lang w:val="en-GB"/>
        </w:rPr>
        <w:t>trend</w:t>
      </w:r>
      <w:r w:rsidRPr="00A977C4">
        <w:rPr>
          <w:sz w:val="24"/>
          <w:szCs w:val="24"/>
          <w:lang w:val="en-GB"/>
        </w:rPr>
        <w:t xml:space="preserve"> for </w:t>
      </w:r>
      <w:r w:rsidR="005D7928" w:rsidRPr="00A977C4">
        <w:rPr>
          <w:sz w:val="24"/>
          <w:szCs w:val="24"/>
          <w:lang w:val="en-GB"/>
        </w:rPr>
        <w:t xml:space="preserve">a </w:t>
      </w:r>
      <w:r w:rsidRPr="00A977C4">
        <w:rPr>
          <w:sz w:val="24"/>
          <w:szCs w:val="24"/>
          <w:lang w:val="en-GB"/>
        </w:rPr>
        <w:t>change in ratings of fatigue on a continuous scale over time</w:t>
      </w:r>
      <w:r w:rsidR="00F711D7" w:rsidRPr="00A977C4">
        <w:rPr>
          <w:sz w:val="24"/>
          <w:szCs w:val="24"/>
          <w:lang w:val="en-GB"/>
        </w:rPr>
        <w:t xml:space="preserve"> was</w:t>
      </w:r>
      <w:r w:rsidR="00A20194" w:rsidRPr="00A977C4">
        <w:rPr>
          <w:sz w:val="24"/>
          <w:szCs w:val="24"/>
          <w:lang w:val="en-GB"/>
        </w:rPr>
        <w:t xml:space="preserve"> observed</w:t>
      </w:r>
      <w:r w:rsidRPr="00A977C4">
        <w:rPr>
          <w:sz w:val="24"/>
          <w:szCs w:val="24"/>
          <w:lang w:val="en-GB"/>
        </w:rPr>
        <w:t xml:space="preserve">. When fatigue ratings were dichotomised, an overall tendency to either remain congruent or reach congruence over time existed. </w:t>
      </w:r>
    </w:p>
    <w:p w:rsidR="00471518" w:rsidRPr="00A977C4" w:rsidRDefault="00471518" w:rsidP="00FB63F3">
      <w:pPr>
        <w:spacing w:line="360" w:lineRule="auto"/>
        <w:ind w:firstLine="708"/>
        <w:jc w:val="both"/>
        <w:rPr>
          <w:sz w:val="24"/>
          <w:szCs w:val="24"/>
          <w:lang w:val="en-GB"/>
        </w:rPr>
      </w:pPr>
      <w:r w:rsidRPr="00A977C4">
        <w:rPr>
          <w:sz w:val="24"/>
          <w:szCs w:val="24"/>
          <w:lang w:val="en-GB"/>
        </w:rPr>
        <w:t xml:space="preserve">We found that in addition to baseline congruence, several characteristics of the ICs also predicted congruence at six months. The fact that ICs’ own fatigue severity and strain were associated with less congruence could be due to a reporting bias, which in itself could be related to negative affect on the part of the IC. That is, more strained ICs report higher levels of fatigue for themselves and for their patient partners, because both measures are confounded or inflated by negative affect. Mulligan </w:t>
      </w:r>
      <w:r w:rsidRPr="00A977C4">
        <w:rPr>
          <w:i/>
          <w:sz w:val="24"/>
          <w:szCs w:val="24"/>
          <w:lang w:val="en-GB"/>
        </w:rPr>
        <w:t>et al.</w:t>
      </w:r>
      <w:r w:rsidRPr="00A977C4">
        <w:rPr>
          <w:sz w:val="24"/>
          <w:szCs w:val="24"/>
          <w:lang w:val="en-GB"/>
        </w:rPr>
        <w:t xml:space="preserve"> (2014) showed that negative affect is not only associated with reporting your own symptoms, which is already a well established finding, but also with reports of symptoms in others </w:t>
      </w:r>
      <w:r w:rsidRPr="00A977C4">
        <w:rPr>
          <w:noProof/>
          <w:sz w:val="24"/>
          <w:szCs w:val="24"/>
          <w:lang w:val="en-GB"/>
        </w:rPr>
        <w:t>[45]</w:t>
      </w:r>
      <w:r w:rsidRPr="00A977C4">
        <w:rPr>
          <w:sz w:val="24"/>
          <w:szCs w:val="24"/>
          <w:lang w:val="en-GB"/>
        </w:rPr>
        <w:t>. Contrary to our expectations, we did not find a relationship between caregiver self-esteem and relationship satisfaction and congruence. However, overall mean scores reflected a reasonable amount of caregiver self-esteem and high relationship satisfaction, which may have prevented us from finding significant results due to a restriction of range effect.</w:t>
      </w:r>
    </w:p>
    <w:p w:rsidR="00471518" w:rsidRPr="00C73AAA" w:rsidRDefault="00471518" w:rsidP="00FB63F3">
      <w:pPr>
        <w:spacing w:line="360" w:lineRule="auto"/>
        <w:ind w:firstLine="708"/>
        <w:jc w:val="both"/>
        <w:rPr>
          <w:sz w:val="24"/>
          <w:szCs w:val="24"/>
          <w:lang w:val="en-GB"/>
        </w:rPr>
      </w:pPr>
      <w:r w:rsidRPr="00A977C4">
        <w:rPr>
          <w:sz w:val="24"/>
          <w:szCs w:val="24"/>
          <w:lang w:val="en-GB"/>
        </w:rPr>
        <w:t xml:space="preserve">In the present study, it is hard to know what an IC is actually rating when they rate the patients’ fatigue. We do not know how ICs estimate how tired the patient feels. It would be interesting to explore whether they are for example relying on behavioural or verbal correlates of fatigue to make the judgement. McPherson and Addington-Hall (2004) analyzed family members’ narratives and found that family members draw on different sources when </w:t>
      </w:r>
      <w:r w:rsidRPr="00A977C4">
        <w:rPr>
          <w:sz w:val="24"/>
          <w:szCs w:val="24"/>
          <w:lang w:val="en-GB"/>
        </w:rPr>
        <w:lastRenderedPageBreak/>
        <w:t xml:space="preserve">evaluating advanced cancer patients’ pain, anxiety, and depression, such as contextual cues, expectations, behavioural referents, knowledge in general and knowledge of the patient </w:t>
      </w:r>
      <w:r w:rsidRPr="00A977C4">
        <w:rPr>
          <w:noProof/>
          <w:sz w:val="24"/>
          <w:szCs w:val="24"/>
          <w:lang w:val="en-GB"/>
        </w:rPr>
        <w:t>[46]</w:t>
      </w:r>
      <w:r w:rsidRPr="00A977C4">
        <w:rPr>
          <w:sz w:val="24"/>
          <w:szCs w:val="24"/>
          <w:lang w:val="en-GB"/>
        </w:rPr>
        <w:t xml:space="preserve">. Whether this also applies to estimating fatigue remains to be determined. Davis </w:t>
      </w:r>
      <w:r w:rsidRPr="00A977C4">
        <w:rPr>
          <w:i/>
          <w:sz w:val="24"/>
          <w:szCs w:val="24"/>
          <w:lang w:val="en-GB"/>
        </w:rPr>
        <w:t>et al.</w:t>
      </w:r>
      <w:r w:rsidRPr="00A977C4">
        <w:rPr>
          <w:sz w:val="24"/>
          <w:szCs w:val="24"/>
          <w:lang w:val="en-GB"/>
        </w:rPr>
        <w:t xml:space="preserve"> (2007) used a think-aloud approach to study discordance in parent-proxy and child self-reported</w:t>
      </w:r>
      <w:r w:rsidRPr="00C73AAA">
        <w:rPr>
          <w:sz w:val="24"/>
          <w:szCs w:val="24"/>
          <w:lang w:val="en-GB"/>
        </w:rPr>
        <w:t xml:space="preserve"> quality of life </w:t>
      </w:r>
      <w:r>
        <w:rPr>
          <w:noProof/>
          <w:sz w:val="24"/>
          <w:szCs w:val="24"/>
          <w:lang w:val="en-GB"/>
        </w:rPr>
        <w:t>[47]</w:t>
      </w:r>
      <w:r w:rsidRPr="00C73AAA">
        <w:rPr>
          <w:sz w:val="24"/>
          <w:szCs w:val="24"/>
          <w:lang w:val="en-GB"/>
        </w:rPr>
        <w:t>. Application of this qualitative approach while ICs complete the fatigue questionnaire might be helpful in further unravelling this.</w:t>
      </w:r>
    </w:p>
    <w:p w:rsidR="00471518" w:rsidRPr="00C73AAA" w:rsidRDefault="00471518" w:rsidP="00FB63F3">
      <w:pPr>
        <w:spacing w:line="360" w:lineRule="auto"/>
        <w:ind w:firstLine="708"/>
        <w:jc w:val="both"/>
        <w:rPr>
          <w:sz w:val="24"/>
          <w:szCs w:val="24"/>
          <w:lang w:val="en-GB"/>
        </w:rPr>
      </w:pPr>
      <w:r w:rsidRPr="00C73AAA">
        <w:rPr>
          <w:sz w:val="24"/>
          <w:szCs w:val="24"/>
          <w:lang w:val="en-GB"/>
        </w:rPr>
        <w:t>Measurement issues do not only play a role in the IC-proxy rating. Fatigue is a subjective symptom and we worked on the assumption that the patient’s experience is primary and that the patient’s expressed ratings are the most valid measures. Therefore, patients’ fatigue ratings were taken as the gold standard to which the IC-proxy rating was compared. Yet</w:t>
      </w:r>
      <w:r w:rsidR="00741CB9">
        <w:rPr>
          <w:sz w:val="24"/>
          <w:szCs w:val="24"/>
          <w:lang w:val="en-GB"/>
        </w:rPr>
        <w:t>,</w:t>
      </w:r>
      <w:r w:rsidRPr="00C73AAA">
        <w:rPr>
          <w:sz w:val="24"/>
          <w:szCs w:val="24"/>
          <w:lang w:val="en-GB"/>
        </w:rPr>
        <w:t xml:space="preserve"> patients’ ratings themselves might be affected by various factors. For example, a response shift may cause patients to continuously rate fatigue </w:t>
      </w:r>
      <w:r>
        <w:rPr>
          <w:sz w:val="24"/>
          <w:szCs w:val="24"/>
          <w:lang w:val="en-GB"/>
        </w:rPr>
        <w:t>at</w:t>
      </w:r>
      <w:r w:rsidRPr="00C73AAA">
        <w:rPr>
          <w:sz w:val="24"/>
          <w:szCs w:val="24"/>
          <w:lang w:val="en-GB"/>
        </w:rPr>
        <w:t xml:space="preserve"> the same level as </w:t>
      </w:r>
      <w:r>
        <w:rPr>
          <w:sz w:val="24"/>
          <w:szCs w:val="24"/>
          <w:lang w:val="en-GB"/>
        </w:rPr>
        <w:t>previously</w:t>
      </w:r>
      <w:r w:rsidRPr="00C73AAA">
        <w:rPr>
          <w:sz w:val="24"/>
          <w:szCs w:val="24"/>
          <w:lang w:val="en-GB"/>
        </w:rPr>
        <w:t>, even though the IC can observe more fatigue</w:t>
      </w:r>
      <w:r>
        <w:rPr>
          <w:sz w:val="24"/>
          <w:szCs w:val="24"/>
          <w:lang w:val="en-GB"/>
        </w:rPr>
        <w:t>-</w:t>
      </w:r>
      <w:r w:rsidRPr="00C73AAA">
        <w:rPr>
          <w:sz w:val="24"/>
          <w:szCs w:val="24"/>
          <w:lang w:val="en-GB"/>
        </w:rPr>
        <w:t>related behaviour (e.g. resting more). Alternatively, a qualitative study reported that advanced cancer patients admitted intentionally minimizing symptoms to prevent ICs from becoming distressed</w:t>
      </w:r>
      <w:r>
        <w:rPr>
          <w:sz w:val="24"/>
          <w:szCs w:val="24"/>
          <w:lang w:val="en-GB"/>
        </w:rPr>
        <w:t xml:space="preserve"> </w:t>
      </w:r>
      <w:r>
        <w:rPr>
          <w:noProof/>
          <w:sz w:val="24"/>
          <w:szCs w:val="24"/>
          <w:lang w:val="en-GB"/>
        </w:rPr>
        <w:t>[48]</w:t>
      </w:r>
      <w:r w:rsidRPr="00C73AAA">
        <w:rPr>
          <w:sz w:val="24"/>
          <w:szCs w:val="24"/>
          <w:lang w:val="en-GB"/>
        </w:rPr>
        <w:t>. Thus, for consultations where important treatment decisions are to be made, a second rating of patients’ fatigue by an IC may provide physicians with a more complete reflection of patients’ fatigue and facilitate discussing how well patients are holding up with treatment.</w:t>
      </w:r>
    </w:p>
    <w:p w:rsidR="00471518" w:rsidRPr="00A977C4" w:rsidRDefault="00471518" w:rsidP="00FB63F3">
      <w:pPr>
        <w:spacing w:line="360" w:lineRule="auto"/>
        <w:ind w:firstLine="708"/>
        <w:jc w:val="both"/>
        <w:rPr>
          <w:sz w:val="24"/>
          <w:szCs w:val="24"/>
          <w:lang w:val="en-GB"/>
        </w:rPr>
      </w:pPr>
      <w:r w:rsidRPr="00C73AAA">
        <w:rPr>
          <w:sz w:val="24"/>
          <w:szCs w:val="24"/>
          <w:lang w:val="en-GB"/>
        </w:rPr>
        <w:t xml:space="preserve">The study has several limitations including the high </w:t>
      </w:r>
      <w:r>
        <w:rPr>
          <w:sz w:val="24"/>
          <w:szCs w:val="24"/>
          <w:lang w:val="en-GB"/>
        </w:rPr>
        <w:t>attrition</w:t>
      </w:r>
      <w:r w:rsidRPr="00C73AAA">
        <w:rPr>
          <w:sz w:val="24"/>
          <w:szCs w:val="24"/>
          <w:lang w:val="en-GB"/>
        </w:rPr>
        <w:t xml:space="preserve"> rate, which resulted in a rather small sample size for the longitudinal analyses. The main reason for </w:t>
      </w:r>
      <w:r>
        <w:rPr>
          <w:sz w:val="24"/>
          <w:szCs w:val="24"/>
          <w:lang w:val="en-GB"/>
        </w:rPr>
        <w:t>attrition</w:t>
      </w:r>
      <w:r w:rsidRPr="00C73AAA">
        <w:rPr>
          <w:sz w:val="24"/>
          <w:szCs w:val="24"/>
          <w:lang w:val="en-GB"/>
        </w:rPr>
        <w:t xml:space="preserve"> was because the patient died during the study. Although this might have led to a selected group of relatively fit patients at T1, we did not find significant differences between dyads that completed the study and dropouts with respect to baseline </w:t>
      </w:r>
      <w:r>
        <w:rPr>
          <w:sz w:val="24"/>
          <w:szCs w:val="24"/>
          <w:lang w:val="en-GB"/>
        </w:rPr>
        <w:t>CCS</w:t>
      </w:r>
      <w:r w:rsidRPr="00C73AAA">
        <w:rPr>
          <w:sz w:val="24"/>
          <w:szCs w:val="24"/>
          <w:lang w:val="en-GB"/>
        </w:rPr>
        <w:t xml:space="preserve"> or IC characteristics. Next, the patient-IC relationship was quite homogeneous, with almost 90% having a partner relationship. This limits the possibility </w:t>
      </w:r>
      <w:r>
        <w:rPr>
          <w:sz w:val="24"/>
          <w:szCs w:val="24"/>
          <w:lang w:val="en-GB"/>
        </w:rPr>
        <w:t>of</w:t>
      </w:r>
      <w:r w:rsidRPr="00C73AAA">
        <w:rPr>
          <w:sz w:val="24"/>
          <w:szCs w:val="24"/>
          <w:lang w:val="en-GB"/>
        </w:rPr>
        <w:t xml:space="preserve"> generaliz</w:t>
      </w:r>
      <w:r>
        <w:rPr>
          <w:sz w:val="24"/>
          <w:szCs w:val="24"/>
          <w:lang w:val="en-GB"/>
        </w:rPr>
        <w:t>ing</w:t>
      </w:r>
      <w:r w:rsidRPr="00C73AAA">
        <w:rPr>
          <w:sz w:val="24"/>
          <w:szCs w:val="24"/>
          <w:lang w:val="en-GB"/>
        </w:rPr>
        <w:t xml:space="preserve"> our findings to ICs with a different relation to the patient. </w:t>
      </w:r>
      <w:r w:rsidRPr="00A977C4">
        <w:rPr>
          <w:sz w:val="24"/>
          <w:szCs w:val="24"/>
          <w:lang w:val="en-GB"/>
        </w:rPr>
        <w:t xml:space="preserve">A further limitation is that we adapted the CIS for proxy use without validation of the adapted version. In addition, although we tried to secure non-contamination of questionnaires between patients and ICs, it is possible that ICs discussed questions or answers with patients. Moreover, we focused on IC characteristics as potential predictors for agreement but other factors, such as cognitive functioning, patients’ performance status, or presence of other symptoms, were not measured in this study and may also impact agreement. Also, cancer staging information was not recorded, though based on eligibility criteria only patients with a stage 3 or 4 cancer diagnosis were eligible. Information about performance status or time since diagnosis was not collected and would have been particularly useful in the </w:t>
      </w:r>
      <w:r w:rsidRPr="00A977C4">
        <w:rPr>
          <w:sz w:val="24"/>
          <w:szCs w:val="24"/>
          <w:lang w:val="en-GB"/>
        </w:rPr>
        <w:lastRenderedPageBreak/>
        <w:t>context of our findings on the course of agreement over time.</w:t>
      </w:r>
      <w:r w:rsidR="00381A0E" w:rsidRPr="00A977C4">
        <w:rPr>
          <w:sz w:val="24"/>
          <w:szCs w:val="24"/>
          <w:lang w:val="en-GB"/>
        </w:rPr>
        <w:t xml:space="preserve"> Finally, </w:t>
      </w:r>
      <w:r w:rsidR="00BD1C05" w:rsidRPr="00A977C4">
        <w:rPr>
          <w:sz w:val="24"/>
          <w:szCs w:val="24"/>
          <w:lang w:val="en-GB"/>
        </w:rPr>
        <w:t>we analysed our data without multipl</w:t>
      </w:r>
      <w:r w:rsidR="00330B5C" w:rsidRPr="00A977C4">
        <w:rPr>
          <w:sz w:val="24"/>
          <w:szCs w:val="24"/>
          <w:lang w:val="en-GB"/>
        </w:rPr>
        <w:t>e test</w:t>
      </w:r>
      <w:r w:rsidR="00BD1C05" w:rsidRPr="00A977C4">
        <w:rPr>
          <w:sz w:val="24"/>
          <w:szCs w:val="24"/>
          <w:lang w:val="en-GB"/>
        </w:rPr>
        <w:t xml:space="preserve"> adjustment</w:t>
      </w:r>
      <w:r w:rsidR="00381A0E" w:rsidRPr="00A977C4">
        <w:rPr>
          <w:sz w:val="24"/>
          <w:szCs w:val="24"/>
          <w:lang w:val="en-GB"/>
        </w:rPr>
        <w:t xml:space="preserve"> following recommendations </w:t>
      </w:r>
      <w:r w:rsidR="00280204" w:rsidRPr="00A977C4">
        <w:rPr>
          <w:sz w:val="24"/>
          <w:szCs w:val="24"/>
          <w:lang w:val="en-GB"/>
        </w:rPr>
        <w:t xml:space="preserve">for exploratory studies </w:t>
      </w:r>
      <w:r w:rsidR="00602BC8" w:rsidRPr="00A977C4">
        <w:rPr>
          <w:sz w:val="24"/>
          <w:szCs w:val="24"/>
          <w:lang w:val="en-GB"/>
        </w:rPr>
        <w:t>by</w:t>
      </w:r>
      <w:r w:rsidR="00BD1C05" w:rsidRPr="00A977C4">
        <w:rPr>
          <w:sz w:val="24"/>
          <w:szCs w:val="24"/>
          <w:lang w:val="en-GB"/>
        </w:rPr>
        <w:t xml:space="preserve"> Bender &amp; Lange (2001)</w:t>
      </w:r>
      <w:r w:rsidR="00381A0E" w:rsidRPr="00A977C4">
        <w:rPr>
          <w:sz w:val="24"/>
          <w:szCs w:val="24"/>
          <w:lang w:val="en-GB"/>
        </w:rPr>
        <w:t xml:space="preserve">, </w:t>
      </w:r>
      <w:r w:rsidR="00DF3882" w:rsidRPr="00A977C4">
        <w:rPr>
          <w:sz w:val="24"/>
          <w:szCs w:val="24"/>
          <w:lang w:val="en-GB"/>
        </w:rPr>
        <w:t>thus</w:t>
      </w:r>
      <w:r w:rsidR="00381A0E" w:rsidRPr="00A977C4">
        <w:rPr>
          <w:sz w:val="24"/>
          <w:szCs w:val="24"/>
          <w:lang w:val="en-GB"/>
        </w:rPr>
        <w:t xml:space="preserve"> </w:t>
      </w:r>
      <w:r w:rsidR="00BD1C05" w:rsidRPr="00A977C4">
        <w:rPr>
          <w:sz w:val="24"/>
          <w:szCs w:val="24"/>
          <w:lang w:val="en-GB"/>
        </w:rPr>
        <w:t>significant</w:t>
      </w:r>
      <w:r w:rsidR="00381A0E" w:rsidRPr="00A977C4">
        <w:rPr>
          <w:sz w:val="24"/>
          <w:szCs w:val="24"/>
          <w:lang w:val="en-GB"/>
        </w:rPr>
        <w:t xml:space="preserve"> </w:t>
      </w:r>
      <w:r w:rsidR="006331A4" w:rsidRPr="00A977C4">
        <w:rPr>
          <w:sz w:val="24"/>
          <w:szCs w:val="24"/>
          <w:lang w:val="en-GB"/>
        </w:rPr>
        <w:t>results</w:t>
      </w:r>
      <w:r w:rsidR="00381A0E" w:rsidRPr="00A977C4">
        <w:rPr>
          <w:sz w:val="24"/>
          <w:szCs w:val="24"/>
          <w:lang w:val="en-GB"/>
        </w:rPr>
        <w:t xml:space="preserve"> should be</w:t>
      </w:r>
      <w:r w:rsidR="006331A4" w:rsidRPr="00A977C4">
        <w:rPr>
          <w:sz w:val="24"/>
          <w:szCs w:val="24"/>
          <w:lang w:val="en-GB"/>
        </w:rPr>
        <w:t xml:space="preserve"> </w:t>
      </w:r>
      <w:r w:rsidR="00BD1C05" w:rsidRPr="00A977C4">
        <w:rPr>
          <w:sz w:val="24"/>
          <w:szCs w:val="24"/>
          <w:lang w:val="en-GB"/>
        </w:rPr>
        <w:t>viewe</w:t>
      </w:r>
      <w:r w:rsidR="006331A4" w:rsidRPr="00A977C4">
        <w:rPr>
          <w:sz w:val="24"/>
          <w:szCs w:val="24"/>
          <w:lang w:val="en-GB"/>
        </w:rPr>
        <w:t xml:space="preserve">d </w:t>
      </w:r>
      <w:r w:rsidR="00381A0E" w:rsidRPr="00A977C4">
        <w:rPr>
          <w:sz w:val="24"/>
          <w:szCs w:val="24"/>
          <w:lang w:val="en-GB"/>
        </w:rPr>
        <w:t>as exploratory</w:t>
      </w:r>
      <w:r w:rsidR="00BD1C05" w:rsidRPr="00A977C4">
        <w:rPr>
          <w:sz w:val="24"/>
          <w:szCs w:val="24"/>
          <w:lang w:val="en-GB"/>
        </w:rPr>
        <w:t xml:space="preserve"> results</w:t>
      </w:r>
      <w:r w:rsidR="0017519F" w:rsidRPr="00A977C4">
        <w:rPr>
          <w:sz w:val="24"/>
          <w:szCs w:val="24"/>
          <w:lang w:val="en-GB"/>
        </w:rPr>
        <w:t xml:space="preserve"> [49]</w:t>
      </w:r>
      <w:r w:rsidR="00381A0E" w:rsidRPr="00A977C4">
        <w:rPr>
          <w:sz w:val="24"/>
          <w:szCs w:val="24"/>
          <w:lang w:val="en-GB"/>
        </w:rPr>
        <w:t>.</w:t>
      </w:r>
      <w:r w:rsidRPr="00A977C4">
        <w:rPr>
          <w:sz w:val="24"/>
          <w:szCs w:val="24"/>
          <w:lang w:val="en-GB"/>
        </w:rPr>
        <w:t xml:space="preserve"> Despite these limitations, to our knowledge this was the first exploratory study investigating ICs’ perceptions of patients’ fatigue with a longitudinal design, allowing to study the pattern of agreement over time and to explore temporal relationships between IC characteristics and agreement. Moreover, the current study used a cut-off point to determine clinically meaningful agreement about the presence or absence of severe fatigue, adding to studies that merely examined agreement on a continuous level. </w:t>
      </w:r>
    </w:p>
    <w:p w:rsidR="00471518" w:rsidRPr="00A977C4" w:rsidRDefault="00471518" w:rsidP="00FB63F3">
      <w:pPr>
        <w:spacing w:line="360" w:lineRule="auto"/>
        <w:ind w:firstLine="708"/>
        <w:jc w:val="both"/>
        <w:rPr>
          <w:sz w:val="24"/>
          <w:szCs w:val="24"/>
          <w:lang w:val="en-US"/>
        </w:rPr>
      </w:pPr>
      <w:r w:rsidRPr="00A977C4">
        <w:rPr>
          <w:sz w:val="24"/>
          <w:szCs w:val="24"/>
          <w:lang w:val="en-GB"/>
        </w:rPr>
        <w:t>In conclusion, ICs can accurately predict presence or absence of clinically relevant levels of severe fatigue in advanced cancer patients receiving treatment with palliative intent. However, on a continuous level ICs tend to overestimate patients’ fatigue. For ICs, this may trigger the feeling that they need to do more for the patient, which could lead to increased IC strain. We suggest that it would be useful to include measures of ICs’ ratings of patients’ fatigue when delivering extended care for advanced cancer patients. Agreement did not change significantly over time. It is however important to take into account ICs’ affective state when asking for judgments about patients’ fatigue in both research and clinical settings, as the response is likely to be affected if the IC is fatigued or feeling strained. The latter finding also seems to point to the need to attend to ICs’ own fatigue and burden in the context of caring for a patient with advanced, incurable cancer.</w:t>
      </w:r>
    </w:p>
    <w:p w:rsidR="00471518" w:rsidRDefault="00471518">
      <w:pPr>
        <w:rPr>
          <w:b/>
          <w:sz w:val="28"/>
          <w:szCs w:val="24"/>
          <w:lang w:val="en-US"/>
        </w:rPr>
      </w:pPr>
    </w:p>
    <w:p w:rsidR="00471518" w:rsidRDefault="00471518">
      <w:pPr>
        <w:rPr>
          <w:rFonts w:ascii="Times" w:hAnsi="Times" w:cs="Times"/>
          <w:b/>
          <w:sz w:val="28"/>
          <w:szCs w:val="24"/>
          <w:lang w:val="en-GB"/>
        </w:rPr>
      </w:pPr>
    </w:p>
    <w:p w:rsidR="00471518" w:rsidRPr="003C6E9C" w:rsidRDefault="00471518" w:rsidP="00FB63F3">
      <w:pPr>
        <w:spacing w:line="360" w:lineRule="auto"/>
        <w:rPr>
          <w:rFonts w:ascii="Times" w:hAnsi="Times" w:cs="Times"/>
          <w:b/>
          <w:sz w:val="28"/>
          <w:szCs w:val="24"/>
          <w:lang w:val="en-GB"/>
        </w:rPr>
      </w:pPr>
      <w:r w:rsidRPr="003C6E9C">
        <w:rPr>
          <w:rFonts w:ascii="Times" w:hAnsi="Times" w:cs="Times"/>
          <w:b/>
          <w:sz w:val="28"/>
          <w:szCs w:val="24"/>
          <w:lang w:val="en-GB"/>
        </w:rPr>
        <w:t xml:space="preserve">Disclosures </w:t>
      </w:r>
      <w:r>
        <w:rPr>
          <w:rFonts w:ascii="Times" w:hAnsi="Times" w:cs="Times"/>
          <w:b/>
          <w:sz w:val="28"/>
          <w:szCs w:val="24"/>
          <w:lang w:val="en-GB"/>
        </w:rPr>
        <w:t xml:space="preserve">and </w:t>
      </w:r>
      <w:r w:rsidRPr="003C6E9C">
        <w:rPr>
          <w:rFonts w:ascii="Times" w:hAnsi="Times" w:cs="Times"/>
          <w:b/>
          <w:sz w:val="28"/>
          <w:szCs w:val="24"/>
          <w:lang w:val="en-GB"/>
        </w:rPr>
        <w:t xml:space="preserve">Acknowledgements </w:t>
      </w:r>
    </w:p>
    <w:p w:rsidR="00471518" w:rsidRDefault="00471518" w:rsidP="00FB63F3">
      <w:pPr>
        <w:spacing w:line="360" w:lineRule="auto"/>
        <w:rPr>
          <w:rFonts w:ascii="Times" w:hAnsi="Times" w:cs="Times"/>
          <w:sz w:val="24"/>
          <w:szCs w:val="24"/>
          <w:lang w:val="en-US"/>
        </w:rPr>
      </w:pPr>
      <w:r>
        <w:rPr>
          <w:rFonts w:ascii="Times" w:hAnsi="Times" w:cs="Times"/>
          <w:sz w:val="24"/>
          <w:szCs w:val="24"/>
          <w:lang w:val="en-US"/>
        </w:rPr>
        <w:t xml:space="preserve">The authors report no conflict of interest. We thank the participating </w:t>
      </w:r>
      <w:r w:rsidRPr="00623E9D">
        <w:rPr>
          <w:rFonts w:ascii="Times" w:hAnsi="Times" w:cs="Times"/>
          <w:sz w:val="24"/>
          <w:szCs w:val="24"/>
          <w:lang w:val="en-US"/>
        </w:rPr>
        <w:t xml:space="preserve">patients and </w:t>
      </w:r>
      <w:r>
        <w:rPr>
          <w:rFonts w:ascii="Times" w:hAnsi="Times" w:cs="Times"/>
          <w:sz w:val="24"/>
          <w:szCs w:val="24"/>
          <w:lang w:val="en-US"/>
        </w:rPr>
        <w:t xml:space="preserve">their informal caregivers. </w:t>
      </w:r>
    </w:p>
    <w:p w:rsidR="00471518" w:rsidRDefault="00471518" w:rsidP="00FB63F3">
      <w:pPr>
        <w:spacing w:line="480" w:lineRule="auto"/>
        <w:rPr>
          <w:rFonts w:ascii="Times" w:hAnsi="Times" w:cs="Times"/>
          <w:lang w:val="en-US"/>
        </w:rPr>
      </w:pPr>
    </w:p>
    <w:p w:rsidR="00471518" w:rsidRDefault="00471518">
      <w:pPr>
        <w:rPr>
          <w:rFonts w:ascii="Times" w:hAnsi="Times" w:cs="Times"/>
          <w:b/>
          <w:sz w:val="28"/>
          <w:szCs w:val="24"/>
          <w:lang w:val="en-GB"/>
        </w:rPr>
      </w:pPr>
      <w:r>
        <w:rPr>
          <w:rFonts w:ascii="Times" w:hAnsi="Times" w:cs="Times"/>
          <w:b/>
          <w:sz w:val="28"/>
          <w:szCs w:val="24"/>
          <w:lang w:val="en-GB"/>
        </w:rPr>
        <w:br w:type="page"/>
      </w:r>
    </w:p>
    <w:p w:rsidR="00FB63F3" w:rsidRPr="00FB63F3" w:rsidRDefault="00471518" w:rsidP="00FB63F3">
      <w:pPr>
        <w:spacing w:line="480" w:lineRule="auto"/>
        <w:rPr>
          <w:rFonts w:ascii="Times" w:hAnsi="Times" w:cs="Times"/>
          <w:b/>
          <w:sz w:val="28"/>
          <w:szCs w:val="24"/>
          <w:lang w:val="en-US"/>
        </w:rPr>
      </w:pPr>
      <w:r w:rsidRPr="00FB63F3">
        <w:rPr>
          <w:rFonts w:ascii="Times" w:hAnsi="Times" w:cs="Times"/>
          <w:b/>
          <w:sz w:val="28"/>
          <w:szCs w:val="24"/>
          <w:lang w:val="en-US"/>
        </w:rPr>
        <w:lastRenderedPageBreak/>
        <w:t>References</w:t>
      </w:r>
    </w:p>
    <w:p w:rsidR="00FB63F3" w:rsidRPr="000B04D6" w:rsidRDefault="00FB63F3" w:rsidP="00FB63F3">
      <w:pPr>
        <w:pStyle w:val="EndNoteBibliography"/>
        <w:ind w:left="705" w:hanging="705"/>
        <w:rPr>
          <w:szCs w:val="22"/>
          <w:lang w:val="en-US"/>
        </w:rPr>
      </w:pPr>
      <w:r w:rsidRPr="000B04D6">
        <w:rPr>
          <w:szCs w:val="22"/>
          <w:lang w:val="en-US"/>
        </w:rPr>
        <w:t>1.</w:t>
      </w:r>
      <w:r w:rsidRPr="000B04D6">
        <w:rPr>
          <w:szCs w:val="22"/>
          <w:lang w:val="en-US"/>
        </w:rPr>
        <w:tab/>
        <w:t>Glajchen M. The emerging role and needs of family caregivers in cancer care. J Support Oncol 2004;2(2):145-55.</w:t>
      </w:r>
    </w:p>
    <w:p w:rsidR="00FB63F3" w:rsidRPr="000B04D6" w:rsidRDefault="00FB63F3" w:rsidP="00FB63F3">
      <w:pPr>
        <w:pStyle w:val="EndNoteBibliography"/>
        <w:ind w:left="705" w:hanging="705"/>
        <w:rPr>
          <w:szCs w:val="22"/>
          <w:lang w:val="en-US"/>
        </w:rPr>
      </w:pPr>
      <w:r w:rsidRPr="000B04D6">
        <w:rPr>
          <w:szCs w:val="22"/>
          <w:lang w:val="en-US"/>
        </w:rPr>
        <w:t>2.</w:t>
      </w:r>
      <w:r w:rsidRPr="000B04D6">
        <w:rPr>
          <w:szCs w:val="22"/>
          <w:lang w:val="en-US"/>
        </w:rPr>
        <w:tab/>
        <w:t>Hudson P, Payne S. The future of family caregiving: Research, social policy and clinical practice. In: Hudson P, Payne S, eds. Family Carers in Palliative Care: A guide for health and social care professionals. Oxford: Oxford University Press, 2009:77-303.</w:t>
      </w:r>
    </w:p>
    <w:p w:rsidR="00FB63F3" w:rsidRPr="000B04D6" w:rsidRDefault="00FB63F3" w:rsidP="00FB63F3">
      <w:pPr>
        <w:pStyle w:val="EndNoteBibliography"/>
        <w:ind w:left="705" w:hanging="705"/>
        <w:rPr>
          <w:lang w:val="en-US"/>
        </w:rPr>
      </w:pPr>
      <w:r w:rsidRPr="000B04D6">
        <w:rPr>
          <w:szCs w:val="22"/>
          <w:lang w:val="en-US"/>
        </w:rPr>
        <w:t>3.</w:t>
      </w:r>
      <w:r w:rsidRPr="000B04D6">
        <w:rPr>
          <w:szCs w:val="22"/>
          <w:lang w:val="en-US"/>
        </w:rPr>
        <w:tab/>
        <w:t xml:space="preserve">Sepulveda C, Marlin A, Yoshida T, Ullrich A. Palliative Care: the World Health Organization's global perspective. </w:t>
      </w:r>
      <w:r w:rsidRPr="000B04D6">
        <w:rPr>
          <w:lang w:val="en-US"/>
        </w:rPr>
        <w:t>J Pain Symptom Manage 2002;24(2):91-6.</w:t>
      </w:r>
    </w:p>
    <w:p w:rsidR="00FB63F3" w:rsidRPr="000B04D6" w:rsidRDefault="00FB63F3" w:rsidP="00FB63F3">
      <w:pPr>
        <w:pStyle w:val="EndNoteBibliography"/>
        <w:ind w:left="705" w:hanging="705"/>
        <w:rPr>
          <w:szCs w:val="22"/>
          <w:lang w:val="en-US"/>
        </w:rPr>
      </w:pPr>
      <w:r w:rsidRPr="000B04D6">
        <w:rPr>
          <w:szCs w:val="22"/>
          <w:lang w:val="en-US"/>
        </w:rPr>
        <w:t>4.</w:t>
      </w:r>
      <w:r w:rsidRPr="000B04D6">
        <w:rPr>
          <w:szCs w:val="22"/>
          <w:lang w:val="en-US"/>
        </w:rPr>
        <w:tab/>
      </w:r>
      <w:r w:rsidRPr="000B04D6">
        <w:rPr>
          <w:lang w:val="en-US"/>
        </w:rPr>
        <w:t>Italiano A, Massard C, Bahleda R, et al. Treatment outcome and survival in participants of phase I oncology trials carried out from 2003 to 2006 at Institut Gustave Roussy. Ann Oncol 2008;19(4):787-92.</w:t>
      </w:r>
    </w:p>
    <w:p w:rsidR="00FB63F3" w:rsidRPr="000B04D6" w:rsidRDefault="00FB63F3" w:rsidP="00FB63F3">
      <w:pPr>
        <w:pStyle w:val="EndNoteBibliography"/>
        <w:ind w:left="705" w:hanging="705"/>
        <w:rPr>
          <w:szCs w:val="22"/>
          <w:lang w:val="en-US"/>
        </w:rPr>
      </w:pPr>
      <w:r w:rsidRPr="000B04D6">
        <w:rPr>
          <w:szCs w:val="22"/>
          <w:lang w:val="en-US"/>
        </w:rPr>
        <w:t>5.</w:t>
      </w:r>
      <w:r w:rsidRPr="000B04D6">
        <w:rPr>
          <w:szCs w:val="22"/>
          <w:lang w:val="en-US"/>
        </w:rPr>
        <w:tab/>
      </w:r>
      <w:r w:rsidRPr="000B04D6">
        <w:rPr>
          <w:lang w:val="en-US"/>
        </w:rPr>
        <w:t>Miller FG, Joffe S. Benefit in phase 1 oncology trials: therapeutic misconception or reasonable treatment option? Clin Trials 2008;5(6):617-23.</w:t>
      </w:r>
    </w:p>
    <w:p w:rsidR="00FB63F3" w:rsidRPr="00FB63F3" w:rsidRDefault="00FB63F3" w:rsidP="00FB63F3">
      <w:pPr>
        <w:pStyle w:val="EndNoteBibliography"/>
        <w:ind w:left="705" w:hanging="705"/>
        <w:rPr>
          <w:szCs w:val="22"/>
          <w:lang w:val="en-US"/>
        </w:rPr>
      </w:pPr>
      <w:r w:rsidRPr="000B04D6">
        <w:rPr>
          <w:szCs w:val="22"/>
          <w:lang w:val="en-US"/>
        </w:rPr>
        <w:t>6.</w:t>
      </w:r>
      <w:r w:rsidRPr="000B04D6">
        <w:rPr>
          <w:szCs w:val="22"/>
          <w:lang w:val="en-US"/>
        </w:rPr>
        <w:tab/>
      </w:r>
      <w:r w:rsidRPr="000B04D6">
        <w:rPr>
          <w:lang w:val="en-US"/>
        </w:rPr>
        <w:t>Barnes EA, Bruera E. Fatigue in patients with advanced cancer: a review. Int J Gynecol Cancer 2002;12(5):424-8.</w:t>
      </w:r>
    </w:p>
    <w:p w:rsidR="00FB63F3" w:rsidRPr="00A977C4" w:rsidRDefault="00FB63F3" w:rsidP="00FB63F3">
      <w:pPr>
        <w:pStyle w:val="EndNoteBibliography"/>
        <w:ind w:left="705" w:hanging="705"/>
        <w:rPr>
          <w:szCs w:val="22"/>
          <w:lang w:val="en-US"/>
        </w:rPr>
      </w:pPr>
      <w:r w:rsidRPr="00A977C4">
        <w:rPr>
          <w:szCs w:val="22"/>
          <w:lang w:val="en-US"/>
        </w:rPr>
        <w:t>7.</w:t>
      </w:r>
      <w:r w:rsidRPr="00A977C4">
        <w:rPr>
          <w:szCs w:val="22"/>
          <w:lang w:val="en-US"/>
        </w:rPr>
        <w:tab/>
        <w:t xml:space="preserve">Butt Z, Rosenbloom SK, Abernethy AP, et al. Fatigue is the most important symptom for advanced cancer patients who have had chemotherapy. </w:t>
      </w:r>
      <w:r w:rsidR="00344B0F" w:rsidRPr="00A977C4">
        <w:rPr>
          <w:szCs w:val="22"/>
          <w:lang w:val="en-US"/>
        </w:rPr>
        <w:t xml:space="preserve">J Natl Compr Canc Netw </w:t>
      </w:r>
      <w:r w:rsidRPr="00A977C4">
        <w:rPr>
          <w:szCs w:val="22"/>
          <w:lang w:val="en-US"/>
        </w:rPr>
        <w:t>2008;6(5):448-55.</w:t>
      </w:r>
    </w:p>
    <w:p w:rsidR="00FB63F3" w:rsidRPr="00A977C4" w:rsidRDefault="00FB63F3" w:rsidP="00FB63F3">
      <w:pPr>
        <w:pStyle w:val="EndNoteBibliography"/>
        <w:ind w:left="705" w:hanging="705"/>
        <w:rPr>
          <w:szCs w:val="22"/>
          <w:lang w:val="en-US"/>
        </w:rPr>
      </w:pPr>
      <w:r w:rsidRPr="00A977C4">
        <w:rPr>
          <w:szCs w:val="22"/>
          <w:lang w:val="en-US"/>
        </w:rPr>
        <w:t>8.</w:t>
      </w:r>
      <w:r w:rsidRPr="00A977C4">
        <w:rPr>
          <w:szCs w:val="22"/>
          <w:lang w:val="en-US"/>
        </w:rPr>
        <w:tab/>
        <w:t>Hofman M, Ryan JL, Figueroa-Moseley CD, Jean-Pierre P, Morrow GR. Cancer-related fatigue:</w:t>
      </w:r>
      <w:r w:rsidR="00344B0F" w:rsidRPr="00A977C4">
        <w:rPr>
          <w:szCs w:val="22"/>
          <w:lang w:val="en-US"/>
        </w:rPr>
        <w:t xml:space="preserve"> the scale of the problem. Oncologist 2007;12(</w:t>
      </w:r>
      <w:r w:rsidRPr="00A977C4">
        <w:rPr>
          <w:szCs w:val="22"/>
          <w:lang w:val="en-US"/>
        </w:rPr>
        <w:t>Suppl 1</w:t>
      </w:r>
      <w:r w:rsidR="00344B0F" w:rsidRPr="00A977C4">
        <w:rPr>
          <w:szCs w:val="22"/>
          <w:lang w:val="en-US"/>
        </w:rPr>
        <w:t>)</w:t>
      </w:r>
      <w:r w:rsidRPr="00A977C4">
        <w:rPr>
          <w:szCs w:val="22"/>
          <w:lang w:val="en-US"/>
        </w:rPr>
        <w:t>:4-10.</w:t>
      </w:r>
    </w:p>
    <w:p w:rsidR="00FB63F3" w:rsidRPr="00A977C4" w:rsidRDefault="00FB63F3" w:rsidP="00FB63F3">
      <w:pPr>
        <w:pStyle w:val="EndNoteBibliography"/>
        <w:ind w:left="705" w:hanging="705"/>
        <w:rPr>
          <w:szCs w:val="22"/>
          <w:lang w:val="en-US"/>
        </w:rPr>
      </w:pPr>
      <w:r w:rsidRPr="00A977C4">
        <w:rPr>
          <w:szCs w:val="22"/>
          <w:lang w:val="en-US"/>
        </w:rPr>
        <w:t>9.</w:t>
      </w:r>
      <w:r w:rsidRPr="00A977C4">
        <w:rPr>
          <w:szCs w:val="22"/>
          <w:lang w:val="en-US"/>
        </w:rPr>
        <w:tab/>
        <w:t>Paiva CE, Paiva BS. Prevalence, predictors, and prognostic impact of fatigue among Brazilian outpatients wit</w:t>
      </w:r>
      <w:r w:rsidR="004C3214" w:rsidRPr="00A977C4">
        <w:rPr>
          <w:szCs w:val="22"/>
          <w:lang w:val="en-US"/>
        </w:rPr>
        <w:t>h advanced cancers. Support Care C</w:t>
      </w:r>
      <w:r w:rsidRPr="00A977C4">
        <w:rPr>
          <w:szCs w:val="22"/>
          <w:lang w:val="en-US"/>
        </w:rPr>
        <w:t>ancer 2013;21(4):1053-60.</w:t>
      </w:r>
    </w:p>
    <w:p w:rsidR="00FB63F3" w:rsidRPr="00A977C4" w:rsidRDefault="00FB63F3" w:rsidP="00FB63F3">
      <w:pPr>
        <w:pStyle w:val="EndNoteBibliography"/>
        <w:ind w:left="705" w:hanging="705"/>
        <w:rPr>
          <w:szCs w:val="22"/>
          <w:lang w:val="en-US"/>
        </w:rPr>
      </w:pPr>
      <w:r w:rsidRPr="00A977C4">
        <w:rPr>
          <w:szCs w:val="22"/>
          <w:lang w:val="en-US"/>
        </w:rPr>
        <w:t>10.</w:t>
      </w:r>
      <w:r w:rsidRPr="00A977C4">
        <w:rPr>
          <w:szCs w:val="22"/>
          <w:lang w:val="en-US"/>
        </w:rPr>
        <w:tab/>
        <w:t xml:space="preserve">Hauser K, Walsh D, Rybicki LA, Davis MP, Seyidova-Khoshknabi D. Fatigue in advanced cancer: a prospective study. </w:t>
      </w:r>
      <w:r w:rsidR="004C3214" w:rsidRPr="00A977C4">
        <w:rPr>
          <w:szCs w:val="22"/>
          <w:lang w:val="en-US"/>
        </w:rPr>
        <w:t>Am J Hosp Palliat Care</w:t>
      </w:r>
      <w:r w:rsidRPr="00A977C4">
        <w:rPr>
          <w:szCs w:val="22"/>
          <w:lang w:val="en-US"/>
        </w:rPr>
        <w:t xml:space="preserve"> 2008;25(5):372-8.</w:t>
      </w:r>
    </w:p>
    <w:p w:rsidR="00FB63F3" w:rsidRPr="00A977C4" w:rsidRDefault="00FB63F3" w:rsidP="00FB63F3">
      <w:pPr>
        <w:pStyle w:val="EndNoteBibliography"/>
        <w:ind w:left="705" w:hanging="705"/>
        <w:rPr>
          <w:szCs w:val="22"/>
        </w:rPr>
      </w:pPr>
      <w:r w:rsidRPr="00A977C4">
        <w:rPr>
          <w:szCs w:val="22"/>
          <w:lang w:val="en-US"/>
        </w:rPr>
        <w:t>11.</w:t>
      </w:r>
      <w:r w:rsidRPr="00A977C4">
        <w:rPr>
          <w:szCs w:val="22"/>
          <w:lang w:val="en-US"/>
        </w:rPr>
        <w:tab/>
        <w:t xml:space="preserve">Tanaka K, Akechi T, Okuyama T, Nishiwaki Y, Uchitomi Y. Impact of dyspnea, pain, and fatigue on daily life activities in ambulatory patients with advanced lung cancer. </w:t>
      </w:r>
      <w:r w:rsidR="004C3214" w:rsidRPr="00A977C4">
        <w:rPr>
          <w:szCs w:val="22"/>
        </w:rPr>
        <w:t>J Pain Symptom Manage</w:t>
      </w:r>
      <w:r w:rsidRPr="00A977C4">
        <w:rPr>
          <w:szCs w:val="22"/>
        </w:rPr>
        <w:t xml:space="preserve"> 2002;23(5):417-23.</w:t>
      </w:r>
    </w:p>
    <w:p w:rsidR="00FB63F3" w:rsidRPr="00A977C4" w:rsidRDefault="00FB63F3" w:rsidP="00FB63F3">
      <w:pPr>
        <w:pStyle w:val="EndNoteBibliography"/>
        <w:ind w:left="705" w:hanging="705"/>
        <w:rPr>
          <w:lang w:val="en-US"/>
        </w:rPr>
      </w:pPr>
      <w:r w:rsidRPr="00A977C4">
        <w:rPr>
          <w:szCs w:val="22"/>
        </w:rPr>
        <w:t>12.</w:t>
      </w:r>
      <w:r w:rsidRPr="00A977C4">
        <w:rPr>
          <w:szCs w:val="22"/>
        </w:rPr>
        <w:tab/>
      </w:r>
      <w:r w:rsidRPr="00A977C4">
        <w:t xml:space="preserve">Peters ME, Goedendorp MM, Verhagen SA, et al. </w:t>
      </w:r>
      <w:r w:rsidRPr="00A977C4">
        <w:rPr>
          <w:lang w:val="en-US"/>
        </w:rPr>
        <w:t>A prospective analysis on fatigue and experienced burden in informal caregivers of cancer patients during cancer treatment in the palliative phase. Acta Oncol 2015;54(4):500-6.</w:t>
      </w:r>
    </w:p>
    <w:p w:rsidR="00FB63F3" w:rsidRPr="00A977C4" w:rsidRDefault="00FB63F3" w:rsidP="00FB63F3">
      <w:pPr>
        <w:pStyle w:val="EndNoteBibliography"/>
        <w:ind w:left="705" w:hanging="705"/>
        <w:rPr>
          <w:lang w:val="en-US"/>
        </w:rPr>
      </w:pPr>
      <w:r w:rsidRPr="00A977C4">
        <w:rPr>
          <w:szCs w:val="22"/>
          <w:lang w:val="en-US"/>
        </w:rPr>
        <w:t>13.</w:t>
      </w:r>
      <w:r w:rsidRPr="00A977C4">
        <w:rPr>
          <w:szCs w:val="22"/>
          <w:lang w:val="en-US"/>
        </w:rPr>
        <w:tab/>
      </w:r>
      <w:r w:rsidRPr="00A977C4">
        <w:rPr>
          <w:lang w:val="en-US"/>
        </w:rPr>
        <w:t>Mock V, Atkinson A, Barsevick A, et al. NCCN Practice Guidelines for Cancer-Related Fatigue. Oncology (Williston Park), 2000;14(11A):151-61.</w:t>
      </w:r>
    </w:p>
    <w:p w:rsidR="00FB63F3" w:rsidRPr="00A977C4" w:rsidRDefault="00FB63F3" w:rsidP="00FB63F3">
      <w:pPr>
        <w:pStyle w:val="EndNoteBibliography"/>
        <w:ind w:left="705" w:hanging="705"/>
        <w:rPr>
          <w:szCs w:val="22"/>
          <w:lang w:val="en-US"/>
        </w:rPr>
      </w:pPr>
      <w:r w:rsidRPr="00A977C4">
        <w:rPr>
          <w:szCs w:val="22"/>
          <w:lang w:val="en-US"/>
        </w:rPr>
        <w:t>14.</w:t>
      </w:r>
      <w:r w:rsidRPr="00A977C4">
        <w:rPr>
          <w:szCs w:val="22"/>
          <w:lang w:val="en-US"/>
        </w:rPr>
        <w:tab/>
      </w:r>
      <w:r w:rsidRPr="00A977C4">
        <w:rPr>
          <w:lang w:val="en-US"/>
        </w:rPr>
        <w:t>Servaes P, Gielissen MF, Verhagen S, Bleijenberg G. The course of severe fatigue in disease-free breast cancer patients: a longitudinal study. Psycho Oncol 2007;16(9):787-95.</w:t>
      </w:r>
    </w:p>
    <w:p w:rsidR="00FB63F3" w:rsidRPr="00A977C4" w:rsidRDefault="00FB63F3" w:rsidP="00FB63F3">
      <w:pPr>
        <w:pStyle w:val="EndNoteBibliography"/>
        <w:ind w:left="705" w:hanging="705"/>
        <w:rPr>
          <w:szCs w:val="22"/>
          <w:lang w:val="en-US"/>
        </w:rPr>
      </w:pPr>
      <w:r w:rsidRPr="00A977C4">
        <w:rPr>
          <w:szCs w:val="22"/>
          <w:lang w:val="en-US"/>
        </w:rPr>
        <w:t>15.</w:t>
      </w:r>
      <w:r w:rsidRPr="00A977C4">
        <w:rPr>
          <w:szCs w:val="22"/>
          <w:lang w:val="en-US"/>
        </w:rPr>
        <w:tab/>
        <w:t xml:space="preserve">Tang ST, McCorkle R. Use of family proxies in quality of life research for cancer patients at the end of life: a literature review. Cancer </w:t>
      </w:r>
      <w:r w:rsidR="00EF27D4" w:rsidRPr="00A977C4">
        <w:rPr>
          <w:szCs w:val="22"/>
          <w:lang w:val="en-US"/>
        </w:rPr>
        <w:t>I</w:t>
      </w:r>
      <w:r w:rsidRPr="00A977C4">
        <w:rPr>
          <w:szCs w:val="22"/>
          <w:lang w:val="en-US"/>
        </w:rPr>
        <w:t>nvest 2002;20(7-8):1086-104.</w:t>
      </w:r>
    </w:p>
    <w:p w:rsidR="00FB63F3" w:rsidRPr="00A977C4" w:rsidRDefault="00FB63F3" w:rsidP="00FB63F3">
      <w:pPr>
        <w:pStyle w:val="EndNoteBibliography"/>
        <w:ind w:left="705" w:hanging="705"/>
        <w:rPr>
          <w:szCs w:val="22"/>
          <w:lang w:val="en-US"/>
        </w:rPr>
      </w:pPr>
      <w:r w:rsidRPr="00A977C4">
        <w:rPr>
          <w:szCs w:val="22"/>
          <w:lang w:val="en-US"/>
        </w:rPr>
        <w:t>16.</w:t>
      </w:r>
      <w:r w:rsidRPr="00A977C4">
        <w:rPr>
          <w:szCs w:val="22"/>
          <w:lang w:val="en-US"/>
        </w:rPr>
        <w:tab/>
      </w:r>
      <w:r w:rsidRPr="00A977C4">
        <w:rPr>
          <w:lang w:val="en-US"/>
        </w:rPr>
        <w:t>Wennman-Larsen A, Tishelman C, Wengstrom Y, Gustavsson P. Factors influencing agreement in symptom ratings by lung cancer patients and their significant others. J Pain Symptom Manage 2007;33(2):146-55.</w:t>
      </w:r>
    </w:p>
    <w:p w:rsidR="00FB63F3" w:rsidRPr="00A977C4" w:rsidRDefault="00FB63F3" w:rsidP="00FB63F3">
      <w:pPr>
        <w:pStyle w:val="EndNoteBibliography"/>
        <w:ind w:left="705" w:hanging="705"/>
        <w:rPr>
          <w:szCs w:val="22"/>
          <w:lang w:val="en-US"/>
        </w:rPr>
      </w:pPr>
      <w:r w:rsidRPr="00A977C4">
        <w:rPr>
          <w:szCs w:val="22"/>
          <w:lang w:val="en-US"/>
        </w:rPr>
        <w:t>17.</w:t>
      </w:r>
      <w:r w:rsidRPr="00A977C4">
        <w:rPr>
          <w:szCs w:val="22"/>
          <w:lang w:val="en-US"/>
        </w:rPr>
        <w:tab/>
      </w:r>
      <w:r w:rsidRPr="00A977C4">
        <w:rPr>
          <w:lang w:val="en-US"/>
        </w:rPr>
        <w:t>McPherson CJ, Wilson KG, Lobchuk MM, Brajtman S. Family caregivers' assessment of symptoms in patients with advanced cancer: concordance with patients and factors affecting accuracy. J Pain Symptom Manage 2008;35(1): 70-82.</w:t>
      </w:r>
    </w:p>
    <w:p w:rsidR="00FB63F3" w:rsidRPr="00A977C4" w:rsidRDefault="00FB63F3" w:rsidP="00FB63F3">
      <w:pPr>
        <w:pStyle w:val="EndNoteBibliography"/>
        <w:ind w:left="705" w:hanging="705"/>
        <w:rPr>
          <w:szCs w:val="22"/>
          <w:lang w:val="en-US"/>
        </w:rPr>
      </w:pPr>
      <w:r w:rsidRPr="00A977C4">
        <w:rPr>
          <w:szCs w:val="22"/>
          <w:lang w:val="en-US"/>
        </w:rPr>
        <w:t>18.</w:t>
      </w:r>
      <w:r w:rsidRPr="00A977C4">
        <w:rPr>
          <w:szCs w:val="22"/>
          <w:lang w:val="en-US"/>
        </w:rPr>
        <w:tab/>
      </w:r>
      <w:r w:rsidRPr="00A977C4">
        <w:rPr>
          <w:lang w:val="en-US"/>
        </w:rPr>
        <w:t>Lobchuk MM, Degner LF. Patients with cancer and next-of-kin response comparability on physical and psychological symptom well-being: trends and measurement issues. Cancer Nurs 2002;25(5): 358-74.</w:t>
      </w:r>
    </w:p>
    <w:p w:rsidR="00FB63F3" w:rsidRPr="00A977C4" w:rsidRDefault="00FB63F3" w:rsidP="00FB63F3">
      <w:pPr>
        <w:pStyle w:val="EndNoteBibliography"/>
        <w:ind w:left="705" w:hanging="705"/>
        <w:rPr>
          <w:szCs w:val="22"/>
          <w:lang w:val="en-US"/>
        </w:rPr>
      </w:pPr>
      <w:r w:rsidRPr="00A977C4">
        <w:rPr>
          <w:szCs w:val="22"/>
          <w:lang w:val="en-US"/>
        </w:rPr>
        <w:t>19.</w:t>
      </w:r>
      <w:r w:rsidRPr="00A977C4">
        <w:rPr>
          <w:szCs w:val="22"/>
          <w:lang w:val="en-US"/>
        </w:rPr>
        <w:tab/>
      </w:r>
      <w:r w:rsidRPr="00A977C4">
        <w:rPr>
          <w:lang w:val="en-US"/>
        </w:rPr>
        <w:t>Merves-Okin L, Amidon E, Bernt F. Perceptions of intimacy in marriage: a study of married couples. Am J Fam Ther 1991;19(2):110-118.</w:t>
      </w:r>
    </w:p>
    <w:p w:rsidR="00FB63F3" w:rsidRPr="00A977C4" w:rsidRDefault="00FB63F3" w:rsidP="00FB63F3">
      <w:pPr>
        <w:pStyle w:val="EndNoteBibliography"/>
        <w:ind w:left="705" w:hanging="705"/>
        <w:rPr>
          <w:szCs w:val="22"/>
          <w:lang w:val="en-US"/>
        </w:rPr>
      </w:pPr>
      <w:r w:rsidRPr="00A977C4">
        <w:rPr>
          <w:szCs w:val="22"/>
          <w:lang w:val="en-US"/>
        </w:rPr>
        <w:t>20.</w:t>
      </w:r>
      <w:r w:rsidRPr="00A977C4">
        <w:rPr>
          <w:szCs w:val="22"/>
          <w:lang w:val="en-US"/>
        </w:rPr>
        <w:tab/>
      </w:r>
      <w:r w:rsidRPr="00A977C4">
        <w:rPr>
          <w:lang w:val="en-US"/>
        </w:rPr>
        <w:t>Ben-Ari A, Lavee, Y. Dyadic closeness in marriage: from the inside story to a conceptual model. J Soc Pers Relat 2007;24(5):627-644.</w:t>
      </w:r>
    </w:p>
    <w:p w:rsidR="00FB63F3" w:rsidRPr="00A977C4" w:rsidRDefault="00FB63F3" w:rsidP="00FB63F3">
      <w:pPr>
        <w:pStyle w:val="EndNoteBibliography"/>
        <w:ind w:left="705" w:hanging="705"/>
        <w:rPr>
          <w:szCs w:val="22"/>
          <w:lang w:val="en-US"/>
        </w:rPr>
      </w:pPr>
      <w:r w:rsidRPr="00A977C4">
        <w:rPr>
          <w:szCs w:val="22"/>
          <w:lang w:val="en-US"/>
        </w:rPr>
        <w:t>21.</w:t>
      </w:r>
      <w:r w:rsidRPr="00A977C4">
        <w:rPr>
          <w:szCs w:val="22"/>
          <w:lang w:val="en-US"/>
        </w:rPr>
        <w:tab/>
      </w:r>
      <w:r w:rsidRPr="00A977C4">
        <w:rPr>
          <w:lang w:val="en-US"/>
        </w:rPr>
        <w:t>Peters ME, Goedendorp MM, Verhagen CA, van der Graaf WT, Bleijenberg G. Severe fatigue during the palliative treatment phase of cancer: an exploratory study. Cancer Nurs 2014;37(2):139-45.</w:t>
      </w:r>
    </w:p>
    <w:p w:rsidR="00FB63F3" w:rsidRPr="00A977C4" w:rsidRDefault="00FB63F3" w:rsidP="00FB63F3">
      <w:pPr>
        <w:pStyle w:val="EndNoteBibliography"/>
        <w:ind w:left="705" w:hanging="705"/>
        <w:rPr>
          <w:szCs w:val="22"/>
        </w:rPr>
      </w:pPr>
      <w:r w:rsidRPr="00A977C4">
        <w:rPr>
          <w:szCs w:val="22"/>
          <w:lang w:val="en-US"/>
        </w:rPr>
        <w:lastRenderedPageBreak/>
        <w:t>22.</w:t>
      </w:r>
      <w:r w:rsidRPr="00A977C4">
        <w:rPr>
          <w:szCs w:val="22"/>
          <w:lang w:val="en-US"/>
        </w:rPr>
        <w:tab/>
      </w:r>
      <w:r w:rsidRPr="00A977C4">
        <w:rPr>
          <w:lang w:val="en-US"/>
        </w:rPr>
        <w:t xml:space="preserve">Peters ME, Goedendorp MM, Verhagen SA, van der Graaf WT, Bleijenberg G. Exploring the contribution of psychosocial factors to fatigue in patients with advanced incurable cancer. </w:t>
      </w:r>
      <w:r w:rsidRPr="00A977C4">
        <w:t>Psycho Oncol 2014;23(7):773-9.</w:t>
      </w:r>
    </w:p>
    <w:p w:rsidR="00FB63F3" w:rsidRPr="00A977C4" w:rsidRDefault="00FB63F3" w:rsidP="00FB63F3">
      <w:pPr>
        <w:pStyle w:val="EndNoteBibliography"/>
        <w:ind w:left="705" w:hanging="705"/>
        <w:rPr>
          <w:szCs w:val="22"/>
          <w:lang w:val="en-US"/>
        </w:rPr>
      </w:pPr>
      <w:r w:rsidRPr="00A977C4">
        <w:rPr>
          <w:szCs w:val="22"/>
        </w:rPr>
        <w:t>23.</w:t>
      </w:r>
      <w:r w:rsidRPr="00A977C4">
        <w:rPr>
          <w:szCs w:val="22"/>
        </w:rPr>
        <w:tab/>
      </w:r>
      <w:r w:rsidRPr="00A977C4">
        <w:t xml:space="preserve">Vercoulen JH, Swanink CM, Fennis JF, et al. </w:t>
      </w:r>
      <w:r w:rsidRPr="00A977C4">
        <w:rPr>
          <w:lang w:val="en-US"/>
        </w:rPr>
        <w:t>Dimensional assessment of chronic fatigue syndrome. J Psychosom Res 1994;38(5):383-92.</w:t>
      </w:r>
    </w:p>
    <w:p w:rsidR="00FB63F3" w:rsidRPr="00A977C4" w:rsidRDefault="00FB63F3" w:rsidP="00FB63F3">
      <w:pPr>
        <w:pStyle w:val="EndNoteBibliography"/>
        <w:ind w:left="705" w:hanging="705"/>
        <w:rPr>
          <w:szCs w:val="22"/>
        </w:rPr>
      </w:pPr>
      <w:r w:rsidRPr="00A977C4">
        <w:rPr>
          <w:szCs w:val="22"/>
          <w:lang w:val="en-US"/>
        </w:rPr>
        <w:t>24.</w:t>
      </w:r>
      <w:r w:rsidRPr="00A977C4">
        <w:rPr>
          <w:szCs w:val="22"/>
          <w:lang w:val="en-US"/>
        </w:rPr>
        <w:tab/>
      </w:r>
      <w:r w:rsidRPr="00A977C4">
        <w:rPr>
          <w:lang w:val="en-US"/>
        </w:rPr>
        <w:t xml:space="preserve">Gielissen MF, Verhagen S, Witjes F, Bleijenberg G. Effects of cognitive behavior therapy in severely fatigued disease-free cancer patients compared with patients waiting for cognitive behavior therapy: a randomized controlled trial. </w:t>
      </w:r>
      <w:r w:rsidRPr="00A977C4">
        <w:t>J Clin Oncol 2006;24(30):4882-7.</w:t>
      </w:r>
    </w:p>
    <w:p w:rsidR="00FB63F3" w:rsidRPr="00A977C4" w:rsidRDefault="00FB63F3" w:rsidP="00FB63F3">
      <w:pPr>
        <w:pStyle w:val="EndNoteBibliography"/>
        <w:ind w:left="705" w:hanging="705"/>
        <w:rPr>
          <w:szCs w:val="22"/>
          <w:lang w:val="en-US"/>
        </w:rPr>
      </w:pPr>
      <w:r w:rsidRPr="00A977C4">
        <w:rPr>
          <w:szCs w:val="22"/>
        </w:rPr>
        <w:t>25.</w:t>
      </w:r>
      <w:r w:rsidRPr="00A977C4">
        <w:rPr>
          <w:szCs w:val="22"/>
        </w:rPr>
        <w:tab/>
      </w:r>
      <w:r w:rsidRPr="00A977C4">
        <w:t xml:space="preserve">Goedendorp MM, Peters ME, Gielissen MF, et al. </w:t>
      </w:r>
      <w:r w:rsidRPr="00A977C4">
        <w:rPr>
          <w:lang w:val="en-US"/>
        </w:rPr>
        <w:t>Is increasing physical activity necessary to diminish fatigue during cancer treatment? Comparing cognitive behavior therapy and a brief nursing intervention with usual care in a multicenter randomized controlled trial. Oncologist 2010;15(10):1122-32.</w:t>
      </w:r>
    </w:p>
    <w:p w:rsidR="00FB63F3" w:rsidRPr="00A977C4" w:rsidRDefault="00FB63F3" w:rsidP="00FB63F3">
      <w:pPr>
        <w:pStyle w:val="EndNoteBibliography"/>
        <w:ind w:left="705" w:hanging="705"/>
        <w:rPr>
          <w:szCs w:val="22"/>
          <w:lang w:val="en-US"/>
        </w:rPr>
      </w:pPr>
      <w:r w:rsidRPr="00A977C4">
        <w:rPr>
          <w:szCs w:val="22"/>
          <w:lang w:val="en-US"/>
        </w:rPr>
        <w:t>26.</w:t>
      </w:r>
      <w:r w:rsidRPr="00A977C4">
        <w:rPr>
          <w:szCs w:val="22"/>
          <w:lang w:val="en-US"/>
        </w:rPr>
        <w:tab/>
      </w:r>
      <w:r w:rsidRPr="00A977C4">
        <w:rPr>
          <w:lang w:val="en-US"/>
        </w:rPr>
        <w:t>Servaes P, Verhagen C, Bleijenberg G. Fatigue in cancer patients during and after treatment: prevalence, correlates and interventions. Eur J Cancer 2002;38(1):27-43.</w:t>
      </w:r>
    </w:p>
    <w:p w:rsidR="00FB63F3" w:rsidRPr="00A977C4" w:rsidRDefault="00FB63F3" w:rsidP="00FB63F3">
      <w:pPr>
        <w:pStyle w:val="EndNoteBibliography"/>
        <w:ind w:left="705" w:hanging="705"/>
        <w:rPr>
          <w:szCs w:val="22"/>
        </w:rPr>
      </w:pPr>
      <w:r w:rsidRPr="00A977C4">
        <w:rPr>
          <w:szCs w:val="22"/>
          <w:lang w:val="en-US"/>
        </w:rPr>
        <w:t>27.</w:t>
      </w:r>
      <w:r w:rsidRPr="00A977C4">
        <w:rPr>
          <w:szCs w:val="22"/>
          <w:lang w:val="en-US"/>
        </w:rPr>
        <w:tab/>
      </w:r>
      <w:r w:rsidRPr="00A977C4">
        <w:rPr>
          <w:lang w:val="en-US"/>
        </w:rPr>
        <w:t xml:space="preserve">Servaes P, Verhagen S, Schreuder HW, Veth RP, Bleijenberg G. Fatigue after treatment for malignant and benign bone and soft tissue tumors. </w:t>
      </w:r>
      <w:r w:rsidRPr="00A977C4">
        <w:t>J Pain Symptom Manage 2003;26(6):1113-22.</w:t>
      </w:r>
    </w:p>
    <w:p w:rsidR="00FB63F3" w:rsidRPr="00A977C4" w:rsidRDefault="00FB63F3" w:rsidP="00FB63F3">
      <w:pPr>
        <w:pStyle w:val="EndNoteBibliography"/>
        <w:ind w:left="705" w:hanging="705"/>
        <w:rPr>
          <w:szCs w:val="22"/>
          <w:lang w:val="en-US"/>
        </w:rPr>
      </w:pPr>
      <w:r w:rsidRPr="00A977C4">
        <w:rPr>
          <w:szCs w:val="22"/>
        </w:rPr>
        <w:t>28.</w:t>
      </w:r>
      <w:r w:rsidRPr="00A977C4">
        <w:rPr>
          <w:szCs w:val="22"/>
        </w:rPr>
        <w:tab/>
        <w:t xml:space="preserve">van den Dungen IA, Verhagen CA, van der Graaf WT, </w:t>
      </w:r>
      <w:r w:rsidR="005512FC" w:rsidRPr="00A977C4">
        <w:rPr>
          <w:szCs w:val="22"/>
        </w:rPr>
        <w:t>et al</w:t>
      </w:r>
      <w:r w:rsidRPr="00A977C4">
        <w:rPr>
          <w:szCs w:val="22"/>
        </w:rPr>
        <w:t xml:space="preserve">. </w:t>
      </w:r>
      <w:r w:rsidRPr="00A977C4">
        <w:rPr>
          <w:szCs w:val="22"/>
          <w:lang w:val="en-US"/>
        </w:rPr>
        <w:t xml:space="preserve">Feasibility and impact of a physical exercise program in patients with advanced cancer: a pilot study. </w:t>
      </w:r>
      <w:r w:rsidR="005512FC" w:rsidRPr="00A977C4">
        <w:rPr>
          <w:szCs w:val="22"/>
          <w:lang w:val="en-US"/>
        </w:rPr>
        <w:t>J Palliat Med</w:t>
      </w:r>
      <w:r w:rsidRPr="00A977C4">
        <w:rPr>
          <w:szCs w:val="22"/>
          <w:lang w:val="en-US"/>
        </w:rPr>
        <w:t xml:space="preserve"> 2014;17(10):1091-8.</w:t>
      </w:r>
    </w:p>
    <w:p w:rsidR="00FB63F3" w:rsidRPr="00A977C4" w:rsidRDefault="00FB63F3" w:rsidP="00FB63F3">
      <w:pPr>
        <w:pStyle w:val="EndNoteBibliography"/>
        <w:ind w:left="720" w:hanging="720"/>
        <w:rPr>
          <w:lang w:val="en-US"/>
        </w:rPr>
      </w:pPr>
      <w:r w:rsidRPr="00A977C4">
        <w:rPr>
          <w:szCs w:val="22"/>
          <w:lang w:val="en-US"/>
        </w:rPr>
        <w:t>29.</w:t>
      </w:r>
      <w:r w:rsidRPr="00A977C4">
        <w:rPr>
          <w:szCs w:val="22"/>
          <w:lang w:val="en-US"/>
        </w:rPr>
        <w:tab/>
      </w:r>
      <w:r w:rsidRPr="00A977C4">
        <w:rPr>
          <w:lang w:val="en-US"/>
        </w:rPr>
        <w:t>Robinson BC. Validation of a Caregiver Strain Index. J Gerontol 1983;38(3):344-8</w:t>
      </w:r>
    </w:p>
    <w:p w:rsidR="00FB63F3" w:rsidRPr="00A977C4" w:rsidRDefault="00FB63F3" w:rsidP="00FB63F3">
      <w:pPr>
        <w:pStyle w:val="EndNoteBibliography"/>
        <w:ind w:left="705" w:hanging="705"/>
        <w:rPr>
          <w:szCs w:val="22"/>
        </w:rPr>
      </w:pPr>
      <w:r w:rsidRPr="00A977C4">
        <w:rPr>
          <w:szCs w:val="22"/>
          <w:lang w:val="en-US"/>
        </w:rPr>
        <w:t>30.</w:t>
      </w:r>
      <w:r w:rsidRPr="00A977C4">
        <w:rPr>
          <w:szCs w:val="22"/>
          <w:lang w:val="en-US"/>
        </w:rPr>
        <w:tab/>
      </w:r>
      <w:r w:rsidRPr="00A977C4">
        <w:rPr>
          <w:lang w:val="en-US"/>
        </w:rPr>
        <w:t xml:space="preserve">Given CW, Given B, Stommel M, et al. The caregiver reaction assessment (CRA) for caregivers to persons with chronic physical and mental impairments. </w:t>
      </w:r>
      <w:r w:rsidRPr="00A977C4">
        <w:t>Res Nurs Health 1992;15(4):271-83.</w:t>
      </w:r>
    </w:p>
    <w:p w:rsidR="00FB63F3" w:rsidRPr="00A977C4" w:rsidRDefault="00FB63F3" w:rsidP="00FB63F3">
      <w:pPr>
        <w:pStyle w:val="EndNoteBibliography"/>
        <w:ind w:left="705" w:hanging="705"/>
        <w:rPr>
          <w:szCs w:val="22"/>
          <w:lang w:val="en-US"/>
        </w:rPr>
      </w:pPr>
      <w:r w:rsidRPr="00A977C4">
        <w:rPr>
          <w:szCs w:val="22"/>
        </w:rPr>
        <w:t>31.</w:t>
      </w:r>
      <w:r w:rsidRPr="00A977C4">
        <w:rPr>
          <w:szCs w:val="22"/>
        </w:rPr>
        <w:tab/>
      </w:r>
      <w:r w:rsidRPr="00A977C4">
        <w:t xml:space="preserve">Nijboer C, Triemstra M, Tempelaar R, Sanderman R, van den Bos GA. </w:t>
      </w:r>
      <w:r w:rsidRPr="00A977C4">
        <w:rPr>
          <w:lang w:val="en-US"/>
        </w:rPr>
        <w:t>Measuring both negative and positive reactions to giving care to cancer patients: psychometric qualities of the Caregiver Reaction Assessment (CRA). Soc Sci Med 1999;48(9):1259-69.</w:t>
      </w:r>
    </w:p>
    <w:p w:rsidR="00FB63F3" w:rsidRPr="00A977C4" w:rsidRDefault="00FB63F3" w:rsidP="00FB63F3">
      <w:pPr>
        <w:pStyle w:val="EndNoteBibliography"/>
        <w:ind w:left="705" w:hanging="705"/>
        <w:rPr>
          <w:szCs w:val="22"/>
          <w:lang w:val="en-US"/>
        </w:rPr>
      </w:pPr>
      <w:r w:rsidRPr="00A977C4">
        <w:rPr>
          <w:szCs w:val="22"/>
          <w:lang w:val="en-US"/>
        </w:rPr>
        <w:t>32.</w:t>
      </w:r>
      <w:r w:rsidRPr="00A977C4">
        <w:rPr>
          <w:szCs w:val="22"/>
          <w:lang w:val="en-US"/>
        </w:rPr>
        <w:tab/>
      </w:r>
      <w:r w:rsidRPr="00A977C4">
        <w:rPr>
          <w:lang w:val="en-US"/>
        </w:rPr>
        <w:t>Arrindell WA, Emmelkamp PM, Bast S. The Maudsley Marital Questionnaire (MMQ): A further step towards its validation. Pers Individ Diff 1983;4(5):457-64.</w:t>
      </w:r>
    </w:p>
    <w:p w:rsidR="00FB63F3" w:rsidRPr="00A977C4" w:rsidRDefault="00FB63F3" w:rsidP="009A773D">
      <w:pPr>
        <w:pStyle w:val="EndNoteBibliography"/>
        <w:ind w:left="705" w:hanging="705"/>
        <w:rPr>
          <w:szCs w:val="22"/>
        </w:rPr>
      </w:pPr>
      <w:r w:rsidRPr="00A977C4">
        <w:rPr>
          <w:szCs w:val="22"/>
          <w:lang w:val="en-US"/>
        </w:rPr>
        <w:t>33.</w:t>
      </w:r>
      <w:r w:rsidRPr="00A977C4">
        <w:rPr>
          <w:szCs w:val="22"/>
          <w:lang w:val="en-US"/>
        </w:rPr>
        <w:tab/>
        <w:t xml:space="preserve">Bartko JJ. The intraclass correlation coefficient as a measure of reliability. </w:t>
      </w:r>
      <w:r w:rsidR="00E449F5" w:rsidRPr="00A977C4">
        <w:rPr>
          <w:szCs w:val="22"/>
        </w:rPr>
        <w:t xml:space="preserve">Psychol Rep </w:t>
      </w:r>
      <w:r w:rsidRPr="00A977C4">
        <w:rPr>
          <w:szCs w:val="22"/>
        </w:rPr>
        <w:t>1966;19(1):3-11.</w:t>
      </w:r>
    </w:p>
    <w:p w:rsidR="00FB63F3" w:rsidRPr="00A977C4" w:rsidRDefault="00FB63F3" w:rsidP="00794975">
      <w:pPr>
        <w:pStyle w:val="EndNoteBibliography"/>
        <w:ind w:left="705" w:hanging="705"/>
        <w:rPr>
          <w:szCs w:val="22"/>
          <w:lang w:val="en-US"/>
        </w:rPr>
      </w:pPr>
      <w:r w:rsidRPr="00A977C4">
        <w:rPr>
          <w:szCs w:val="22"/>
        </w:rPr>
        <w:t>34.</w:t>
      </w:r>
      <w:r w:rsidRPr="00A977C4">
        <w:rPr>
          <w:szCs w:val="22"/>
        </w:rPr>
        <w:tab/>
        <w:t xml:space="preserve">Sneeuw KC, Aaronson NK, Sprangers MA, </w:t>
      </w:r>
      <w:r w:rsidR="00E449F5" w:rsidRPr="00A977C4">
        <w:rPr>
          <w:szCs w:val="22"/>
        </w:rPr>
        <w:t>et al.</w:t>
      </w:r>
      <w:r w:rsidRPr="00A977C4">
        <w:rPr>
          <w:szCs w:val="22"/>
        </w:rPr>
        <w:t xml:space="preserve"> </w:t>
      </w:r>
      <w:r w:rsidRPr="00A977C4">
        <w:rPr>
          <w:szCs w:val="22"/>
          <w:lang w:val="en-US"/>
        </w:rPr>
        <w:t xml:space="preserve">Comparison of patient and proxy EORTC QLQ-C30 ratings in assessing the quality of life of cancer patients. </w:t>
      </w:r>
      <w:r w:rsidR="00E449F5" w:rsidRPr="00A977C4">
        <w:rPr>
          <w:szCs w:val="22"/>
          <w:lang w:val="en-US"/>
        </w:rPr>
        <w:t>J Clin Epidemiol</w:t>
      </w:r>
      <w:r w:rsidRPr="00A977C4">
        <w:rPr>
          <w:szCs w:val="22"/>
          <w:lang w:val="en-US"/>
        </w:rPr>
        <w:t xml:space="preserve"> 1998;51(7):617-31.</w:t>
      </w:r>
    </w:p>
    <w:p w:rsidR="00FB63F3" w:rsidRPr="00A977C4" w:rsidRDefault="00FB63F3" w:rsidP="00794975">
      <w:pPr>
        <w:pStyle w:val="EndNoteBibliography"/>
        <w:ind w:left="705" w:hanging="705"/>
        <w:rPr>
          <w:szCs w:val="22"/>
          <w:lang w:val="en-US"/>
        </w:rPr>
      </w:pPr>
      <w:r w:rsidRPr="00A977C4">
        <w:rPr>
          <w:szCs w:val="22"/>
          <w:lang w:val="en-US"/>
        </w:rPr>
        <w:t>35.</w:t>
      </w:r>
      <w:r w:rsidRPr="00A977C4">
        <w:rPr>
          <w:szCs w:val="22"/>
          <w:lang w:val="en-US"/>
        </w:rPr>
        <w:tab/>
        <w:t>Landis JR, Koch GG. The measurement of observer agreement for categorical data. Biometrics. 1977;33(1):159-74.</w:t>
      </w:r>
    </w:p>
    <w:p w:rsidR="00FB63F3" w:rsidRPr="00A977C4" w:rsidRDefault="00FB63F3" w:rsidP="00794975">
      <w:pPr>
        <w:pStyle w:val="EndNoteBibliography"/>
        <w:ind w:left="705" w:hanging="705"/>
        <w:rPr>
          <w:szCs w:val="22"/>
          <w:lang w:val="en-US"/>
        </w:rPr>
      </w:pPr>
      <w:r w:rsidRPr="00A977C4">
        <w:rPr>
          <w:szCs w:val="22"/>
          <w:lang w:val="en-US"/>
        </w:rPr>
        <w:t>36.</w:t>
      </w:r>
      <w:r w:rsidR="00794975" w:rsidRPr="00A977C4">
        <w:rPr>
          <w:szCs w:val="22"/>
          <w:lang w:val="en-US"/>
        </w:rPr>
        <w:tab/>
      </w:r>
      <w:r w:rsidRPr="00A977C4">
        <w:rPr>
          <w:szCs w:val="22"/>
          <w:lang w:val="en-US"/>
        </w:rPr>
        <w:t>Snow A</w:t>
      </w:r>
      <w:r w:rsidR="005E6594" w:rsidRPr="00A977C4">
        <w:rPr>
          <w:szCs w:val="22"/>
          <w:lang w:val="en-US"/>
        </w:rPr>
        <w:t>L</w:t>
      </w:r>
      <w:r w:rsidRPr="00A977C4">
        <w:rPr>
          <w:szCs w:val="22"/>
          <w:lang w:val="en-US"/>
        </w:rPr>
        <w:t>, Cook KF, Lin PS, Morgan RO, Magaziner J. Proxies and other external raters: methodo</w:t>
      </w:r>
      <w:r w:rsidR="00750F53" w:rsidRPr="00A977C4">
        <w:rPr>
          <w:szCs w:val="22"/>
          <w:lang w:val="en-US"/>
        </w:rPr>
        <w:t>logical considerations. Health S</w:t>
      </w:r>
      <w:r w:rsidRPr="00A977C4">
        <w:rPr>
          <w:szCs w:val="22"/>
          <w:lang w:val="en-US"/>
        </w:rPr>
        <w:t>erv</w:t>
      </w:r>
      <w:r w:rsidR="00750F53" w:rsidRPr="00A977C4">
        <w:rPr>
          <w:szCs w:val="22"/>
          <w:lang w:val="en-US"/>
        </w:rPr>
        <w:t xml:space="preserve"> R</w:t>
      </w:r>
      <w:r w:rsidR="005E6594" w:rsidRPr="00A977C4">
        <w:rPr>
          <w:szCs w:val="22"/>
          <w:lang w:val="en-US"/>
        </w:rPr>
        <w:t>es 2005;40(5</w:t>
      </w:r>
      <w:r w:rsidRPr="00A977C4">
        <w:rPr>
          <w:szCs w:val="22"/>
          <w:lang w:val="en-US"/>
        </w:rPr>
        <w:t>):1676-93.</w:t>
      </w:r>
    </w:p>
    <w:p w:rsidR="00FB63F3" w:rsidRPr="00A977C4" w:rsidRDefault="00FB63F3" w:rsidP="00794975">
      <w:pPr>
        <w:pStyle w:val="EndNoteBibliography"/>
        <w:ind w:left="705" w:hanging="705"/>
        <w:rPr>
          <w:szCs w:val="22"/>
          <w:lang w:val="en-US"/>
        </w:rPr>
      </w:pPr>
      <w:r w:rsidRPr="00A977C4">
        <w:rPr>
          <w:szCs w:val="22"/>
          <w:lang w:val="en-US"/>
        </w:rPr>
        <w:t>37.</w:t>
      </w:r>
      <w:r w:rsidRPr="00A977C4">
        <w:rPr>
          <w:szCs w:val="22"/>
          <w:lang w:val="en-US"/>
        </w:rPr>
        <w:tab/>
      </w:r>
      <w:r w:rsidR="00794975" w:rsidRPr="00A977C4">
        <w:rPr>
          <w:lang w:val="en-US"/>
        </w:rPr>
        <w:t>Brozek JL, Guyatt GH, and Schunemann, HJ. How a well-grounded minimal important difference can enhance transparency of labelling claims and improve interpretation of a patient reported outcome measure. Health Qual Life Outcomes 2006;4:69.</w:t>
      </w:r>
    </w:p>
    <w:p w:rsidR="00FB63F3" w:rsidRPr="00A977C4" w:rsidRDefault="00FB63F3" w:rsidP="00794975">
      <w:pPr>
        <w:pStyle w:val="EndNoteBibliography"/>
        <w:ind w:left="705" w:hanging="705"/>
        <w:rPr>
          <w:szCs w:val="22"/>
          <w:lang w:val="en-US"/>
        </w:rPr>
      </w:pPr>
      <w:r w:rsidRPr="00A977C4">
        <w:rPr>
          <w:szCs w:val="22"/>
          <w:lang w:val="en-US"/>
        </w:rPr>
        <w:t>38.</w:t>
      </w:r>
      <w:r w:rsidRPr="00A977C4">
        <w:rPr>
          <w:szCs w:val="22"/>
          <w:lang w:val="en-US"/>
        </w:rPr>
        <w:tab/>
      </w:r>
      <w:r w:rsidR="00794975" w:rsidRPr="00A977C4">
        <w:rPr>
          <w:lang w:val="en-US"/>
        </w:rPr>
        <w:t>Kirwan JR. Minimum clinically important difference: the crock of gold at the end of the rainbow? J Rheumatol 2001;28(2):439-44.</w:t>
      </w:r>
    </w:p>
    <w:p w:rsidR="00FB63F3" w:rsidRPr="00A977C4" w:rsidRDefault="00FB63F3" w:rsidP="00794975">
      <w:pPr>
        <w:pStyle w:val="EndNoteBibliography"/>
        <w:ind w:left="705" w:hanging="705"/>
        <w:rPr>
          <w:szCs w:val="22"/>
          <w:lang w:val="en-US"/>
        </w:rPr>
      </w:pPr>
      <w:r w:rsidRPr="00A977C4">
        <w:rPr>
          <w:szCs w:val="22"/>
          <w:lang w:val="en-US"/>
        </w:rPr>
        <w:t>39.</w:t>
      </w:r>
      <w:r w:rsidRPr="00A977C4">
        <w:rPr>
          <w:szCs w:val="22"/>
          <w:lang w:val="en-US"/>
        </w:rPr>
        <w:tab/>
        <w:t xml:space="preserve">Ferguson CJ. An effect size primer: A guide for clinicians and researchers. Prof </w:t>
      </w:r>
      <w:r w:rsidR="00532B2F" w:rsidRPr="00A977C4">
        <w:rPr>
          <w:szCs w:val="22"/>
          <w:lang w:val="en-US"/>
        </w:rPr>
        <w:t>Psychol Res Pr 2009;</w:t>
      </w:r>
      <w:r w:rsidRPr="00A977C4">
        <w:rPr>
          <w:szCs w:val="22"/>
          <w:lang w:val="en-US"/>
        </w:rPr>
        <w:t>40(5):</w:t>
      </w:r>
      <w:r w:rsidR="00532B2F" w:rsidRPr="00A977C4">
        <w:rPr>
          <w:szCs w:val="22"/>
          <w:lang w:val="en-US"/>
        </w:rPr>
        <w:t>532-38</w:t>
      </w:r>
      <w:r w:rsidRPr="00A977C4">
        <w:rPr>
          <w:szCs w:val="22"/>
          <w:lang w:val="en-US"/>
        </w:rPr>
        <w:t>.</w:t>
      </w:r>
    </w:p>
    <w:p w:rsidR="00FB63F3" w:rsidRPr="00A977C4" w:rsidRDefault="00FB63F3" w:rsidP="00794975">
      <w:pPr>
        <w:pStyle w:val="EndNoteBibliography"/>
        <w:ind w:left="705" w:hanging="705"/>
        <w:rPr>
          <w:szCs w:val="22"/>
          <w:lang w:val="en-US"/>
        </w:rPr>
      </w:pPr>
      <w:r w:rsidRPr="00A977C4">
        <w:rPr>
          <w:szCs w:val="22"/>
          <w:lang w:val="en-US"/>
        </w:rPr>
        <w:t>40.</w:t>
      </w:r>
      <w:r w:rsidRPr="00A977C4">
        <w:rPr>
          <w:szCs w:val="22"/>
          <w:lang w:val="en-US"/>
        </w:rPr>
        <w:tab/>
        <w:t>Cohen J. Statistical Power Analysis for the Behavioral Sciences</w:t>
      </w:r>
      <w:r w:rsidR="00403F43" w:rsidRPr="00A977C4">
        <w:rPr>
          <w:szCs w:val="22"/>
          <w:lang w:val="en-US"/>
        </w:rPr>
        <w:t>,</w:t>
      </w:r>
      <w:r w:rsidRPr="00A977C4">
        <w:rPr>
          <w:szCs w:val="22"/>
          <w:lang w:val="en-US"/>
        </w:rPr>
        <w:t xml:space="preserve"> 2</w:t>
      </w:r>
      <w:r w:rsidR="00403F43" w:rsidRPr="00A977C4">
        <w:rPr>
          <w:szCs w:val="22"/>
          <w:lang w:val="en-US"/>
        </w:rPr>
        <w:t>nd</w:t>
      </w:r>
      <w:r w:rsidRPr="00A977C4">
        <w:rPr>
          <w:szCs w:val="22"/>
          <w:lang w:val="en-US"/>
        </w:rPr>
        <w:t xml:space="preserve"> ed. </w:t>
      </w:r>
      <w:r w:rsidR="00403F43" w:rsidRPr="00A977C4">
        <w:rPr>
          <w:szCs w:val="22"/>
          <w:lang w:val="en-US"/>
        </w:rPr>
        <w:t>Hillsdale, NJ: Lawrence Erlbaum,</w:t>
      </w:r>
      <w:r w:rsidRPr="00A977C4">
        <w:rPr>
          <w:szCs w:val="22"/>
          <w:lang w:val="en-US"/>
        </w:rPr>
        <w:t xml:space="preserve"> 1988.</w:t>
      </w:r>
    </w:p>
    <w:p w:rsidR="00FB63F3" w:rsidRPr="00A977C4" w:rsidRDefault="00FB63F3" w:rsidP="00794975">
      <w:pPr>
        <w:pStyle w:val="EndNoteBibliography"/>
        <w:ind w:left="705" w:hanging="705"/>
        <w:rPr>
          <w:szCs w:val="22"/>
          <w:lang w:val="en-US"/>
        </w:rPr>
      </w:pPr>
      <w:r w:rsidRPr="00A977C4">
        <w:rPr>
          <w:szCs w:val="22"/>
          <w:lang w:val="en-US"/>
        </w:rPr>
        <w:t>41.</w:t>
      </w:r>
      <w:r w:rsidRPr="00A977C4">
        <w:rPr>
          <w:szCs w:val="22"/>
          <w:lang w:val="en-US"/>
        </w:rPr>
        <w:tab/>
        <w:t xml:space="preserve">Bland JM, Altman DG. Statistical methods for assessing agreement between two methods </w:t>
      </w:r>
      <w:r w:rsidR="0020219A" w:rsidRPr="00A977C4">
        <w:rPr>
          <w:szCs w:val="22"/>
          <w:lang w:val="en-US"/>
        </w:rPr>
        <w:t>of clinical measurement. Lancet</w:t>
      </w:r>
      <w:r w:rsidRPr="00A977C4">
        <w:rPr>
          <w:szCs w:val="22"/>
          <w:lang w:val="en-US"/>
        </w:rPr>
        <w:t xml:space="preserve"> 1986;1(8476):307-10.</w:t>
      </w:r>
    </w:p>
    <w:p w:rsidR="00FB63F3" w:rsidRPr="00A977C4" w:rsidRDefault="00FB63F3" w:rsidP="00794975">
      <w:pPr>
        <w:pStyle w:val="EndNoteBibliography"/>
        <w:ind w:left="705" w:hanging="705"/>
        <w:rPr>
          <w:szCs w:val="22"/>
          <w:lang w:val="en-US"/>
        </w:rPr>
      </w:pPr>
      <w:r w:rsidRPr="00A977C4">
        <w:rPr>
          <w:szCs w:val="22"/>
          <w:lang w:val="en-US"/>
        </w:rPr>
        <w:t>42.</w:t>
      </w:r>
      <w:r w:rsidRPr="00A977C4">
        <w:rPr>
          <w:szCs w:val="22"/>
          <w:lang w:val="en-US"/>
        </w:rPr>
        <w:tab/>
        <w:t xml:space="preserve">Bland JM, Altman DG. Measuring agreement in </w:t>
      </w:r>
      <w:r w:rsidR="0020219A" w:rsidRPr="00A977C4">
        <w:rPr>
          <w:szCs w:val="22"/>
          <w:lang w:val="en-US"/>
        </w:rPr>
        <w:t>method comparison studies. Stat M</w:t>
      </w:r>
      <w:r w:rsidRPr="00A977C4">
        <w:rPr>
          <w:szCs w:val="22"/>
          <w:lang w:val="en-US"/>
        </w:rPr>
        <w:t xml:space="preserve">ethods </w:t>
      </w:r>
      <w:r w:rsidR="0020219A" w:rsidRPr="00A977C4">
        <w:rPr>
          <w:szCs w:val="22"/>
          <w:lang w:val="en-US"/>
        </w:rPr>
        <w:t>Med Res</w:t>
      </w:r>
      <w:r w:rsidRPr="00A977C4">
        <w:rPr>
          <w:szCs w:val="22"/>
          <w:lang w:val="en-US"/>
        </w:rPr>
        <w:t xml:space="preserve"> 1999;8(2):135-60.</w:t>
      </w:r>
    </w:p>
    <w:p w:rsidR="00FB63F3" w:rsidRPr="00A977C4" w:rsidRDefault="00FB63F3" w:rsidP="00794975">
      <w:pPr>
        <w:pStyle w:val="EndNoteBibliography"/>
        <w:ind w:left="705" w:hanging="705"/>
        <w:rPr>
          <w:szCs w:val="22"/>
          <w:lang w:val="en-US"/>
        </w:rPr>
      </w:pPr>
      <w:r w:rsidRPr="00A977C4">
        <w:rPr>
          <w:szCs w:val="22"/>
          <w:lang w:val="en-US"/>
        </w:rPr>
        <w:t>43.</w:t>
      </w:r>
      <w:r w:rsidRPr="00A977C4">
        <w:rPr>
          <w:szCs w:val="22"/>
          <w:lang w:val="en-US"/>
        </w:rPr>
        <w:tab/>
        <w:t xml:space="preserve">Krouwer JS. Why Bland-Altman plots should use X, not (Y+X)/2 when X is a reference method. </w:t>
      </w:r>
      <w:r w:rsidR="004302E1" w:rsidRPr="00A977C4">
        <w:rPr>
          <w:szCs w:val="22"/>
          <w:lang w:val="en-US"/>
        </w:rPr>
        <w:t>Stat Med</w:t>
      </w:r>
      <w:r w:rsidRPr="00A977C4">
        <w:rPr>
          <w:szCs w:val="22"/>
          <w:lang w:val="en-US"/>
        </w:rPr>
        <w:t xml:space="preserve"> 2008;27(5):778-80.</w:t>
      </w:r>
    </w:p>
    <w:p w:rsidR="00FB63F3" w:rsidRPr="00A977C4" w:rsidRDefault="00FB63F3" w:rsidP="00794975">
      <w:pPr>
        <w:pStyle w:val="EndNoteBibliography"/>
        <w:ind w:left="705" w:hanging="705"/>
        <w:rPr>
          <w:szCs w:val="22"/>
        </w:rPr>
      </w:pPr>
      <w:r w:rsidRPr="00A977C4">
        <w:rPr>
          <w:szCs w:val="22"/>
          <w:lang w:val="en-US"/>
        </w:rPr>
        <w:lastRenderedPageBreak/>
        <w:t>44.</w:t>
      </w:r>
      <w:r w:rsidRPr="00A977C4">
        <w:rPr>
          <w:szCs w:val="22"/>
          <w:lang w:val="en-US"/>
        </w:rPr>
        <w:tab/>
      </w:r>
      <w:r w:rsidR="00794975" w:rsidRPr="00A977C4">
        <w:rPr>
          <w:lang w:val="en-US"/>
        </w:rPr>
        <w:t xml:space="preserve">Sprangers MA, Aaronson NK. The role of health care providers and significant others in evaluating the quality of life of patients with chronic disease: a review. </w:t>
      </w:r>
      <w:r w:rsidR="00794975" w:rsidRPr="00A977C4">
        <w:t>J Clin Epidemiol 1992;45(7):743-60.</w:t>
      </w:r>
    </w:p>
    <w:p w:rsidR="00FB63F3" w:rsidRPr="00A977C4" w:rsidRDefault="00FB63F3" w:rsidP="00794975">
      <w:pPr>
        <w:pStyle w:val="EndNoteBibliography"/>
        <w:ind w:left="705" w:hanging="705"/>
        <w:rPr>
          <w:szCs w:val="22"/>
          <w:lang w:val="en-US"/>
        </w:rPr>
      </w:pPr>
      <w:r w:rsidRPr="00A977C4">
        <w:rPr>
          <w:szCs w:val="22"/>
        </w:rPr>
        <w:t>45.</w:t>
      </w:r>
      <w:r w:rsidRPr="00A977C4">
        <w:rPr>
          <w:szCs w:val="22"/>
        </w:rPr>
        <w:tab/>
      </w:r>
      <w:r w:rsidR="00794975" w:rsidRPr="00A977C4">
        <w:t xml:space="preserve">Mulligan LD, Christie F, Kangura H, et al. </w:t>
      </w:r>
      <w:r w:rsidR="00794975" w:rsidRPr="00A977C4">
        <w:rPr>
          <w:lang w:val="en-US"/>
        </w:rPr>
        <w:t>Negative affect is associated with reporting of both own and others' symptoms. Psychol Health Med 2014;19(6):738-43.</w:t>
      </w:r>
    </w:p>
    <w:p w:rsidR="00FB63F3" w:rsidRPr="00A977C4" w:rsidRDefault="00FB63F3" w:rsidP="00794975">
      <w:pPr>
        <w:pStyle w:val="EndNoteBibliography"/>
        <w:ind w:left="705" w:hanging="705"/>
        <w:rPr>
          <w:szCs w:val="22"/>
          <w:lang w:val="en-US"/>
        </w:rPr>
      </w:pPr>
      <w:r w:rsidRPr="00A977C4">
        <w:rPr>
          <w:szCs w:val="22"/>
          <w:lang w:val="en-US"/>
        </w:rPr>
        <w:t>46.</w:t>
      </w:r>
      <w:r w:rsidRPr="00A977C4">
        <w:rPr>
          <w:szCs w:val="22"/>
          <w:lang w:val="en-US"/>
        </w:rPr>
        <w:tab/>
      </w:r>
      <w:r w:rsidR="00794975" w:rsidRPr="00A977C4">
        <w:rPr>
          <w:lang w:val="en-US"/>
        </w:rPr>
        <w:t>McPherson CJ, Addington-Hall JM. Evaluating palliative care: bereaved family members' evaluations of patients' pain, anxiety and depression. J Pain Symptom Manage 2004;28(2): 104-14.</w:t>
      </w:r>
    </w:p>
    <w:p w:rsidR="00FB63F3" w:rsidRPr="00A977C4" w:rsidRDefault="00FB63F3" w:rsidP="00794975">
      <w:pPr>
        <w:pStyle w:val="EndNoteBibliography"/>
        <w:ind w:left="705" w:hanging="705"/>
        <w:rPr>
          <w:szCs w:val="22"/>
          <w:lang w:val="en-US"/>
        </w:rPr>
      </w:pPr>
      <w:r w:rsidRPr="00A977C4">
        <w:rPr>
          <w:szCs w:val="22"/>
          <w:lang w:val="en-US"/>
        </w:rPr>
        <w:t>47.</w:t>
      </w:r>
      <w:r w:rsidRPr="00A977C4">
        <w:rPr>
          <w:szCs w:val="22"/>
          <w:lang w:val="en-US"/>
        </w:rPr>
        <w:tab/>
      </w:r>
      <w:r w:rsidR="00794975" w:rsidRPr="00A977C4">
        <w:rPr>
          <w:lang w:val="en-US"/>
        </w:rPr>
        <w:t>Davis E, Nicolas C, Waters E, et al. Parent-proxy and child self-reported health-related quality of life: using qualitative methods to explain the discordance. Qual Life Res 2007;16(5):863-71.</w:t>
      </w:r>
    </w:p>
    <w:p w:rsidR="00FB63F3" w:rsidRPr="00A977C4" w:rsidRDefault="00FB63F3" w:rsidP="00794975">
      <w:pPr>
        <w:pStyle w:val="EndNoteBibliography"/>
        <w:ind w:left="705" w:hanging="705"/>
        <w:rPr>
          <w:lang w:val="en-US"/>
        </w:rPr>
      </w:pPr>
      <w:r w:rsidRPr="00A977C4">
        <w:rPr>
          <w:szCs w:val="22"/>
          <w:lang w:val="en-US"/>
        </w:rPr>
        <w:t>48.</w:t>
      </w:r>
      <w:r w:rsidRPr="00A977C4">
        <w:rPr>
          <w:szCs w:val="22"/>
          <w:lang w:val="en-US"/>
        </w:rPr>
        <w:tab/>
      </w:r>
      <w:r w:rsidR="00794975" w:rsidRPr="00A977C4">
        <w:rPr>
          <w:lang w:val="en-US"/>
        </w:rPr>
        <w:t>McPherson CJ, Wilson KG, Murray MA. Feeling like a burden: exploring the perspectives of patients at the end of life. Soc Sci Med 2007;64(2):417-27.</w:t>
      </w:r>
    </w:p>
    <w:p w:rsidR="002F3405" w:rsidRPr="00A977C4" w:rsidRDefault="002F3405" w:rsidP="00794975">
      <w:pPr>
        <w:pStyle w:val="EndNoteBibliography"/>
        <w:ind w:left="705" w:hanging="705"/>
        <w:rPr>
          <w:lang w:val="en-US"/>
        </w:rPr>
      </w:pPr>
      <w:r w:rsidRPr="00A977C4">
        <w:rPr>
          <w:lang w:val="en-US"/>
        </w:rPr>
        <w:t>49.</w:t>
      </w:r>
      <w:r w:rsidRPr="00A977C4">
        <w:rPr>
          <w:lang w:val="en-US"/>
        </w:rPr>
        <w:tab/>
        <w:t xml:space="preserve">Bender R, Lange S. Adjusting for multiple testing – when and how? </w:t>
      </w:r>
      <w:r w:rsidRPr="00A977C4">
        <w:rPr>
          <w:bCs/>
          <w:lang w:val="en-US"/>
        </w:rPr>
        <w:t>J</w:t>
      </w:r>
      <w:r w:rsidRPr="00A977C4">
        <w:rPr>
          <w:lang w:val="en-US"/>
        </w:rPr>
        <w:t xml:space="preserve"> Clin Epidemiol </w:t>
      </w:r>
      <w:r w:rsidRPr="00A977C4">
        <w:rPr>
          <w:bCs/>
          <w:lang w:val="en-US"/>
        </w:rPr>
        <w:t>2001</w:t>
      </w:r>
      <w:r w:rsidRPr="00A977C4">
        <w:rPr>
          <w:lang w:val="en-US"/>
        </w:rPr>
        <w:t>;</w:t>
      </w:r>
      <w:r w:rsidRPr="00A977C4">
        <w:rPr>
          <w:bCs/>
          <w:lang w:val="en-US"/>
        </w:rPr>
        <w:t>54</w:t>
      </w:r>
      <w:r w:rsidRPr="00A977C4">
        <w:rPr>
          <w:lang w:val="en-US"/>
        </w:rPr>
        <w:t>(4):</w:t>
      </w:r>
      <w:r w:rsidRPr="00A977C4">
        <w:rPr>
          <w:bCs/>
          <w:lang w:val="en-US"/>
        </w:rPr>
        <w:t>343</w:t>
      </w:r>
      <w:r w:rsidRPr="00A977C4">
        <w:rPr>
          <w:lang w:val="en-US"/>
        </w:rPr>
        <w:t>-9.</w:t>
      </w:r>
    </w:p>
    <w:p w:rsidR="00471518" w:rsidRPr="004F7E56" w:rsidRDefault="00471518" w:rsidP="00FB63F3">
      <w:pPr>
        <w:rPr>
          <w:rFonts w:ascii="Helvetica" w:hAnsi="Helvetica" w:cstheme="minorHAnsi"/>
          <w:b/>
          <w:sz w:val="24"/>
          <w:lang w:val="en-GB"/>
        </w:rPr>
      </w:pPr>
      <w:r w:rsidRPr="00A977C4">
        <w:rPr>
          <w:rFonts w:ascii="Helvetica" w:hAnsi="Helvetica" w:cstheme="minorHAnsi"/>
          <w:b/>
          <w:szCs w:val="22"/>
          <w:lang w:val="en-US"/>
        </w:rPr>
        <w:br w:type="page"/>
      </w:r>
      <w:r>
        <w:rPr>
          <w:b/>
          <w:sz w:val="28"/>
          <w:lang w:val="en-GB"/>
        </w:rPr>
        <w:lastRenderedPageBreak/>
        <w:t>Table 1</w:t>
      </w:r>
      <w:r w:rsidRPr="00B853D0">
        <w:rPr>
          <w:b/>
          <w:sz w:val="28"/>
          <w:lang w:val="en-GB"/>
        </w:rPr>
        <w:t xml:space="preserve"> </w:t>
      </w:r>
      <w:r w:rsidRPr="00B853D0">
        <w:rPr>
          <w:b/>
          <w:sz w:val="28"/>
          <w:lang w:val="en-US"/>
        </w:rPr>
        <w:t>Baseline characteristics (n=107)</w:t>
      </w:r>
    </w:p>
    <w:tbl>
      <w:tblPr>
        <w:tblStyle w:val="TableGrid"/>
        <w:tblW w:w="7425" w:type="dxa"/>
        <w:tblBorders>
          <w:left w:val="none" w:sz="0" w:space="0" w:color="auto"/>
          <w:right w:val="none" w:sz="0" w:space="0" w:color="auto"/>
        </w:tblBorders>
        <w:tblLook w:val="04A0" w:firstRow="1" w:lastRow="0" w:firstColumn="1" w:lastColumn="0" w:noHBand="0" w:noVBand="1"/>
      </w:tblPr>
      <w:tblGrid>
        <w:gridCol w:w="2906"/>
        <w:gridCol w:w="1623"/>
        <w:gridCol w:w="2896"/>
      </w:tblGrid>
      <w:tr w:rsidR="00471518" w:rsidRPr="00C73AAA" w:rsidTr="00FB63F3">
        <w:tc>
          <w:tcPr>
            <w:tcW w:w="2906" w:type="dxa"/>
            <w:tcBorders>
              <w:bottom w:val="nil"/>
            </w:tcBorders>
            <w:shd w:val="clear" w:color="auto" w:fill="F2F2F2" w:themeFill="background1" w:themeFillShade="F2"/>
          </w:tcPr>
          <w:p w:rsidR="00471518" w:rsidRPr="00C73AAA" w:rsidRDefault="00471518" w:rsidP="00FB63F3">
            <w:pPr>
              <w:spacing w:before="40" w:after="40" w:line="480" w:lineRule="auto"/>
              <w:jc w:val="both"/>
              <w:rPr>
                <w:szCs w:val="22"/>
                <w:lang w:val="en-US"/>
              </w:rPr>
            </w:pPr>
          </w:p>
        </w:tc>
        <w:tc>
          <w:tcPr>
            <w:tcW w:w="1623" w:type="dxa"/>
            <w:tcBorders>
              <w:bottom w:val="nil"/>
            </w:tcBorders>
            <w:shd w:val="clear" w:color="auto" w:fill="F2F2F2" w:themeFill="background1" w:themeFillShade="F2"/>
          </w:tcPr>
          <w:p w:rsidR="00471518" w:rsidRPr="00C73AAA" w:rsidRDefault="00471518" w:rsidP="00FB63F3">
            <w:pPr>
              <w:spacing w:before="40" w:after="40" w:line="480" w:lineRule="auto"/>
              <w:jc w:val="center"/>
              <w:rPr>
                <w:b/>
                <w:szCs w:val="22"/>
                <w:lang w:val="en-US"/>
              </w:rPr>
            </w:pPr>
            <w:r w:rsidRPr="00C73AAA">
              <w:rPr>
                <w:b/>
                <w:szCs w:val="22"/>
                <w:lang w:val="en-US"/>
              </w:rPr>
              <w:t>Patients (%)</w:t>
            </w:r>
          </w:p>
        </w:tc>
        <w:tc>
          <w:tcPr>
            <w:tcW w:w="2896" w:type="dxa"/>
            <w:tcBorders>
              <w:bottom w:val="nil"/>
            </w:tcBorders>
            <w:shd w:val="clear" w:color="auto" w:fill="F2F2F2" w:themeFill="background1" w:themeFillShade="F2"/>
          </w:tcPr>
          <w:p w:rsidR="00471518" w:rsidRPr="00C73AAA" w:rsidRDefault="00471518" w:rsidP="00FB63F3">
            <w:pPr>
              <w:spacing w:before="40" w:after="40" w:line="480" w:lineRule="auto"/>
              <w:jc w:val="center"/>
              <w:rPr>
                <w:b/>
                <w:szCs w:val="22"/>
                <w:lang w:val="en-US"/>
              </w:rPr>
            </w:pPr>
            <w:r w:rsidRPr="00C73AAA">
              <w:rPr>
                <w:b/>
                <w:szCs w:val="22"/>
                <w:lang w:val="en-US"/>
              </w:rPr>
              <w:t>Informal Caregivers (%)</w:t>
            </w:r>
          </w:p>
        </w:tc>
      </w:tr>
      <w:tr w:rsidR="00471518" w:rsidRPr="00C73AAA" w:rsidTr="00FB63F3">
        <w:tc>
          <w:tcPr>
            <w:tcW w:w="2906" w:type="dxa"/>
            <w:tcBorders>
              <w:top w:val="nil"/>
            </w:tcBorders>
          </w:tcPr>
          <w:p w:rsidR="00471518" w:rsidRPr="00C73AAA" w:rsidRDefault="00471518" w:rsidP="00FB63F3">
            <w:pPr>
              <w:spacing w:before="40" w:after="40" w:line="480" w:lineRule="auto"/>
              <w:jc w:val="both"/>
              <w:rPr>
                <w:szCs w:val="22"/>
                <w:lang w:val="en-US"/>
              </w:rPr>
            </w:pPr>
            <w:r w:rsidRPr="00C73AAA">
              <w:rPr>
                <w:szCs w:val="22"/>
                <w:lang w:val="en-US"/>
              </w:rPr>
              <w:t xml:space="preserve">Mean age in years </w:t>
            </w:r>
          </w:p>
          <w:p w:rsidR="00471518" w:rsidRPr="00C73AAA" w:rsidRDefault="00471518" w:rsidP="00FB63F3">
            <w:pPr>
              <w:spacing w:before="40" w:after="40" w:line="480" w:lineRule="auto"/>
              <w:jc w:val="both"/>
              <w:rPr>
                <w:szCs w:val="22"/>
                <w:lang w:val="en-US"/>
              </w:rPr>
            </w:pPr>
            <w:r w:rsidRPr="00C73AAA">
              <w:rPr>
                <w:szCs w:val="22"/>
                <w:lang w:val="en-US"/>
              </w:rPr>
              <w:t>(Min-Max)</w:t>
            </w:r>
          </w:p>
        </w:tc>
        <w:tc>
          <w:tcPr>
            <w:tcW w:w="1623" w:type="dxa"/>
            <w:tcBorders>
              <w:top w:val="nil"/>
            </w:tcBorders>
          </w:tcPr>
          <w:p w:rsidR="00471518" w:rsidRPr="00C73AAA" w:rsidRDefault="00471518" w:rsidP="00FB63F3">
            <w:pPr>
              <w:spacing w:before="40" w:after="40" w:line="480" w:lineRule="auto"/>
              <w:jc w:val="center"/>
              <w:rPr>
                <w:szCs w:val="22"/>
                <w:lang w:val="en-US"/>
              </w:rPr>
            </w:pPr>
            <w:r w:rsidRPr="00C73AAA">
              <w:rPr>
                <w:szCs w:val="22"/>
                <w:lang w:val="en-US"/>
              </w:rPr>
              <w:t xml:space="preserve">59 </w:t>
            </w:r>
          </w:p>
          <w:p w:rsidR="00471518" w:rsidRPr="00C73AAA" w:rsidRDefault="00471518" w:rsidP="00FB63F3">
            <w:pPr>
              <w:spacing w:before="40" w:after="40" w:line="480" w:lineRule="auto"/>
              <w:jc w:val="center"/>
              <w:rPr>
                <w:szCs w:val="22"/>
                <w:lang w:val="en-US"/>
              </w:rPr>
            </w:pPr>
            <w:r w:rsidRPr="00C73AAA">
              <w:rPr>
                <w:szCs w:val="22"/>
                <w:lang w:val="en-US"/>
              </w:rPr>
              <w:t>(30-79)</w:t>
            </w:r>
          </w:p>
        </w:tc>
        <w:tc>
          <w:tcPr>
            <w:tcW w:w="2896" w:type="dxa"/>
            <w:tcBorders>
              <w:top w:val="nil"/>
            </w:tcBorders>
          </w:tcPr>
          <w:p w:rsidR="00471518" w:rsidRPr="00C73AAA" w:rsidRDefault="00471518" w:rsidP="00FB63F3">
            <w:pPr>
              <w:spacing w:before="40" w:after="40" w:line="480" w:lineRule="auto"/>
              <w:jc w:val="center"/>
              <w:rPr>
                <w:szCs w:val="22"/>
                <w:lang w:val="en-US"/>
              </w:rPr>
            </w:pPr>
            <w:r w:rsidRPr="00C73AAA">
              <w:rPr>
                <w:szCs w:val="22"/>
                <w:lang w:val="en-US"/>
              </w:rPr>
              <w:t xml:space="preserve">60 </w:t>
            </w:r>
          </w:p>
          <w:p w:rsidR="00471518" w:rsidRPr="00C73AAA" w:rsidRDefault="00471518" w:rsidP="00FB63F3">
            <w:pPr>
              <w:spacing w:before="40" w:after="40" w:line="480" w:lineRule="auto"/>
              <w:jc w:val="center"/>
              <w:rPr>
                <w:szCs w:val="22"/>
                <w:lang w:val="en-US"/>
              </w:rPr>
            </w:pPr>
            <w:r w:rsidRPr="00C73AAA">
              <w:rPr>
                <w:szCs w:val="22"/>
                <w:lang w:val="en-US"/>
              </w:rPr>
              <w:t>(27-80)</w:t>
            </w:r>
          </w:p>
        </w:tc>
      </w:tr>
      <w:tr w:rsidR="00471518" w:rsidRPr="00C73AAA" w:rsidTr="00FB63F3">
        <w:tc>
          <w:tcPr>
            <w:tcW w:w="2906" w:type="dxa"/>
          </w:tcPr>
          <w:p w:rsidR="00471518" w:rsidRPr="00C73AAA" w:rsidRDefault="00471518" w:rsidP="00FB63F3">
            <w:pPr>
              <w:spacing w:before="40" w:after="40" w:line="480" w:lineRule="auto"/>
              <w:jc w:val="both"/>
              <w:rPr>
                <w:i/>
                <w:szCs w:val="22"/>
                <w:lang w:val="en-US"/>
              </w:rPr>
            </w:pPr>
            <w:r w:rsidRPr="00C73AAA">
              <w:rPr>
                <w:i/>
                <w:szCs w:val="22"/>
                <w:lang w:val="en-US"/>
              </w:rPr>
              <w:t xml:space="preserve">Gender: </w:t>
            </w:r>
          </w:p>
          <w:p w:rsidR="00471518" w:rsidRPr="00C73AAA" w:rsidRDefault="00471518" w:rsidP="00FB63F3">
            <w:pPr>
              <w:spacing w:before="40" w:after="40" w:line="480" w:lineRule="auto"/>
              <w:jc w:val="both"/>
              <w:rPr>
                <w:szCs w:val="22"/>
                <w:lang w:val="en-US"/>
              </w:rPr>
            </w:pPr>
            <w:r w:rsidRPr="00C73AAA">
              <w:rPr>
                <w:szCs w:val="22"/>
                <w:lang w:val="en-US"/>
              </w:rPr>
              <w:t>Male</w:t>
            </w:r>
          </w:p>
          <w:p w:rsidR="00471518" w:rsidRPr="00C73AAA" w:rsidRDefault="00471518" w:rsidP="00FB63F3">
            <w:pPr>
              <w:spacing w:before="40" w:after="40" w:line="480" w:lineRule="auto"/>
              <w:jc w:val="both"/>
              <w:rPr>
                <w:szCs w:val="22"/>
                <w:lang w:val="en-US"/>
              </w:rPr>
            </w:pPr>
            <w:r w:rsidRPr="00C73AAA">
              <w:rPr>
                <w:szCs w:val="22"/>
                <w:lang w:val="en-US"/>
              </w:rPr>
              <w:t>Female</w:t>
            </w:r>
          </w:p>
        </w:tc>
        <w:tc>
          <w:tcPr>
            <w:tcW w:w="1623" w:type="dxa"/>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43 (40.2)</w:t>
            </w:r>
          </w:p>
          <w:p w:rsidR="00471518" w:rsidRPr="00C73AAA" w:rsidRDefault="00471518" w:rsidP="00FB63F3">
            <w:pPr>
              <w:spacing w:before="40" w:after="40" w:line="480" w:lineRule="auto"/>
              <w:jc w:val="center"/>
              <w:rPr>
                <w:szCs w:val="22"/>
                <w:lang w:val="en-US"/>
              </w:rPr>
            </w:pPr>
            <w:r w:rsidRPr="00C73AAA">
              <w:rPr>
                <w:szCs w:val="22"/>
                <w:lang w:val="en-US"/>
              </w:rPr>
              <w:t>64 (59.8)</w:t>
            </w:r>
          </w:p>
        </w:tc>
        <w:tc>
          <w:tcPr>
            <w:tcW w:w="2896" w:type="dxa"/>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55 (51.4)</w:t>
            </w:r>
          </w:p>
          <w:p w:rsidR="00471518" w:rsidRPr="00C73AAA" w:rsidRDefault="00471518" w:rsidP="00FB63F3">
            <w:pPr>
              <w:spacing w:before="40" w:after="40" w:line="480" w:lineRule="auto"/>
              <w:jc w:val="center"/>
              <w:rPr>
                <w:szCs w:val="22"/>
                <w:lang w:val="en-US"/>
              </w:rPr>
            </w:pPr>
            <w:r w:rsidRPr="00C73AAA">
              <w:rPr>
                <w:szCs w:val="22"/>
                <w:lang w:val="en-US"/>
              </w:rPr>
              <w:t>52 (48.6)</w:t>
            </w:r>
          </w:p>
        </w:tc>
      </w:tr>
      <w:tr w:rsidR="00471518" w:rsidRPr="00C73AAA" w:rsidTr="00FB63F3">
        <w:tc>
          <w:tcPr>
            <w:tcW w:w="2906" w:type="dxa"/>
          </w:tcPr>
          <w:p w:rsidR="00471518" w:rsidRPr="00C73AAA" w:rsidRDefault="00471518" w:rsidP="00FB63F3">
            <w:pPr>
              <w:spacing w:before="40" w:after="40" w:line="480" w:lineRule="auto"/>
              <w:jc w:val="both"/>
              <w:rPr>
                <w:i/>
                <w:szCs w:val="22"/>
                <w:lang w:val="en-US"/>
              </w:rPr>
            </w:pPr>
            <w:r w:rsidRPr="00C73AAA">
              <w:rPr>
                <w:i/>
                <w:szCs w:val="22"/>
                <w:lang w:val="en-US"/>
              </w:rPr>
              <w:t xml:space="preserve">Relation to patient: </w:t>
            </w:r>
          </w:p>
          <w:p w:rsidR="00471518" w:rsidRPr="00C73AAA" w:rsidRDefault="00471518" w:rsidP="00FB63F3">
            <w:pPr>
              <w:spacing w:before="40" w:after="40" w:line="480" w:lineRule="auto"/>
              <w:jc w:val="both"/>
              <w:rPr>
                <w:szCs w:val="22"/>
                <w:lang w:val="en-US"/>
              </w:rPr>
            </w:pPr>
            <w:r w:rsidRPr="00C73AAA">
              <w:rPr>
                <w:szCs w:val="22"/>
                <w:lang w:val="en-US"/>
              </w:rPr>
              <w:t>Partner</w:t>
            </w:r>
          </w:p>
          <w:p w:rsidR="00471518" w:rsidRPr="00C73AAA" w:rsidRDefault="00471518" w:rsidP="00FB63F3">
            <w:pPr>
              <w:spacing w:before="40" w:after="40" w:line="480" w:lineRule="auto"/>
              <w:jc w:val="both"/>
              <w:rPr>
                <w:szCs w:val="22"/>
                <w:lang w:val="en-US"/>
              </w:rPr>
            </w:pPr>
            <w:r w:rsidRPr="00C73AAA">
              <w:rPr>
                <w:szCs w:val="22"/>
                <w:lang w:val="en-US"/>
              </w:rPr>
              <w:t>Other</w:t>
            </w:r>
          </w:p>
        </w:tc>
        <w:tc>
          <w:tcPr>
            <w:tcW w:w="1623" w:type="dxa"/>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p>
        </w:tc>
        <w:tc>
          <w:tcPr>
            <w:tcW w:w="2896" w:type="dxa"/>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96 (89.7)</w:t>
            </w:r>
          </w:p>
          <w:p w:rsidR="00471518" w:rsidRPr="00C73AAA" w:rsidRDefault="00471518" w:rsidP="00FB63F3">
            <w:pPr>
              <w:spacing w:before="40" w:after="40" w:line="480" w:lineRule="auto"/>
              <w:jc w:val="center"/>
              <w:rPr>
                <w:szCs w:val="22"/>
                <w:lang w:val="en-US"/>
              </w:rPr>
            </w:pPr>
            <w:r w:rsidRPr="00C73AAA">
              <w:rPr>
                <w:szCs w:val="22"/>
                <w:lang w:val="en-US"/>
              </w:rPr>
              <w:t>11 (10.3)</w:t>
            </w:r>
          </w:p>
        </w:tc>
      </w:tr>
      <w:tr w:rsidR="00471518" w:rsidRPr="00C73AAA" w:rsidTr="00FB63F3">
        <w:tc>
          <w:tcPr>
            <w:tcW w:w="2906" w:type="dxa"/>
          </w:tcPr>
          <w:p w:rsidR="00471518" w:rsidRPr="00C73AAA" w:rsidRDefault="00471518" w:rsidP="00FB63F3">
            <w:pPr>
              <w:spacing w:before="40" w:after="40" w:line="480" w:lineRule="auto"/>
              <w:jc w:val="both"/>
              <w:rPr>
                <w:i/>
                <w:szCs w:val="22"/>
                <w:lang w:val="en-US"/>
              </w:rPr>
            </w:pPr>
            <w:r w:rsidRPr="00C73AAA">
              <w:rPr>
                <w:i/>
                <w:szCs w:val="22"/>
                <w:lang w:val="en-US"/>
              </w:rPr>
              <w:t>Tumor type:</w:t>
            </w:r>
          </w:p>
          <w:p w:rsidR="00471518" w:rsidRPr="00C73AAA" w:rsidRDefault="00471518" w:rsidP="00FB63F3">
            <w:pPr>
              <w:spacing w:before="40" w:after="40" w:line="480" w:lineRule="auto"/>
              <w:jc w:val="both"/>
              <w:rPr>
                <w:szCs w:val="22"/>
                <w:lang w:val="en-US"/>
              </w:rPr>
            </w:pPr>
            <w:r w:rsidRPr="00C73AAA">
              <w:rPr>
                <w:szCs w:val="22"/>
                <w:lang w:val="en-US"/>
              </w:rPr>
              <w:t>Gastrointestinal</w:t>
            </w:r>
          </w:p>
          <w:p w:rsidR="00471518" w:rsidRPr="00C73AAA" w:rsidRDefault="00471518" w:rsidP="00FB63F3">
            <w:pPr>
              <w:spacing w:before="40" w:after="40" w:line="480" w:lineRule="auto"/>
              <w:jc w:val="both"/>
              <w:rPr>
                <w:szCs w:val="22"/>
                <w:lang w:val="en-US"/>
              </w:rPr>
            </w:pPr>
            <w:r w:rsidRPr="00C73AAA">
              <w:rPr>
                <w:szCs w:val="22"/>
                <w:lang w:val="en-US"/>
              </w:rPr>
              <w:t>Breast</w:t>
            </w:r>
          </w:p>
          <w:p w:rsidR="00471518" w:rsidRPr="00C73AAA" w:rsidRDefault="00471518" w:rsidP="00FB63F3">
            <w:pPr>
              <w:spacing w:before="40" w:after="40" w:line="480" w:lineRule="auto"/>
              <w:jc w:val="both"/>
              <w:rPr>
                <w:szCs w:val="22"/>
                <w:lang w:val="en-US"/>
              </w:rPr>
            </w:pPr>
            <w:r w:rsidRPr="001D2FB2">
              <w:rPr>
                <w:szCs w:val="22"/>
                <w:lang w:val="en-GB"/>
              </w:rPr>
              <w:t>Urogenital</w:t>
            </w:r>
          </w:p>
          <w:p w:rsidR="00471518" w:rsidRPr="00C73AAA" w:rsidRDefault="00471518" w:rsidP="00FB63F3">
            <w:pPr>
              <w:spacing w:before="40" w:after="40" w:line="480" w:lineRule="auto"/>
              <w:jc w:val="both"/>
              <w:rPr>
                <w:szCs w:val="22"/>
                <w:lang w:val="en-US"/>
              </w:rPr>
            </w:pPr>
            <w:r w:rsidRPr="00C73AAA">
              <w:rPr>
                <w:szCs w:val="22"/>
                <w:lang w:val="en-US"/>
              </w:rPr>
              <w:t>Bone and soft tissue</w:t>
            </w:r>
          </w:p>
          <w:p w:rsidR="00471518" w:rsidRPr="00C73AAA" w:rsidRDefault="00471518" w:rsidP="00FB63F3">
            <w:pPr>
              <w:spacing w:before="40" w:after="40" w:line="480" w:lineRule="auto"/>
              <w:jc w:val="both"/>
              <w:rPr>
                <w:szCs w:val="22"/>
                <w:lang w:val="en-US"/>
              </w:rPr>
            </w:pPr>
            <w:r w:rsidRPr="00C73AAA">
              <w:rPr>
                <w:szCs w:val="22"/>
                <w:lang w:val="en-US"/>
              </w:rPr>
              <w:t>Gynecologic</w:t>
            </w:r>
          </w:p>
          <w:p w:rsidR="00471518" w:rsidRPr="00C73AAA" w:rsidRDefault="00471518" w:rsidP="00FB63F3">
            <w:pPr>
              <w:spacing w:before="40" w:after="40" w:line="480" w:lineRule="auto"/>
              <w:jc w:val="both"/>
              <w:rPr>
                <w:szCs w:val="22"/>
                <w:lang w:val="en-US"/>
              </w:rPr>
            </w:pPr>
            <w:r w:rsidRPr="00C73AAA">
              <w:rPr>
                <w:szCs w:val="22"/>
                <w:lang w:val="en-US"/>
              </w:rPr>
              <w:t>Other</w:t>
            </w:r>
          </w:p>
        </w:tc>
        <w:tc>
          <w:tcPr>
            <w:tcW w:w="1623" w:type="dxa"/>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31 (29.0)</w:t>
            </w:r>
          </w:p>
          <w:p w:rsidR="00471518" w:rsidRPr="00C73AAA" w:rsidRDefault="00471518" w:rsidP="00FB63F3">
            <w:pPr>
              <w:spacing w:before="40" w:after="40" w:line="480" w:lineRule="auto"/>
              <w:jc w:val="center"/>
              <w:rPr>
                <w:szCs w:val="22"/>
                <w:lang w:val="en-US"/>
              </w:rPr>
            </w:pPr>
            <w:r w:rsidRPr="00C73AAA">
              <w:rPr>
                <w:szCs w:val="22"/>
                <w:lang w:val="en-US"/>
              </w:rPr>
              <w:t>28 (26.2)</w:t>
            </w:r>
          </w:p>
          <w:p w:rsidR="00471518" w:rsidRPr="00C73AAA" w:rsidRDefault="00471518" w:rsidP="00FB63F3">
            <w:pPr>
              <w:spacing w:before="40" w:after="40" w:line="480" w:lineRule="auto"/>
              <w:jc w:val="center"/>
              <w:rPr>
                <w:szCs w:val="22"/>
                <w:lang w:val="en-US"/>
              </w:rPr>
            </w:pPr>
            <w:r w:rsidRPr="00C73AAA">
              <w:rPr>
                <w:szCs w:val="22"/>
                <w:lang w:val="en-US"/>
              </w:rPr>
              <w:t>13 (12.1)</w:t>
            </w:r>
          </w:p>
          <w:p w:rsidR="00471518" w:rsidRPr="00C73AAA" w:rsidRDefault="00471518" w:rsidP="00FB63F3">
            <w:pPr>
              <w:spacing w:before="40" w:after="40" w:line="480" w:lineRule="auto"/>
              <w:jc w:val="center"/>
              <w:rPr>
                <w:szCs w:val="22"/>
                <w:lang w:val="en-US"/>
              </w:rPr>
            </w:pPr>
            <w:r w:rsidRPr="00C73AAA">
              <w:rPr>
                <w:szCs w:val="22"/>
                <w:lang w:val="en-US"/>
              </w:rPr>
              <w:t>11 (10.3)</w:t>
            </w:r>
          </w:p>
          <w:p w:rsidR="00471518" w:rsidRPr="00C73AAA" w:rsidRDefault="00471518" w:rsidP="00FB63F3">
            <w:pPr>
              <w:spacing w:before="40" w:after="40" w:line="480" w:lineRule="auto"/>
              <w:jc w:val="center"/>
              <w:rPr>
                <w:szCs w:val="22"/>
                <w:lang w:val="en-US"/>
              </w:rPr>
            </w:pPr>
            <w:r w:rsidRPr="00C73AAA">
              <w:rPr>
                <w:szCs w:val="22"/>
                <w:lang w:val="en-US"/>
              </w:rPr>
              <w:t>10 (9.3)</w:t>
            </w:r>
          </w:p>
          <w:p w:rsidR="00471518" w:rsidRPr="00C73AAA" w:rsidRDefault="00471518" w:rsidP="00FB63F3">
            <w:pPr>
              <w:spacing w:before="40" w:after="40" w:line="480" w:lineRule="auto"/>
              <w:jc w:val="center"/>
              <w:rPr>
                <w:szCs w:val="22"/>
                <w:lang w:val="en-US"/>
              </w:rPr>
            </w:pPr>
            <w:r w:rsidRPr="00C73AAA">
              <w:rPr>
                <w:szCs w:val="22"/>
                <w:lang w:val="en-US"/>
              </w:rPr>
              <w:t>14 (13.1)</w:t>
            </w:r>
          </w:p>
        </w:tc>
        <w:tc>
          <w:tcPr>
            <w:tcW w:w="2896" w:type="dxa"/>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p>
        </w:tc>
      </w:tr>
      <w:tr w:rsidR="00471518" w:rsidRPr="00C73AAA" w:rsidTr="00FB63F3">
        <w:tc>
          <w:tcPr>
            <w:tcW w:w="2906" w:type="dxa"/>
          </w:tcPr>
          <w:p w:rsidR="00471518" w:rsidRPr="00C73AAA" w:rsidRDefault="00471518" w:rsidP="00FB63F3">
            <w:pPr>
              <w:spacing w:before="40" w:after="40" w:line="480" w:lineRule="auto"/>
              <w:jc w:val="both"/>
              <w:rPr>
                <w:i/>
                <w:szCs w:val="22"/>
                <w:lang w:val="en-US"/>
              </w:rPr>
            </w:pPr>
            <w:r w:rsidRPr="00C73AAA">
              <w:rPr>
                <w:i/>
                <w:szCs w:val="22"/>
                <w:lang w:val="en-US"/>
              </w:rPr>
              <w:t>Treatment modality:</w:t>
            </w:r>
          </w:p>
          <w:p w:rsidR="00471518" w:rsidRPr="00C73AAA" w:rsidRDefault="00471518" w:rsidP="00FB63F3">
            <w:pPr>
              <w:spacing w:before="40" w:after="40" w:line="480" w:lineRule="auto"/>
              <w:jc w:val="both"/>
              <w:rPr>
                <w:szCs w:val="22"/>
                <w:lang w:val="en-US"/>
              </w:rPr>
            </w:pPr>
            <w:r w:rsidRPr="00C73AAA">
              <w:rPr>
                <w:szCs w:val="22"/>
                <w:lang w:val="en-US"/>
              </w:rPr>
              <w:t>Chemotherapy</w:t>
            </w:r>
          </w:p>
          <w:p w:rsidR="00471518" w:rsidRPr="00C73AAA" w:rsidRDefault="00471518" w:rsidP="00FB63F3">
            <w:pPr>
              <w:spacing w:before="40" w:after="40" w:line="480" w:lineRule="auto"/>
              <w:jc w:val="both"/>
              <w:rPr>
                <w:szCs w:val="22"/>
                <w:lang w:val="en-US"/>
              </w:rPr>
            </w:pPr>
            <w:r w:rsidRPr="00C73AAA">
              <w:rPr>
                <w:szCs w:val="22"/>
                <w:lang w:val="en-US"/>
              </w:rPr>
              <w:t>Targeted therapy</w:t>
            </w:r>
          </w:p>
          <w:p w:rsidR="00471518" w:rsidRPr="00C73AAA" w:rsidRDefault="00471518" w:rsidP="00FB63F3">
            <w:pPr>
              <w:spacing w:before="40" w:after="40" w:line="480" w:lineRule="auto"/>
              <w:jc w:val="both"/>
              <w:rPr>
                <w:szCs w:val="22"/>
                <w:lang w:val="en-US"/>
              </w:rPr>
            </w:pPr>
            <w:r w:rsidRPr="00C73AAA">
              <w:rPr>
                <w:szCs w:val="22"/>
                <w:lang w:val="en-US"/>
              </w:rPr>
              <w:t>Hormonal therapy</w:t>
            </w:r>
          </w:p>
          <w:p w:rsidR="00471518" w:rsidRPr="00C73AAA" w:rsidRDefault="00471518" w:rsidP="00FB63F3">
            <w:pPr>
              <w:spacing w:before="40" w:after="40" w:line="480" w:lineRule="auto"/>
              <w:jc w:val="both"/>
              <w:rPr>
                <w:szCs w:val="22"/>
                <w:lang w:val="en-US"/>
              </w:rPr>
            </w:pPr>
            <w:r w:rsidRPr="00C73AAA">
              <w:rPr>
                <w:szCs w:val="22"/>
                <w:lang w:val="en-US"/>
              </w:rPr>
              <w:t>Chemo + Targeted therapy</w:t>
            </w:r>
          </w:p>
          <w:p w:rsidR="00471518" w:rsidRPr="00C73AAA" w:rsidRDefault="00471518" w:rsidP="00FB63F3">
            <w:pPr>
              <w:spacing w:before="40" w:after="40" w:line="480" w:lineRule="auto"/>
              <w:jc w:val="both"/>
              <w:rPr>
                <w:szCs w:val="22"/>
                <w:lang w:val="en-US"/>
              </w:rPr>
            </w:pPr>
            <w:r w:rsidRPr="00C73AAA">
              <w:rPr>
                <w:szCs w:val="22"/>
                <w:lang w:val="en-US"/>
              </w:rPr>
              <w:t>Other</w:t>
            </w:r>
          </w:p>
        </w:tc>
        <w:tc>
          <w:tcPr>
            <w:tcW w:w="1623" w:type="dxa"/>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55 (51.4)</w:t>
            </w:r>
          </w:p>
          <w:p w:rsidR="00471518" w:rsidRPr="00C73AAA" w:rsidRDefault="00471518" w:rsidP="00FB63F3">
            <w:pPr>
              <w:spacing w:before="40" w:after="40" w:line="480" w:lineRule="auto"/>
              <w:jc w:val="center"/>
              <w:rPr>
                <w:szCs w:val="22"/>
                <w:lang w:val="en-US"/>
              </w:rPr>
            </w:pPr>
            <w:r w:rsidRPr="00C73AAA">
              <w:rPr>
                <w:szCs w:val="22"/>
                <w:lang w:val="en-US"/>
              </w:rPr>
              <w:t>19 (17.8)</w:t>
            </w:r>
          </w:p>
          <w:p w:rsidR="00471518" w:rsidRPr="00C73AAA" w:rsidRDefault="00471518" w:rsidP="00FB63F3">
            <w:pPr>
              <w:spacing w:before="40" w:after="40" w:line="480" w:lineRule="auto"/>
              <w:jc w:val="center"/>
              <w:rPr>
                <w:szCs w:val="22"/>
                <w:lang w:val="en-US"/>
              </w:rPr>
            </w:pPr>
            <w:r w:rsidRPr="00C73AAA">
              <w:rPr>
                <w:szCs w:val="22"/>
                <w:lang w:val="en-US"/>
              </w:rPr>
              <w:t>13 (12.1)</w:t>
            </w:r>
          </w:p>
          <w:p w:rsidR="00471518" w:rsidRPr="00C73AAA" w:rsidRDefault="00471518" w:rsidP="00FB63F3">
            <w:pPr>
              <w:spacing w:before="40" w:after="40" w:line="480" w:lineRule="auto"/>
              <w:jc w:val="center"/>
              <w:rPr>
                <w:szCs w:val="22"/>
                <w:lang w:val="en-US"/>
              </w:rPr>
            </w:pPr>
            <w:r w:rsidRPr="00C73AAA">
              <w:rPr>
                <w:szCs w:val="22"/>
                <w:lang w:val="en-US"/>
              </w:rPr>
              <w:t>15 (14.0)</w:t>
            </w:r>
          </w:p>
          <w:p w:rsidR="00471518" w:rsidRPr="00C73AAA" w:rsidRDefault="00471518" w:rsidP="00FB63F3">
            <w:pPr>
              <w:spacing w:before="40" w:after="40" w:line="480" w:lineRule="auto"/>
              <w:jc w:val="center"/>
              <w:rPr>
                <w:szCs w:val="22"/>
                <w:lang w:val="en-US"/>
              </w:rPr>
            </w:pPr>
            <w:r w:rsidRPr="00C73AAA">
              <w:rPr>
                <w:szCs w:val="22"/>
                <w:lang w:val="en-US"/>
              </w:rPr>
              <w:t>5 (4.7)</w:t>
            </w:r>
          </w:p>
        </w:tc>
        <w:tc>
          <w:tcPr>
            <w:tcW w:w="2896" w:type="dxa"/>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p>
        </w:tc>
      </w:tr>
    </w:tbl>
    <w:p w:rsidR="00471518" w:rsidRDefault="00471518" w:rsidP="00FB63F3">
      <w:pPr>
        <w:rPr>
          <w:rFonts w:asciiTheme="minorHAnsi" w:hAnsiTheme="minorHAnsi" w:cstheme="minorHAnsi"/>
          <w:b/>
          <w:sz w:val="20"/>
          <w:lang w:val="en-US"/>
        </w:rPr>
        <w:sectPr w:rsidR="00471518" w:rsidSect="00FB63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471518" w:rsidRPr="001A184A" w:rsidRDefault="00471518" w:rsidP="00FB63F3">
      <w:pPr>
        <w:autoSpaceDE w:val="0"/>
        <w:autoSpaceDN w:val="0"/>
        <w:adjustRightInd w:val="0"/>
        <w:rPr>
          <w:b/>
          <w:sz w:val="28"/>
          <w:lang w:val="en-US"/>
        </w:rPr>
      </w:pPr>
      <w:r w:rsidRPr="001A184A">
        <w:rPr>
          <w:b/>
          <w:sz w:val="28"/>
          <w:lang w:val="en-US"/>
        </w:rPr>
        <w:lastRenderedPageBreak/>
        <w:t>Figure 1</w:t>
      </w:r>
      <w:r>
        <w:rPr>
          <w:b/>
          <w:sz w:val="28"/>
          <w:lang w:val="en-US"/>
        </w:rPr>
        <w:t>A</w:t>
      </w:r>
      <w:r w:rsidRPr="001A184A">
        <w:rPr>
          <w:b/>
          <w:sz w:val="28"/>
          <w:lang w:val="en-US"/>
        </w:rPr>
        <w:t xml:space="preserve"> Bland-Altman plot for agreement at T0 (n=69)</w:t>
      </w:r>
    </w:p>
    <w:p w:rsidR="00471518" w:rsidRPr="00E87FD5" w:rsidRDefault="00471518" w:rsidP="00FB63F3">
      <w:pPr>
        <w:autoSpaceDE w:val="0"/>
        <w:autoSpaceDN w:val="0"/>
        <w:adjustRightInd w:val="0"/>
        <w:rPr>
          <w:b/>
          <w:sz w:val="28"/>
          <w:highlight w:val="yellow"/>
          <w:lang w:val="en-US"/>
        </w:rPr>
      </w:pPr>
    </w:p>
    <w:p w:rsidR="00471518" w:rsidRDefault="00471518" w:rsidP="00FB63F3">
      <w:pPr>
        <w:autoSpaceDE w:val="0"/>
        <w:autoSpaceDN w:val="0"/>
        <w:adjustRightInd w:val="0"/>
        <w:rPr>
          <w:sz w:val="24"/>
          <w:szCs w:val="24"/>
        </w:rPr>
      </w:pPr>
      <w:r w:rsidRPr="009D6624">
        <w:rPr>
          <w:noProof/>
          <w:szCs w:val="24"/>
          <w:lang w:val="en-GB" w:eastAsia="en-GB"/>
        </w:rPr>
        <w:drawing>
          <wp:inline distT="0" distB="0" distL="0" distR="0">
            <wp:extent cx="5991225" cy="51816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91225" cy="5181600"/>
                    </a:xfrm>
                    <a:prstGeom prst="rect">
                      <a:avLst/>
                    </a:prstGeom>
                    <a:noFill/>
                    <a:ln w="9525">
                      <a:noFill/>
                      <a:miter lim="800000"/>
                      <a:headEnd/>
                      <a:tailEnd/>
                    </a:ln>
                  </pic:spPr>
                </pic:pic>
              </a:graphicData>
            </a:graphic>
          </wp:inline>
        </w:drawing>
      </w:r>
    </w:p>
    <w:p w:rsidR="00471518" w:rsidRPr="001A184A" w:rsidRDefault="00471518" w:rsidP="00FB63F3">
      <w:pPr>
        <w:autoSpaceDE w:val="0"/>
        <w:autoSpaceDN w:val="0"/>
        <w:adjustRightInd w:val="0"/>
        <w:rPr>
          <w:b/>
          <w:sz w:val="28"/>
          <w:lang w:val="en-US"/>
        </w:rPr>
      </w:pPr>
      <w:r w:rsidRPr="001A184A">
        <w:rPr>
          <w:b/>
          <w:sz w:val="28"/>
          <w:lang w:val="en-US"/>
        </w:rPr>
        <w:lastRenderedPageBreak/>
        <w:t>Figure 1B Bland-Altman plot for agreement at T1 (n=69)</w:t>
      </w:r>
    </w:p>
    <w:p w:rsidR="00471518" w:rsidRPr="00E87FD5" w:rsidRDefault="00471518" w:rsidP="00FB63F3">
      <w:pPr>
        <w:autoSpaceDE w:val="0"/>
        <w:autoSpaceDN w:val="0"/>
        <w:adjustRightInd w:val="0"/>
        <w:rPr>
          <w:sz w:val="24"/>
          <w:szCs w:val="24"/>
          <w:lang w:val="en-US"/>
        </w:rPr>
      </w:pPr>
    </w:p>
    <w:p w:rsidR="00471518" w:rsidRPr="00E87FD5" w:rsidRDefault="00471518" w:rsidP="00FB63F3">
      <w:pPr>
        <w:autoSpaceDE w:val="0"/>
        <w:autoSpaceDN w:val="0"/>
        <w:adjustRightInd w:val="0"/>
        <w:rPr>
          <w:sz w:val="24"/>
          <w:szCs w:val="24"/>
          <w:lang w:val="en-US"/>
        </w:rPr>
      </w:pPr>
    </w:p>
    <w:p w:rsidR="00471518" w:rsidRDefault="00471518" w:rsidP="00FB63F3">
      <w:pPr>
        <w:autoSpaceDE w:val="0"/>
        <w:autoSpaceDN w:val="0"/>
        <w:adjustRightInd w:val="0"/>
        <w:rPr>
          <w:b/>
          <w:sz w:val="28"/>
          <w:highlight w:val="yellow"/>
          <w:lang w:val="en-US"/>
        </w:rPr>
      </w:pPr>
      <w:r w:rsidRPr="009D6624">
        <w:rPr>
          <w:noProof/>
          <w:lang w:val="en-GB" w:eastAsia="en-GB"/>
        </w:rPr>
        <w:drawing>
          <wp:inline distT="0" distB="0" distL="0" distR="0">
            <wp:extent cx="5994538" cy="5180400"/>
            <wp:effectExtent l="19050" t="0" r="6212" b="0"/>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5" cstate="print"/>
                    <a:srcRect/>
                    <a:stretch>
                      <a:fillRect/>
                    </a:stretch>
                  </pic:blipFill>
                  <pic:spPr bwMode="auto">
                    <a:xfrm>
                      <a:off x="0" y="0"/>
                      <a:ext cx="5994538" cy="5180400"/>
                    </a:xfrm>
                    <a:prstGeom prst="rect">
                      <a:avLst/>
                    </a:prstGeom>
                    <a:noFill/>
                    <a:ln w="9525">
                      <a:noFill/>
                      <a:miter lim="800000"/>
                      <a:headEnd/>
                      <a:tailEnd/>
                    </a:ln>
                  </pic:spPr>
                </pic:pic>
              </a:graphicData>
            </a:graphic>
          </wp:inline>
        </w:drawing>
      </w:r>
    </w:p>
    <w:p w:rsidR="00471518" w:rsidRDefault="00471518" w:rsidP="00FB63F3">
      <w:pPr>
        <w:rPr>
          <w:b/>
          <w:sz w:val="28"/>
          <w:lang w:val="en-US"/>
        </w:rPr>
      </w:pPr>
      <w:r w:rsidRPr="001A184A">
        <w:rPr>
          <w:b/>
          <w:sz w:val="28"/>
          <w:lang w:val="en-US"/>
        </w:rPr>
        <w:lastRenderedPageBreak/>
        <w:t>Table 2 Descriptives of patient and caregivers variables for dyads who completed both T0 and T1 (n=69)</w:t>
      </w:r>
    </w:p>
    <w:p w:rsidR="00471518" w:rsidRPr="00057216" w:rsidRDefault="00471518" w:rsidP="00FB63F3">
      <w:pPr>
        <w:rPr>
          <w:b/>
          <w:sz w:val="24"/>
          <w:lang w:val="en-US"/>
        </w:rPr>
      </w:pPr>
    </w:p>
    <w:tbl>
      <w:tblPr>
        <w:tblStyle w:val="TableGrid"/>
        <w:tblW w:w="8393" w:type="dxa"/>
        <w:tblInd w:w="108" w:type="dxa"/>
        <w:tblLayout w:type="fixed"/>
        <w:tblLook w:val="04A0" w:firstRow="1" w:lastRow="0" w:firstColumn="1" w:lastColumn="0" w:noHBand="0" w:noVBand="1"/>
      </w:tblPr>
      <w:tblGrid>
        <w:gridCol w:w="3449"/>
        <w:gridCol w:w="1163"/>
        <w:gridCol w:w="821"/>
        <w:gridCol w:w="546"/>
        <w:gridCol w:w="1047"/>
        <w:gridCol w:w="821"/>
        <w:gridCol w:w="546"/>
      </w:tblGrid>
      <w:tr w:rsidR="00471518" w:rsidRPr="00314178" w:rsidTr="00FB63F3">
        <w:tc>
          <w:tcPr>
            <w:tcW w:w="3449" w:type="dxa"/>
            <w:tcBorders>
              <w:left w:val="nil"/>
              <w:bottom w:val="nil"/>
            </w:tcBorders>
            <w:shd w:val="clear" w:color="auto" w:fill="auto"/>
            <w:vAlign w:val="center"/>
          </w:tcPr>
          <w:p w:rsidR="00471518" w:rsidRPr="00314178" w:rsidRDefault="00471518" w:rsidP="00FB63F3">
            <w:pPr>
              <w:spacing w:before="40" w:after="40" w:line="480" w:lineRule="auto"/>
              <w:rPr>
                <w:b/>
                <w:szCs w:val="22"/>
                <w:lang w:val="en-US"/>
              </w:rPr>
            </w:pPr>
          </w:p>
        </w:tc>
        <w:tc>
          <w:tcPr>
            <w:tcW w:w="2530" w:type="dxa"/>
            <w:gridSpan w:val="3"/>
            <w:tcBorders>
              <w:bottom w:val="nil"/>
              <w:right w:val="single" w:sz="4" w:space="0" w:color="auto"/>
            </w:tcBorders>
            <w:shd w:val="clear" w:color="auto" w:fill="auto"/>
            <w:vAlign w:val="center"/>
          </w:tcPr>
          <w:p w:rsidR="00471518" w:rsidRPr="00314178" w:rsidRDefault="00471518" w:rsidP="00FB63F3">
            <w:pPr>
              <w:spacing w:before="40" w:after="40" w:line="480" w:lineRule="auto"/>
              <w:jc w:val="center"/>
              <w:rPr>
                <w:b/>
                <w:szCs w:val="22"/>
                <w:lang w:val="en-US"/>
              </w:rPr>
            </w:pPr>
            <w:r w:rsidRPr="00314178">
              <w:rPr>
                <w:b/>
                <w:szCs w:val="22"/>
                <w:lang w:val="en-US"/>
              </w:rPr>
              <w:t>Descriptives T0</w:t>
            </w:r>
          </w:p>
        </w:tc>
        <w:tc>
          <w:tcPr>
            <w:tcW w:w="2414" w:type="dxa"/>
            <w:gridSpan w:val="3"/>
            <w:tcBorders>
              <w:bottom w:val="single" w:sz="4" w:space="0" w:color="auto"/>
              <w:right w:val="nil"/>
            </w:tcBorders>
          </w:tcPr>
          <w:p w:rsidR="00471518" w:rsidRPr="00314178" w:rsidRDefault="00471518" w:rsidP="00FB63F3">
            <w:pPr>
              <w:spacing w:before="40" w:after="40" w:line="480" w:lineRule="auto"/>
              <w:jc w:val="center"/>
              <w:rPr>
                <w:b/>
                <w:szCs w:val="22"/>
                <w:lang w:val="en-US"/>
              </w:rPr>
            </w:pPr>
            <w:r w:rsidRPr="00314178">
              <w:rPr>
                <w:b/>
                <w:szCs w:val="22"/>
                <w:lang w:val="en-US"/>
              </w:rPr>
              <w:t>Descriptives T1</w:t>
            </w:r>
          </w:p>
        </w:tc>
      </w:tr>
      <w:tr w:rsidR="00471518" w:rsidRPr="00314178" w:rsidTr="00FB63F3">
        <w:tc>
          <w:tcPr>
            <w:tcW w:w="3449" w:type="dxa"/>
            <w:tcBorders>
              <w:left w:val="nil"/>
              <w:bottom w:val="nil"/>
            </w:tcBorders>
            <w:shd w:val="clear" w:color="auto" w:fill="F2F2F2" w:themeFill="background1" w:themeFillShade="F2"/>
            <w:vAlign w:val="center"/>
          </w:tcPr>
          <w:p w:rsidR="00471518" w:rsidRPr="00314178" w:rsidRDefault="00471518" w:rsidP="00FB63F3">
            <w:pPr>
              <w:spacing w:before="40" w:after="40" w:line="480" w:lineRule="auto"/>
              <w:rPr>
                <w:b/>
                <w:szCs w:val="22"/>
                <w:lang w:val="en-US"/>
              </w:rPr>
            </w:pPr>
            <w:r w:rsidRPr="00314178">
              <w:rPr>
                <w:b/>
                <w:szCs w:val="22"/>
                <w:lang w:val="en-US"/>
              </w:rPr>
              <w:t>Patient and caregiver variables</w:t>
            </w:r>
          </w:p>
        </w:tc>
        <w:tc>
          <w:tcPr>
            <w:tcW w:w="1163" w:type="dxa"/>
            <w:tcBorders>
              <w:bottom w:val="nil"/>
              <w:right w:val="nil"/>
            </w:tcBorders>
            <w:shd w:val="clear" w:color="auto" w:fill="F2F2F2" w:themeFill="background1" w:themeFillShade="F2"/>
            <w:vAlign w:val="center"/>
          </w:tcPr>
          <w:p w:rsidR="00471518" w:rsidRPr="00314178" w:rsidRDefault="00471518" w:rsidP="00FB63F3">
            <w:pPr>
              <w:spacing w:before="40" w:after="40" w:line="480" w:lineRule="auto"/>
              <w:jc w:val="center"/>
              <w:rPr>
                <w:b/>
                <w:szCs w:val="22"/>
                <w:lang w:val="en-US"/>
              </w:rPr>
            </w:pPr>
            <w:r w:rsidRPr="00314178">
              <w:rPr>
                <w:b/>
                <w:szCs w:val="22"/>
                <w:lang w:val="en-US"/>
              </w:rPr>
              <w:t>Mean</w:t>
            </w:r>
          </w:p>
        </w:tc>
        <w:tc>
          <w:tcPr>
            <w:tcW w:w="821" w:type="dxa"/>
            <w:tcBorders>
              <w:left w:val="nil"/>
              <w:bottom w:val="nil"/>
              <w:right w:val="nil"/>
            </w:tcBorders>
            <w:shd w:val="clear" w:color="auto" w:fill="F2F2F2" w:themeFill="background1" w:themeFillShade="F2"/>
            <w:vAlign w:val="center"/>
          </w:tcPr>
          <w:p w:rsidR="00471518" w:rsidRPr="00314178" w:rsidRDefault="00471518" w:rsidP="00FB63F3">
            <w:pPr>
              <w:spacing w:before="40" w:after="40" w:line="480" w:lineRule="auto"/>
              <w:jc w:val="center"/>
              <w:rPr>
                <w:b/>
                <w:szCs w:val="22"/>
                <w:lang w:val="en-US"/>
              </w:rPr>
            </w:pPr>
            <w:r w:rsidRPr="00314178">
              <w:rPr>
                <w:b/>
                <w:szCs w:val="22"/>
                <w:lang w:val="en-US"/>
              </w:rPr>
              <w:t>SD</w:t>
            </w:r>
          </w:p>
        </w:tc>
        <w:tc>
          <w:tcPr>
            <w:tcW w:w="546" w:type="dxa"/>
            <w:tcBorders>
              <w:left w:val="nil"/>
              <w:bottom w:val="nil"/>
              <w:right w:val="single" w:sz="4" w:space="0" w:color="auto"/>
            </w:tcBorders>
            <w:shd w:val="clear" w:color="auto" w:fill="F2F2F2" w:themeFill="background1" w:themeFillShade="F2"/>
          </w:tcPr>
          <w:p w:rsidR="00471518" w:rsidRPr="00314178" w:rsidRDefault="00471518" w:rsidP="00FB63F3">
            <w:pPr>
              <w:spacing w:before="40" w:after="40" w:line="480" w:lineRule="auto"/>
              <w:jc w:val="center"/>
              <w:rPr>
                <w:b/>
                <w:szCs w:val="22"/>
                <w:lang w:val="en-US"/>
              </w:rPr>
            </w:pPr>
            <w:r w:rsidRPr="00314178">
              <w:rPr>
                <w:b/>
                <w:szCs w:val="22"/>
                <w:lang w:val="en-US"/>
              </w:rPr>
              <w:t>N</w:t>
            </w:r>
          </w:p>
        </w:tc>
        <w:tc>
          <w:tcPr>
            <w:tcW w:w="1047" w:type="dxa"/>
            <w:tcBorders>
              <w:left w:val="nil"/>
              <w:bottom w:val="nil"/>
              <w:right w:val="nil"/>
            </w:tcBorders>
            <w:shd w:val="clear" w:color="auto" w:fill="F2F2F2" w:themeFill="background1" w:themeFillShade="F2"/>
          </w:tcPr>
          <w:p w:rsidR="00471518" w:rsidRPr="00314178" w:rsidRDefault="00471518" w:rsidP="00FB63F3">
            <w:pPr>
              <w:spacing w:before="40" w:after="40" w:line="480" w:lineRule="auto"/>
              <w:jc w:val="center"/>
              <w:rPr>
                <w:b/>
                <w:szCs w:val="22"/>
                <w:lang w:val="en-US"/>
              </w:rPr>
            </w:pPr>
            <w:r w:rsidRPr="00314178">
              <w:rPr>
                <w:b/>
                <w:szCs w:val="22"/>
                <w:lang w:val="en-US"/>
              </w:rPr>
              <w:t>Mean</w:t>
            </w:r>
          </w:p>
        </w:tc>
        <w:tc>
          <w:tcPr>
            <w:tcW w:w="821" w:type="dxa"/>
            <w:tcBorders>
              <w:left w:val="nil"/>
              <w:bottom w:val="nil"/>
              <w:right w:val="nil"/>
            </w:tcBorders>
            <w:shd w:val="clear" w:color="auto" w:fill="F2F2F2" w:themeFill="background1" w:themeFillShade="F2"/>
          </w:tcPr>
          <w:p w:rsidR="00471518" w:rsidRPr="00314178" w:rsidRDefault="00471518" w:rsidP="00FB63F3">
            <w:pPr>
              <w:spacing w:before="40" w:after="40" w:line="480" w:lineRule="auto"/>
              <w:jc w:val="center"/>
              <w:rPr>
                <w:b/>
                <w:szCs w:val="22"/>
                <w:lang w:val="en-US"/>
              </w:rPr>
            </w:pPr>
            <w:r w:rsidRPr="00314178">
              <w:rPr>
                <w:b/>
                <w:szCs w:val="22"/>
                <w:lang w:val="en-US"/>
              </w:rPr>
              <w:t>SD</w:t>
            </w:r>
          </w:p>
        </w:tc>
        <w:tc>
          <w:tcPr>
            <w:tcW w:w="546" w:type="dxa"/>
            <w:tcBorders>
              <w:left w:val="nil"/>
              <w:bottom w:val="nil"/>
              <w:right w:val="nil"/>
            </w:tcBorders>
            <w:shd w:val="clear" w:color="auto" w:fill="F2F2F2" w:themeFill="background1" w:themeFillShade="F2"/>
          </w:tcPr>
          <w:p w:rsidR="00471518" w:rsidRPr="00314178" w:rsidRDefault="00471518" w:rsidP="00FB63F3">
            <w:pPr>
              <w:spacing w:before="40" w:after="40" w:line="480" w:lineRule="auto"/>
              <w:jc w:val="center"/>
              <w:rPr>
                <w:b/>
                <w:szCs w:val="22"/>
                <w:lang w:val="en-US"/>
              </w:rPr>
            </w:pPr>
            <w:r w:rsidRPr="00314178">
              <w:rPr>
                <w:b/>
                <w:szCs w:val="22"/>
                <w:lang w:val="en-US"/>
              </w:rPr>
              <w:t>N</w:t>
            </w:r>
          </w:p>
        </w:tc>
      </w:tr>
      <w:tr w:rsidR="00471518" w:rsidRPr="00314178" w:rsidTr="00FB63F3">
        <w:tc>
          <w:tcPr>
            <w:tcW w:w="3449" w:type="dxa"/>
            <w:tcBorders>
              <w:top w:val="nil"/>
              <w:left w:val="nil"/>
              <w:bottom w:val="nil"/>
            </w:tcBorders>
            <w:vAlign w:val="center"/>
          </w:tcPr>
          <w:p w:rsidR="00471518" w:rsidRPr="00653D32" w:rsidRDefault="00471518" w:rsidP="00FB63F3">
            <w:pPr>
              <w:spacing w:before="40" w:after="40" w:line="480" w:lineRule="auto"/>
              <w:rPr>
                <w:szCs w:val="22"/>
                <w:lang w:val="en-US"/>
              </w:rPr>
            </w:pPr>
            <w:r w:rsidRPr="00653D32">
              <w:rPr>
                <w:szCs w:val="22"/>
                <w:lang w:val="en-US"/>
              </w:rPr>
              <w:t>Patient fatigue</w:t>
            </w:r>
          </w:p>
        </w:tc>
        <w:tc>
          <w:tcPr>
            <w:tcW w:w="1163" w:type="dxa"/>
            <w:tcBorders>
              <w:top w:val="nil"/>
              <w:bottom w:val="nil"/>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30.68</w:t>
            </w:r>
          </w:p>
        </w:tc>
        <w:tc>
          <w:tcPr>
            <w:tcW w:w="821" w:type="dxa"/>
            <w:tcBorders>
              <w:top w:val="nil"/>
              <w:left w:val="nil"/>
              <w:bottom w:val="nil"/>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13.32</w:t>
            </w:r>
          </w:p>
        </w:tc>
        <w:tc>
          <w:tcPr>
            <w:tcW w:w="546" w:type="dxa"/>
            <w:tcBorders>
              <w:top w:val="nil"/>
              <w:left w:val="nil"/>
              <w:bottom w:val="nil"/>
              <w:right w:val="single" w:sz="4" w:space="0" w:color="auto"/>
            </w:tcBorders>
            <w:vAlign w:val="center"/>
          </w:tcPr>
          <w:p w:rsidR="00471518" w:rsidRPr="00653D32" w:rsidRDefault="00471518" w:rsidP="00FB63F3">
            <w:pPr>
              <w:spacing w:before="40" w:after="40" w:line="480" w:lineRule="auto"/>
              <w:jc w:val="center"/>
              <w:rPr>
                <w:szCs w:val="22"/>
                <w:lang w:val="en-US"/>
              </w:rPr>
            </w:pPr>
            <w:r w:rsidRPr="00653D32">
              <w:rPr>
                <w:szCs w:val="22"/>
                <w:lang w:val="en-US"/>
              </w:rPr>
              <w:t>69</w:t>
            </w:r>
          </w:p>
        </w:tc>
        <w:tc>
          <w:tcPr>
            <w:tcW w:w="1047"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 xml:space="preserve">31.71 </w:t>
            </w:r>
          </w:p>
        </w:tc>
        <w:tc>
          <w:tcPr>
            <w:tcW w:w="821"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14.50</w:t>
            </w:r>
          </w:p>
        </w:tc>
        <w:tc>
          <w:tcPr>
            <w:tcW w:w="546"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69</w:t>
            </w:r>
          </w:p>
        </w:tc>
      </w:tr>
      <w:tr w:rsidR="00471518" w:rsidRPr="00314178" w:rsidTr="00FB63F3">
        <w:tc>
          <w:tcPr>
            <w:tcW w:w="3449" w:type="dxa"/>
            <w:tcBorders>
              <w:top w:val="nil"/>
              <w:left w:val="nil"/>
              <w:bottom w:val="nil"/>
            </w:tcBorders>
            <w:vAlign w:val="center"/>
          </w:tcPr>
          <w:p w:rsidR="00471518" w:rsidRPr="00653D32" w:rsidRDefault="00471518" w:rsidP="00FB63F3">
            <w:pPr>
              <w:spacing w:before="40" w:after="40" w:line="480" w:lineRule="auto"/>
              <w:rPr>
                <w:szCs w:val="22"/>
                <w:lang w:val="en-US"/>
              </w:rPr>
            </w:pPr>
            <w:r w:rsidRPr="00653D32">
              <w:rPr>
                <w:szCs w:val="22"/>
                <w:lang w:val="en-US"/>
              </w:rPr>
              <w:t>Caregiver fatigue proxy scores</w:t>
            </w:r>
          </w:p>
        </w:tc>
        <w:tc>
          <w:tcPr>
            <w:tcW w:w="1163" w:type="dxa"/>
            <w:tcBorders>
              <w:top w:val="nil"/>
              <w:bottom w:val="nil"/>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35.30</w:t>
            </w:r>
          </w:p>
        </w:tc>
        <w:tc>
          <w:tcPr>
            <w:tcW w:w="821" w:type="dxa"/>
            <w:tcBorders>
              <w:top w:val="nil"/>
              <w:left w:val="nil"/>
              <w:bottom w:val="nil"/>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14.08</w:t>
            </w:r>
          </w:p>
        </w:tc>
        <w:tc>
          <w:tcPr>
            <w:tcW w:w="546" w:type="dxa"/>
            <w:tcBorders>
              <w:top w:val="nil"/>
              <w:left w:val="nil"/>
              <w:bottom w:val="nil"/>
              <w:right w:val="single" w:sz="4" w:space="0" w:color="auto"/>
            </w:tcBorders>
          </w:tcPr>
          <w:p w:rsidR="00471518" w:rsidRPr="00653D32" w:rsidRDefault="00471518" w:rsidP="00FB63F3">
            <w:pPr>
              <w:spacing w:before="40" w:after="40" w:line="480" w:lineRule="auto"/>
              <w:jc w:val="center"/>
              <w:rPr>
                <w:szCs w:val="22"/>
                <w:lang w:val="en-US"/>
              </w:rPr>
            </w:pPr>
            <w:r w:rsidRPr="00653D32">
              <w:rPr>
                <w:szCs w:val="22"/>
                <w:lang w:val="en-US"/>
              </w:rPr>
              <w:t>69</w:t>
            </w:r>
          </w:p>
        </w:tc>
        <w:tc>
          <w:tcPr>
            <w:tcW w:w="1047"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 xml:space="preserve">34.68 </w:t>
            </w:r>
          </w:p>
        </w:tc>
        <w:tc>
          <w:tcPr>
            <w:tcW w:w="821"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16.16</w:t>
            </w:r>
          </w:p>
        </w:tc>
        <w:tc>
          <w:tcPr>
            <w:tcW w:w="546"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69</w:t>
            </w:r>
          </w:p>
        </w:tc>
      </w:tr>
      <w:tr w:rsidR="00471518" w:rsidRPr="00314178" w:rsidTr="00FB63F3">
        <w:tc>
          <w:tcPr>
            <w:tcW w:w="3449" w:type="dxa"/>
            <w:tcBorders>
              <w:top w:val="nil"/>
              <w:left w:val="nil"/>
              <w:bottom w:val="nil"/>
            </w:tcBorders>
            <w:vAlign w:val="center"/>
          </w:tcPr>
          <w:p w:rsidR="00471518" w:rsidRPr="00653D32" w:rsidRDefault="00471518" w:rsidP="00FB63F3">
            <w:pPr>
              <w:spacing w:before="40" w:after="40" w:line="480" w:lineRule="auto"/>
              <w:rPr>
                <w:szCs w:val="22"/>
                <w:lang w:val="en-US"/>
              </w:rPr>
            </w:pPr>
            <w:r w:rsidRPr="00653D32">
              <w:rPr>
                <w:szCs w:val="22"/>
                <w:lang w:val="en-US"/>
              </w:rPr>
              <w:t>Caregiver fatigue</w:t>
            </w:r>
          </w:p>
        </w:tc>
        <w:tc>
          <w:tcPr>
            <w:tcW w:w="1163" w:type="dxa"/>
            <w:tcBorders>
              <w:top w:val="nil"/>
              <w:bottom w:val="nil"/>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22.70</w:t>
            </w:r>
          </w:p>
        </w:tc>
        <w:tc>
          <w:tcPr>
            <w:tcW w:w="821" w:type="dxa"/>
            <w:tcBorders>
              <w:top w:val="nil"/>
              <w:left w:val="nil"/>
              <w:bottom w:val="nil"/>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13.39</w:t>
            </w:r>
          </w:p>
        </w:tc>
        <w:tc>
          <w:tcPr>
            <w:tcW w:w="546" w:type="dxa"/>
            <w:tcBorders>
              <w:top w:val="nil"/>
              <w:left w:val="nil"/>
              <w:bottom w:val="nil"/>
              <w:right w:val="single" w:sz="4" w:space="0" w:color="auto"/>
            </w:tcBorders>
          </w:tcPr>
          <w:p w:rsidR="00471518" w:rsidRPr="00653D32" w:rsidRDefault="00471518" w:rsidP="00FB63F3">
            <w:pPr>
              <w:spacing w:before="40" w:after="40" w:line="480" w:lineRule="auto"/>
              <w:jc w:val="center"/>
              <w:rPr>
                <w:szCs w:val="22"/>
                <w:lang w:val="en-US"/>
              </w:rPr>
            </w:pPr>
            <w:r w:rsidRPr="00653D32">
              <w:rPr>
                <w:szCs w:val="22"/>
                <w:lang w:val="en-US"/>
              </w:rPr>
              <w:t>69</w:t>
            </w:r>
          </w:p>
        </w:tc>
        <w:tc>
          <w:tcPr>
            <w:tcW w:w="1047"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 xml:space="preserve">22.59 </w:t>
            </w:r>
          </w:p>
        </w:tc>
        <w:tc>
          <w:tcPr>
            <w:tcW w:w="821"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13.27</w:t>
            </w:r>
          </w:p>
        </w:tc>
        <w:tc>
          <w:tcPr>
            <w:tcW w:w="546"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68</w:t>
            </w:r>
          </w:p>
        </w:tc>
      </w:tr>
      <w:tr w:rsidR="00471518" w:rsidRPr="00314178" w:rsidTr="00FB63F3">
        <w:tc>
          <w:tcPr>
            <w:tcW w:w="3449" w:type="dxa"/>
            <w:tcBorders>
              <w:top w:val="nil"/>
              <w:left w:val="nil"/>
              <w:bottom w:val="nil"/>
            </w:tcBorders>
            <w:vAlign w:val="center"/>
          </w:tcPr>
          <w:p w:rsidR="00471518" w:rsidRPr="00653D32" w:rsidRDefault="00471518" w:rsidP="00FB63F3">
            <w:pPr>
              <w:spacing w:before="40" w:after="40" w:line="480" w:lineRule="auto"/>
              <w:rPr>
                <w:szCs w:val="22"/>
                <w:lang w:val="en-US"/>
              </w:rPr>
            </w:pPr>
            <w:r w:rsidRPr="00653D32">
              <w:rPr>
                <w:szCs w:val="22"/>
                <w:lang w:val="en-US"/>
              </w:rPr>
              <w:t>Caregiver strain</w:t>
            </w:r>
            <w:r w:rsidRPr="00653D32">
              <w:rPr>
                <w:szCs w:val="22"/>
                <w:vertAlign w:val="superscript"/>
                <w:lang w:val="en-US"/>
              </w:rPr>
              <w:t xml:space="preserve"> a</w:t>
            </w:r>
          </w:p>
        </w:tc>
        <w:tc>
          <w:tcPr>
            <w:tcW w:w="1163" w:type="dxa"/>
            <w:tcBorders>
              <w:top w:val="nil"/>
              <w:bottom w:val="nil"/>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2.87</w:t>
            </w:r>
          </w:p>
        </w:tc>
        <w:tc>
          <w:tcPr>
            <w:tcW w:w="821" w:type="dxa"/>
            <w:tcBorders>
              <w:top w:val="nil"/>
              <w:left w:val="nil"/>
              <w:bottom w:val="nil"/>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1.86</w:t>
            </w:r>
          </w:p>
        </w:tc>
        <w:tc>
          <w:tcPr>
            <w:tcW w:w="546" w:type="dxa"/>
            <w:tcBorders>
              <w:top w:val="nil"/>
              <w:left w:val="nil"/>
              <w:bottom w:val="nil"/>
              <w:right w:val="single" w:sz="4" w:space="0" w:color="auto"/>
            </w:tcBorders>
            <w:vAlign w:val="center"/>
          </w:tcPr>
          <w:p w:rsidR="00471518" w:rsidRPr="00653D32" w:rsidRDefault="00471518" w:rsidP="00FB63F3">
            <w:pPr>
              <w:spacing w:before="40" w:after="40" w:line="480" w:lineRule="auto"/>
              <w:jc w:val="center"/>
              <w:rPr>
                <w:szCs w:val="22"/>
                <w:lang w:val="en-US"/>
              </w:rPr>
            </w:pPr>
            <w:r w:rsidRPr="00653D32">
              <w:rPr>
                <w:szCs w:val="22"/>
                <w:lang w:val="en-US"/>
              </w:rPr>
              <w:t>68</w:t>
            </w:r>
          </w:p>
        </w:tc>
        <w:tc>
          <w:tcPr>
            <w:tcW w:w="1047"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 xml:space="preserve">2.87 </w:t>
            </w:r>
          </w:p>
        </w:tc>
        <w:tc>
          <w:tcPr>
            <w:tcW w:w="821"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2.06</w:t>
            </w:r>
          </w:p>
        </w:tc>
        <w:tc>
          <w:tcPr>
            <w:tcW w:w="546"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67</w:t>
            </w:r>
          </w:p>
        </w:tc>
      </w:tr>
      <w:tr w:rsidR="00471518" w:rsidRPr="00314178" w:rsidTr="00FB63F3">
        <w:tc>
          <w:tcPr>
            <w:tcW w:w="3449" w:type="dxa"/>
            <w:tcBorders>
              <w:top w:val="nil"/>
              <w:left w:val="nil"/>
              <w:bottom w:val="nil"/>
            </w:tcBorders>
            <w:vAlign w:val="center"/>
          </w:tcPr>
          <w:p w:rsidR="00471518" w:rsidRPr="00653D32" w:rsidRDefault="00471518" w:rsidP="00FB63F3">
            <w:pPr>
              <w:spacing w:before="40" w:after="40" w:line="480" w:lineRule="auto"/>
              <w:rPr>
                <w:szCs w:val="22"/>
                <w:lang w:val="en-US"/>
              </w:rPr>
            </w:pPr>
            <w:r w:rsidRPr="00653D32">
              <w:rPr>
                <w:szCs w:val="22"/>
                <w:lang w:val="en-US"/>
              </w:rPr>
              <w:t>Caregiver self-esteem</w:t>
            </w:r>
            <w:r w:rsidRPr="00653D32">
              <w:rPr>
                <w:szCs w:val="22"/>
                <w:vertAlign w:val="superscript"/>
                <w:lang w:val="en-US"/>
              </w:rPr>
              <w:t xml:space="preserve"> a</w:t>
            </w:r>
          </w:p>
        </w:tc>
        <w:tc>
          <w:tcPr>
            <w:tcW w:w="1163" w:type="dxa"/>
            <w:tcBorders>
              <w:top w:val="nil"/>
              <w:bottom w:val="nil"/>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26.38</w:t>
            </w:r>
          </w:p>
        </w:tc>
        <w:tc>
          <w:tcPr>
            <w:tcW w:w="821" w:type="dxa"/>
            <w:tcBorders>
              <w:top w:val="nil"/>
              <w:left w:val="nil"/>
              <w:bottom w:val="nil"/>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3.78</w:t>
            </w:r>
          </w:p>
        </w:tc>
        <w:tc>
          <w:tcPr>
            <w:tcW w:w="546" w:type="dxa"/>
            <w:tcBorders>
              <w:top w:val="nil"/>
              <w:left w:val="nil"/>
              <w:bottom w:val="nil"/>
              <w:right w:val="single" w:sz="4" w:space="0" w:color="auto"/>
            </w:tcBorders>
            <w:vAlign w:val="center"/>
          </w:tcPr>
          <w:p w:rsidR="00471518" w:rsidRPr="00653D32" w:rsidRDefault="00471518" w:rsidP="00FB63F3">
            <w:pPr>
              <w:spacing w:before="40" w:after="40" w:line="480" w:lineRule="auto"/>
              <w:jc w:val="center"/>
              <w:rPr>
                <w:szCs w:val="22"/>
                <w:lang w:val="en-US"/>
              </w:rPr>
            </w:pPr>
            <w:r w:rsidRPr="00653D32">
              <w:rPr>
                <w:szCs w:val="22"/>
                <w:lang w:val="en-US"/>
              </w:rPr>
              <w:t>66</w:t>
            </w:r>
          </w:p>
        </w:tc>
        <w:tc>
          <w:tcPr>
            <w:tcW w:w="1047"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25.78</w:t>
            </w:r>
          </w:p>
        </w:tc>
        <w:tc>
          <w:tcPr>
            <w:tcW w:w="821"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4.25</w:t>
            </w:r>
          </w:p>
        </w:tc>
        <w:tc>
          <w:tcPr>
            <w:tcW w:w="546" w:type="dxa"/>
            <w:tcBorders>
              <w:top w:val="nil"/>
              <w:left w:val="nil"/>
              <w:bottom w:val="nil"/>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68</w:t>
            </w:r>
          </w:p>
        </w:tc>
      </w:tr>
      <w:tr w:rsidR="00471518" w:rsidRPr="00314178" w:rsidTr="00FB63F3">
        <w:tc>
          <w:tcPr>
            <w:tcW w:w="3449" w:type="dxa"/>
            <w:tcBorders>
              <w:top w:val="nil"/>
              <w:left w:val="nil"/>
              <w:bottom w:val="single" w:sz="4" w:space="0" w:color="auto"/>
            </w:tcBorders>
            <w:vAlign w:val="center"/>
          </w:tcPr>
          <w:p w:rsidR="00471518" w:rsidRPr="00653D32" w:rsidRDefault="00471518" w:rsidP="00FB63F3">
            <w:pPr>
              <w:spacing w:before="40" w:after="40" w:line="480" w:lineRule="auto"/>
              <w:rPr>
                <w:szCs w:val="22"/>
                <w:lang w:val="en-US"/>
              </w:rPr>
            </w:pPr>
            <w:r w:rsidRPr="00653D32">
              <w:rPr>
                <w:szCs w:val="22"/>
                <w:lang w:val="en-US"/>
              </w:rPr>
              <w:t>Caregiver relationship satisfaction</w:t>
            </w:r>
            <w:r w:rsidRPr="00653D32">
              <w:rPr>
                <w:szCs w:val="22"/>
                <w:vertAlign w:val="superscript"/>
                <w:lang w:val="en-US"/>
              </w:rPr>
              <w:t xml:space="preserve"> b</w:t>
            </w:r>
          </w:p>
        </w:tc>
        <w:tc>
          <w:tcPr>
            <w:tcW w:w="1163" w:type="dxa"/>
            <w:tcBorders>
              <w:top w:val="nil"/>
              <w:bottom w:val="single" w:sz="4" w:space="0" w:color="auto"/>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9.42</w:t>
            </w:r>
          </w:p>
        </w:tc>
        <w:tc>
          <w:tcPr>
            <w:tcW w:w="821" w:type="dxa"/>
            <w:tcBorders>
              <w:top w:val="nil"/>
              <w:left w:val="nil"/>
              <w:bottom w:val="single" w:sz="4" w:space="0" w:color="auto"/>
              <w:right w:val="nil"/>
            </w:tcBorders>
            <w:shd w:val="clear" w:color="auto" w:fill="auto"/>
            <w:vAlign w:val="center"/>
          </w:tcPr>
          <w:p w:rsidR="00471518" w:rsidRPr="00653D32" w:rsidRDefault="00471518" w:rsidP="00FB63F3">
            <w:pPr>
              <w:spacing w:before="40" w:after="40" w:line="480" w:lineRule="auto"/>
              <w:jc w:val="center"/>
              <w:rPr>
                <w:szCs w:val="22"/>
                <w:lang w:val="en-US"/>
              </w:rPr>
            </w:pPr>
            <w:r w:rsidRPr="00653D32">
              <w:rPr>
                <w:szCs w:val="22"/>
                <w:lang w:val="en-US"/>
              </w:rPr>
              <w:t>9.36</w:t>
            </w:r>
          </w:p>
        </w:tc>
        <w:tc>
          <w:tcPr>
            <w:tcW w:w="546" w:type="dxa"/>
            <w:tcBorders>
              <w:top w:val="nil"/>
              <w:left w:val="nil"/>
              <w:bottom w:val="single" w:sz="4" w:space="0" w:color="auto"/>
              <w:right w:val="single" w:sz="4" w:space="0" w:color="auto"/>
            </w:tcBorders>
            <w:vAlign w:val="center"/>
          </w:tcPr>
          <w:p w:rsidR="00471518" w:rsidRPr="00653D32" w:rsidRDefault="00471518" w:rsidP="00FB63F3">
            <w:pPr>
              <w:spacing w:before="40" w:after="40" w:line="480" w:lineRule="auto"/>
              <w:jc w:val="center"/>
              <w:rPr>
                <w:szCs w:val="22"/>
                <w:lang w:val="en-US"/>
              </w:rPr>
            </w:pPr>
            <w:r w:rsidRPr="00653D32">
              <w:rPr>
                <w:szCs w:val="22"/>
                <w:lang w:val="en-US"/>
              </w:rPr>
              <w:t>60</w:t>
            </w:r>
          </w:p>
        </w:tc>
        <w:tc>
          <w:tcPr>
            <w:tcW w:w="1047" w:type="dxa"/>
            <w:tcBorders>
              <w:top w:val="nil"/>
              <w:left w:val="nil"/>
              <w:bottom w:val="single" w:sz="4" w:space="0" w:color="auto"/>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 xml:space="preserve">10.37 </w:t>
            </w:r>
          </w:p>
        </w:tc>
        <w:tc>
          <w:tcPr>
            <w:tcW w:w="821" w:type="dxa"/>
            <w:tcBorders>
              <w:top w:val="nil"/>
              <w:left w:val="nil"/>
              <w:bottom w:val="single" w:sz="4" w:space="0" w:color="auto"/>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10.41</w:t>
            </w:r>
          </w:p>
        </w:tc>
        <w:tc>
          <w:tcPr>
            <w:tcW w:w="546" w:type="dxa"/>
            <w:tcBorders>
              <w:top w:val="nil"/>
              <w:left w:val="nil"/>
              <w:bottom w:val="single" w:sz="4" w:space="0" w:color="auto"/>
              <w:right w:val="nil"/>
            </w:tcBorders>
            <w:shd w:val="clear" w:color="auto" w:fill="auto"/>
          </w:tcPr>
          <w:p w:rsidR="00471518" w:rsidRPr="00653D32" w:rsidRDefault="00471518" w:rsidP="00FB63F3">
            <w:pPr>
              <w:spacing w:before="40" w:after="40" w:line="480" w:lineRule="auto"/>
              <w:jc w:val="center"/>
              <w:rPr>
                <w:szCs w:val="22"/>
                <w:lang w:val="en-US"/>
              </w:rPr>
            </w:pPr>
            <w:r w:rsidRPr="00653D32">
              <w:rPr>
                <w:szCs w:val="22"/>
                <w:lang w:val="en-US"/>
              </w:rPr>
              <w:t>60</w:t>
            </w:r>
          </w:p>
        </w:tc>
      </w:tr>
    </w:tbl>
    <w:p w:rsidR="00471518" w:rsidRPr="006B2070" w:rsidRDefault="00471518" w:rsidP="00FB63F3">
      <w:pPr>
        <w:spacing w:before="40" w:after="40" w:line="480" w:lineRule="auto"/>
        <w:jc w:val="both"/>
        <w:rPr>
          <w:sz w:val="18"/>
          <w:szCs w:val="22"/>
          <w:vertAlign w:val="superscript"/>
          <w:lang w:val="en-US"/>
        </w:rPr>
      </w:pPr>
      <w:r w:rsidRPr="006B2070">
        <w:rPr>
          <w:sz w:val="18"/>
          <w:szCs w:val="22"/>
          <w:vertAlign w:val="superscript"/>
          <w:lang w:val="en-US"/>
        </w:rPr>
        <w:t xml:space="preserve">a </w:t>
      </w:r>
      <w:r w:rsidRPr="006B2070">
        <w:rPr>
          <w:sz w:val="18"/>
          <w:szCs w:val="22"/>
          <w:lang w:val="en-US"/>
        </w:rPr>
        <w:t>Due to missing data total N is &lt; 69.</w:t>
      </w:r>
      <w:r w:rsidRPr="006B2070">
        <w:rPr>
          <w:sz w:val="18"/>
          <w:szCs w:val="22"/>
          <w:vertAlign w:val="superscript"/>
          <w:lang w:val="en-US"/>
        </w:rPr>
        <w:t xml:space="preserve"> b</w:t>
      </w:r>
      <w:r w:rsidRPr="006B2070">
        <w:rPr>
          <w:sz w:val="18"/>
          <w:szCs w:val="22"/>
          <w:lang w:val="en-US"/>
        </w:rPr>
        <w:t xml:space="preserve"> Only calculated for ICs with a partner relation to the patient.</w:t>
      </w:r>
    </w:p>
    <w:p w:rsidR="00471518" w:rsidRPr="002B189C" w:rsidRDefault="00471518" w:rsidP="00FB63F3">
      <w:pPr>
        <w:spacing w:before="40" w:after="40" w:line="480" w:lineRule="auto"/>
        <w:jc w:val="both"/>
        <w:rPr>
          <w:szCs w:val="22"/>
          <w:vertAlign w:val="superscript"/>
          <w:lang w:val="en-US"/>
        </w:rPr>
      </w:pPr>
    </w:p>
    <w:p w:rsidR="00471518" w:rsidRDefault="00471518" w:rsidP="00FB63F3">
      <w:pPr>
        <w:rPr>
          <w:b/>
          <w:sz w:val="28"/>
          <w:lang w:val="en-US"/>
        </w:rPr>
      </w:pPr>
    </w:p>
    <w:p w:rsidR="00471518" w:rsidRDefault="00471518" w:rsidP="00FB63F3">
      <w:pPr>
        <w:rPr>
          <w:b/>
          <w:sz w:val="28"/>
          <w:lang w:val="en-US"/>
        </w:rPr>
      </w:pPr>
    </w:p>
    <w:p w:rsidR="00471518" w:rsidRDefault="00471518" w:rsidP="00FB63F3">
      <w:pPr>
        <w:rPr>
          <w:b/>
          <w:sz w:val="28"/>
          <w:lang w:val="en-US"/>
        </w:rPr>
      </w:pPr>
    </w:p>
    <w:p w:rsidR="00471518" w:rsidRDefault="00471518">
      <w:pPr>
        <w:rPr>
          <w:b/>
          <w:sz w:val="28"/>
          <w:lang w:val="en-US"/>
        </w:rPr>
      </w:pPr>
      <w:r>
        <w:rPr>
          <w:b/>
          <w:sz w:val="28"/>
          <w:lang w:val="en-US"/>
        </w:rPr>
        <w:br w:type="page"/>
      </w:r>
    </w:p>
    <w:p w:rsidR="00471518" w:rsidRPr="00C347EB" w:rsidRDefault="00471518" w:rsidP="00FB63F3">
      <w:pPr>
        <w:rPr>
          <w:b/>
          <w:sz w:val="28"/>
          <w:lang w:val="en-US"/>
        </w:rPr>
      </w:pPr>
      <w:r w:rsidRPr="00C347EB">
        <w:rPr>
          <w:b/>
          <w:sz w:val="28"/>
          <w:lang w:val="en-US"/>
        </w:rPr>
        <w:lastRenderedPageBreak/>
        <w:t>Table 3 Predictor-CCS correlations for dyads who completed both T0 and T1 (n=69)</w:t>
      </w:r>
    </w:p>
    <w:p w:rsidR="00471518" w:rsidRPr="007325F3" w:rsidRDefault="00471518" w:rsidP="00FB63F3">
      <w:pPr>
        <w:rPr>
          <w:rFonts w:asciiTheme="minorHAnsi" w:hAnsiTheme="minorHAnsi" w:cstheme="minorHAnsi"/>
          <w:b/>
          <w:sz w:val="20"/>
          <w:lang w:val="en-US"/>
        </w:rPr>
      </w:pPr>
    </w:p>
    <w:tbl>
      <w:tblPr>
        <w:tblStyle w:val="TableGrid"/>
        <w:tblW w:w="9852" w:type="dxa"/>
        <w:tblInd w:w="108" w:type="dxa"/>
        <w:tblLayout w:type="fixed"/>
        <w:tblLook w:val="04A0" w:firstRow="1" w:lastRow="0" w:firstColumn="1" w:lastColumn="0" w:noHBand="0" w:noVBand="1"/>
      </w:tblPr>
      <w:tblGrid>
        <w:gridCol w:w="3408"/>
        <w:gridCol w:w="1611"/>
        <w:gridCol w:w="1611"/>
        <w:gridCol w:w="1611"/>
        <w:gridCol w:w="1611"/>
      </w:tblGrid>
      <w:tr w:rsidR="00471518" w:rsidRPr="00C73AAA" w:rsidTr="00FB63F3">
        <w:tc>
          <w:tcPr>
            <w:tcW w:w="3408" w:type="dxa"/>
            <w:tcBorders>
              <w:left w:val="nil"/>
              <w:bottom w:val="nil"/>
            </w:tcBorders>
            <w:shd w:val="clear" w:color="auto" w:fill="auto"/>
            <w:vAlign w:val="center"/>
          </w:tcPr>
          <w:p w:rsidR="00471518" w:rsidRPr="00C73AAA" w:rsidRDefault="00471518" w:rsidP="00FB63F3">
            <w:pPr>
              <w:spacing w:before="40" w:after="40" w:line="480" w:lineRule="auto"/>
              <w:rPr>
                <w:b/>
                <w:szCs w:val="22"/>
                <w:lang w:val="en-US"/>
              </w:rPr>
            </w:pPr>
          </w:p>
        </w:tc>
        <w:tc>
          <w:tcPr>
            <w:tcW w:w="3222" w:type="dxa"/>
            <w:gridSpan w:val="2"/>
            <w:tcBorders>
              <w:left w:val="single" w:sz="4" w:space="0" w:color="auto"/>
              <w:bottom w:val="single" w:sz="4" w:space="0" w:color="auto"/>
              <w:right w:val="single" w:sz="4" w:space="0" w:color="auto"/>
            </w:tcBorders>
            <w:shd w:val="clear" w:color="auto" w:fill="auto"/>
            <w:vAlign w:val="center"/>
          </w:tcPr>
          <w:p w:rsidR="00471518" w:rsidRPr="00E121CA" w:rsidRDefault="00471518" w:rsidP="00FB63F3">
            <w:pPr>
              <w:spacing w:before="40" w:after="40" w:line="480" w:lineRule="auto"/>
              <w:jc w:val="center"/>
              <w:rPr>
                <w:b/>
                <w:szCs w:val="22"/>
                <w:lang w:val="en-US"/>
              </w:rPr>
            </w:pPr>
            <w:r>
              <w:rPr>
                <w:b/>
                <w:szCs w:val="22"/>
                <w:lang w:val="en-US"/>
              </w:rPr>
              <w:t>Predictor-CCS T0 correlations</w:t>
            </w:r>
          </w:p>
        </w:tc>
        <w:tc>
          <w:tcPr>
            <w:tcW w:w="3222" w:type="dxa"/>
            <w:gridSpan w:val="2"/>
            <w:tcBorders>
              <w:left w:val="single" w:sz="4" w:space="0" w:color="auto"/>
              <w:bottom w:val="nil"/>
              <w:right w:val="nil"/>
            </w:tcBorders>
            <w:shd w:val="clear" w:color="auto" w:fill="auto"/>
            <w:vAlign w:val="center"/>
          </w:tcPr>
          <w:p w:rsidR="00471518" w:rsidRPr="00E121CA" w:rsidRDefault="00471518" w:rsidP="00FB63F3">
            <w:pPr>
              <w:spacing w:before="40" w:after="40" w:line="480" w:lineRule="auto"/>
              <w:jc w:val="center"/>
              <w:rPr>
                <w:b/>
                <w:szCs w:val="22"/>
                <w:lang w:val="en-US"/>
              </w:rPr>
            </w:pPr>
            <w:r>
              <w:rPr>
                <w:b/>
                <w:szCs w:val="22"/>
                <w:lang w:val="en-US"/>
              </w:rPr>
              <w:t>Predictor-</w:t>
            </w:r>
            <w:r w:rsidRPr="00E121CA">
              <w:rPr>
                <w:b/>
                <w:szCs w:val="22"/>
                <w:lang w:val="en-US"/>
              </w:rPr>
              <w:t xml:space="preserve">CCS </w:t>
            </w:r>
            <w:r>
              <w:rPr>
                <w:b/>
                <w:szCs w:val="22"/>
                <w:lang w:val="en-US"/>
              </w:rPr>
              <w:t>T1 correlations</w:t>
            </w:r>
          </w:p>
        </w:tc>
      </w:tr>
      <w:tr w:rsidR="00471518" w:rsidRPr="00C73AAA" w:rsidTr="00FB63F3">
        <w:tc>
          <w:tcPr>
            <w:tcW w:w="3408" w:type="dxa"/>
            <w:tcBorders>
              <w:left w:val="nil"/>
              <w:bottom w:val="nil"/>
            </w:tcBorders>
            <w:shd w:val="clear" w:color="auto" w:fill="F2F2F2" w:themeFill="background1" w:themeFillShade="F2"/>
            <w:vAlign w:val="center"/>
          </w:tcPr>
          <w:p w:rsidR="00471518" w:rsidRPr="00C73AAA" w:rsidRDefault="00471518" w:rsidP="00FB63F3">
            <w:pPr>
              <w:spacing w:before="40" w:after="40" w:line="480" w:lineRule="auto"/>
              <w:rPr>
                <w:b/>
                <w:szCs w:val="22"/>
                <w:lang w:val="en-US"/>
              </w:rPr>
            </w:pPr>
            <w:r>
              <w:rPr>
                <w:b/>
                <w:szCs w:val="22"/>
                <w:lang w:val="en-US"/>
              </w:rPr>
              <w:t>Baseline predictor variables</w:t>
            </w:r>
          </w:p>
        </w:tc>
        <w:tc>
          <w:tcPr>
            <w:tcW w:w="1611" w:type="dxa"/>
            <w:tcBorders>
              <w:left w:val="single" w:sz="4" w:space="0" w:color="auto"/>
              <w:bottom w:val="nil"/>
              <w:right w:val="nil"/>
            </w:tcBorders>
            <w:shd w:val="clear" w:color="auto" w:fill="F2F2F2" w:themeFill="background1" w:themeFillShade="F2"/>
            <w:vAlign w:val="center"/>
          </w:tcPr>
          <w:p w:rsidR="00471518" w:rsidRPr="00C73AAA" w:rsidRDefault="00471518" w:rsidP="00FB63F3">
            <w:pPr>
              <w:spacing w:before="40" w:after="40" w:line="480" w:lineRule="auto"/>
              <w:jc w:val="center"/>
              <w:rPr>
                <w:b/>
                <w:i/>
                <w:szCs w:val="22"/>
                <w:lang w:val="en-US"/>
              </w:rPr>
            </w:pPr>
            <w:r w:rsidRPr="00C73AAA">
              <w:rPr>
                <w:b/>
                <w:i/>
                <w:szCs w:val="22"/>
                <w:lang w:val="en-US"/>
              </w:rPr>
              <w:t>R</w:t>
            </w:r>
          </w:p>
        </w:tc>
        <w:tc>
          <w:tcPr>
            <w:tcW w:w="1611" w:type="dxa"/>
            <w:tcBorders>
              <w:left w:val="nil"/>
              <w:bottom w:val="nil"/>
              <w:right w:val="single" w:sz="4" w:space="0" w:color="auto"/>
            </w:tcBorders>
            <w:shd w:val="clear" w:color="auto" w:fill="F2F2F2" w:themeFill="background1" w:themeFillShade="F2"/>
            <w:vAlign w:val="center"/>
          </w:tcPr>
          <w:p w:rsidR="00471518" w:rsidRPr="00C73AAA" w:rsidRDefault="00471518" w:rsidP="00FB63F3">
            <w:pPr>
              <w:spacing w:before="40" w:after="40" w:line="480" w:lineRule="auto"/>
              <w:jc w:val="center"/>
              <w:rPr>
                <w:b/>
                <w:szCs w:val="22"/>
                <w:lang w:val="en-US"/>
              </w:rPr>
            </w:pPr>
            <w:r w:rsidRPr="00C73AAA">
              <w:rPr>
                <w:b/>
                <w:i/>
                <w:szCs w:val="22"/>
                <w:lang w:val="en-US"/>
              </w:rPr>
              <w:t>P</w:t>
            </w:r>
            <w:r w:rsidRPr="00C73AAA">
              <w:rPr>
                <w:b/>
                <w:szCs w:val="22"/>
                <w:lang w:val="en-US"/>
              </w:rPr>
              <w:t xml:space="preserve"> value</w:t>
            </w:r>
          </w:p>
        </w:tc>
        <w:tc>
          <w:tcPr>
            <w:tcW w:w="1611" w:type="dxa"/>
            <w:tcBorders>
              <w:left w:val="single" w:sz="4" w:space="0" w:color="auto"/>
              <w:bottom w:val="nil"/>
              <w:right w:val="nil"/>
            </w:tcBorders>
            <w:shd w:val="clear" w:color="auto" w:fill="F2F2F2" w:themeFill="background1" w:themeFillShade="F2"/>
            <w:vAlign w:val="center"/>
          </w:tcPr>
          <w:p w:rsidR="00471518" w:rsidRPr="00C73AAA" w:rsidRDefault="00471518" w:rsidP="00FB63F3">
            <w:pPr>
              <w:spacing w:before="40" w:after="40" w:line="480" w:lineRule="auto"/>
              <w:jc w:val="center"/>
              <w:rPr>
                <w:b/>
                <w:i/>
                <w:szCs w:val="22"/>
                <w:lang w:val="en-US"/>
              </w:rPr>
            </w:pPr>
            <w:r w:rsidRPr="00C73AAA">
              <w:rPr>
                <w:b/>
                <w:i/>
                <w:szCs w:val="22"/>
                <w:lang w:val="en-US"/>
              </w:rPr>
              <w:t>R</w:t>
            </w:r>
          </w:p>
        </w:tc>
        <w:tc>
          <w:tcPr>
            <w:tcW w:w="1611" w:type="dxa"/>
            <w:tcBorders>
              <w:left w:val="nil"/>
              <w:bottom w:val="nil"/>
              <w:right w:val="nil"/>
            </w:tcBorders>
            <w:shd w:val="clear" w:color="auto" w:fill="F2F2F2" w:themeFill="background1" w:themeFillShade="F2"/>
            <w:vAlign w:val="center"/>
          </w:tcPr>
          <w:p w:rsidR="00471518" w:rsidRPr="00C73AAA" w:rsidRDefault="00471518" w:rsidP="00FB63F3">
            <w:pPr>
              <w:spacing w:before="40" w:after="40" w:line="480" w:lineRule="auto"/>
              <w:jc w:val="center"/>
              <w:rPr>
                <w:b/>
                <w:szCs w:val="22"/>
                <w:lang w:val="en-US"/>
              </w:rPr>
            </w:pPr>
            <w:r w:rsidRPr="00C73AAA">
              <w:rPr>
                <w:b/>
                <w:i/>
                <w:szCs w:val="22"/>
                <w:lang w:val="en-US"/>
              </w:rPr>
              <w:t>P</w:t>
            </w:r>
            <w:r w:rsidRPr="00C73AAA">
              <w:rPr>
                <w:b/>
                <w:szCs w:val="22"/>
                <w:lang w:val="en-US"/>
              </w:rPr>
              <w:t xml:space="preserve"> value</w:t>
            </w:r>
          </w:p>
        </w:tc>
      </w:tr>
      <w:tr w:rsidR="00471518" w:rsidRPr="00C73AAA" w:rsidTr="00FB63F3">
        <w:tc>
          <w:tcPr>
            <w:tcW w:w="3408" w:type="dxa"/>
            <w:tcBorders>
              <w:top w:val="nil"/>
              <w:left w:val="nil"/>
              <w:bottom w:val="nil"/>
            </w:tcBorders>
            <w:vAlign w:val="center"/>
          </w:tcPr>
          <w:p w:rsidR="00471518" w:rsidRPr="00C73AAA" w:rsidRDefault="00471518" w:rsidP="00FB63F3">
            <w:pPr>
              <w:spacing w:before="40" w:after="40" w:line="480" w:lineRule="auto"/>
              <w:rPr>
                <w:szCs w:val="22"/>
                <w:lang w:val="en-US"/>
              </w:rPr>
            </w:pPr>
            <w:r>
              <w:rPr>
                <w:szCs w:val="22"/>
                <w:lang w:val="en-US"/>
              </w:rPr>
              <w:t>CCS</w:t>
            </w:r>
            <w:r w:rsidRPr="00C73AAA">
              <w:rPr>
                <w:szCs w:val="22"/>
                <w:lang w:val="en-US"/>
              </w:rPr>
              <w:t xml:space="preserve"> T0</w:t>
            </w:r>
          </w:p>
        </w:tc>
        <w:tc>
          <w:tcPr>
            <w:tcW w:w="1611" w:type="dxa"/>
            <w:tcBorders>
              <w:top w:val="nil"/>
              <w:left w:val="single" w:sz="4" w:space="0" w:color="auto"/>
              <w:bottom w:val="nil"/>
              <w:right w:val="nil"/>
            </w:tcBorders>
            <w:shd w:val="clear" w:color="auto" w:fill="auto"/>
            <w:vAlign w:val="center"/>
          </w:tcPr>
          <w:p w:rsidR="00471518" w:rsidRPr="00C73AAA" w:rsidRDefault="00471518" w:rsidP="00FB63F3">
            <w:pPr>
              <w:spacing w:before="40" w:after="40" w:line="480" w:lineRule="auto"/>
              <w:jc w:val="center"/>
              <w:rPr>
                <w:szCs w:val="22"/>
                <w:lang w:val="en-US"/>
              </w:rPr>
            </w:pPr>
            <w:r>
              <w:rPr>
                <w:szCs w:val="22"/>
                <w:lang w:val="en-US"/>
              </w:rPr>
              <w:t>1</w:t>
            </w:r>
          </w:p>
        </w:tc>
        <w:tc>
          <w:tcPr>
            <w:tcW w:w="1611" w:type="dxa"/>
            <w:tcBorders>
              <w:top w:val="nil"/>
              <w:left w:val="nil"/>
              <w:bottom w:val="nil"/>
              <w:right w:val="single" w:sz="4" w:space="0" w:color="auto"/>
            </w:tcBorders>
          </w:tcPr>
          <w:p w:rsidR="00471518" w:rsidRPr="00C73AAA" w:rsidRDefault="00471518" w:rsidP="00FB63F3">
            <w:pPr>
              <w:spacing w:before="40" w:after="40" w:line="480" w:lineRule="auto"/>
              <w:jc w:val="center"/>
              <w:rPr>
                <w:szCs w:val="22"/>
                <w:lang w:val="en-US"/>
              </w:rPr>
            </w:pPr>
            <w:r>
              <w:rPr>
                <w:szCs w:val="22"/>
                <w:lang w:val="en-US"/>
              </w:rPr>
              <w:t>n.a.</w:t>
            </w:r>
          </w:p>
        </w:tc>
        <w:tc>
          <w:tcPr>
            <w:tcW w:w="1611" w:type="dxa"/>
            <w:tcBorders>
              <w:top w:val="nil"/>
              <w:left w:val="single" w:sz="4" w:space="0" w:color="auto"/>
              <w:bottom w:val="nil"/>
              <w:right w:val="nil"/>
            </w:tcBorders>
            <w:shd w:val="clear" w:color="auto" w:fill="auto"/>
            <w:vAlign w:val="center"/>
          </w:tcPr>
          <w:p w:rsidR="00471518" w:rsidRPr="00C73AAA" w:rsidRDefault="00471518" w:rsidP="00FB63F3">
            <w:pPr>
              <w:spacing w:before="40" w:after="40" w:line="480" w:lineRule="auto"/>
              <w:jc w:val="center"/>
              <w:rPr>
                <w:szCs w:val="22"/>
                <w:lang w:val="en-US"/>
              </w:rPr>
            </w:pPr>
            <w:r w:rsidRPr="00C73AAA">
              <w:rPr>
                <w:szCs w:val="22"/>
                <w:lang w:val="en-US"/>
              </w:rPr>
              <w:t>.373</w:t>
            </w:r>
          </w:p>
        </w:tc>
        <w:tc>
          <w:tcPr>
            <w:tcW w:w="1611" w:type="dxa"/>
            <w:tcBorders>
              <w:top w:val="nil"/>
              <w:left w:val="nil"/>
              <w:bottom w:val="nil"/>
              <w:right w:val="nil"/>
            </w:tcBorders>
            <w:vAlign w:val="center"/>
          </w:tcPr>
          <w:p w:rsidR="00471518" w:rsidRPr="00FD3EE9" w:rsidRDefault="00471518" w:rsidP="00FB63F3">
            <w:pPr>
              <w:spacing w:before="40" w:after="40" w:line="480" w:lineRule="auto"/>
              <w:jc w:val="center"/>
              <w:rPr>
                <w:szCs w:val="22"/>
                <w:lang w:val="en-US"/>
              </w:rPr>
            </w:pPr>
            <w:r w:rsidRPr="00FD3EE9">
              <w:rPr>
                <w:szCs w:val="22"/>
                <w:lang w:val="en-US"/>
              </w:rPr>
              <w:t>.002*</w:t>
            </w:r>
          </w:p>
        </w:tc>
      </w:tr>
      <w:tr w:rsidR="00471518" w:rsidRPr="00C73AAA" w:rsidTr="00FB63F3">
        <w:tc>
          <w:tcPr>
            <w:tcW w:w="3408" w:type="dxa"/>
            <w:tcBorders>
              <w:top w:val="nil"/>
              <w:left w:val="nil"/>
              <w:bottom w:val="nil"/>
            </w:tcBorders>
            <w:vAlign w:val="center"/>
          </w:tcPr>
          <w:p w:rsidR="00471518" w:rsidRPr="00C73AAA" w:rsidRDefault="00471518" w:rsidP="00FB63F3">
            <w:pPr>
              <w:spacing w:before="40" w:after="40" w:line="480" w:lineRule="auto"/>
              <w:rPr>
                <w:szCs w:val="22"/>
                <w:lang w:val="en-US"/>
              </w:rPr>
            </w:pPr>
            <w:r w:rsidRPr="00C73AAA">
              <w:rPr>
                <w:szCs w:val="22"/>
                <w:lang w:val="en-US"/>
              </w:rPr>
              <w:t>Caregiver fatigue</w:t>
            </w:r>
            <w:r>
              <w:rPr>
                <w:szCs w:val="22"/>
                <w:lang w:val="en-US"/>
              </w:rPr>
              <w:t xml:space="preserve"> </w:t>
            </w:r>
          </w:p>
        </w:tc>
        <w:tc>
          <w:tcPr>
            <w:tcW w:w="1611" w:type="dxa"/>
            <w:tcBorders>
              <w:top w:val="nil"/>
              <w:left w:val="single" w:sz="4" w:space="0" w:color="auto"/>
              <w:bottom w:val="nil"/>
              <w:right w:val="nil"/>
            </w:tcBorders>
            <w:shd w:val="clear" w:color="auto" w:fill="auto"/>
            <w:vAlign w:val="center"/>
          </w:tcPr>
          <w:p w:rsidR="00471518" w:rsidRPr="00C73AAA" w:rsidRDefault="00471518" w:rsidP="00FB63F3">
            <w:pPr>
              <w:spacing w:before="40" w:after="40" w:line="480" w:lineRule="auto"/>
              <w:jc w:val="center"/>
              <w:rPr>
                <w:szCs w:val="22"/>
                <w:lang w:val="en-US"/>
              </w:rPr>
            </w:pPr>
            <w:r w:rsidRPr="00C73AAA">
              <w:rPr>
                <w:szCs w:val="22"/>
                <w:lang w:val="en-US"/>
              </w:rPr>
              <w:t>.335</w:t>
            </w:r>
          </w:p>
        </w:tc>
        <w:tc>
          <w:tcPr>
            <w:tcW w:w="1611" w:type="dxa"/>
            <w:tcBorders>
              <w:top w:val="nil"/>
              <w:left w:val="nil"/>
              <w:bottom w:val="nil"/>
              <w:right w:val="single" w:sz="4" w:space="0" w:color="auto"/>
            </w:tcBorders>
            <w:vAlign w:val="center"/>
          </w:tcPr>
          <w:p w:rsidR="00471518" w:rsidRPr="00C73AAA" w:rsidRDefault="00471518" w:rsidP="00FB63F3">
            <w:pPr>
              <w:spacing w:before="40" w:after="40" w:line="480" w:lineRule="auto"/>
              <w:jc w:val="center"/>
              <w:rPr>
                <w:szCs w:val="22"/>
                <w:lang w:val="en-US"/>
              </w:rPr>
            </w:pPr>
            <w:r w:rsidRPr="00C73AAA">
              <w:rPr>
                <w:szCs w:val="22"/>
                <w:lang w:val="en-US"/>
              </w:rPr>
              <w:t>.005</w:t>
            </w:r>
            <w:r>
              <w:rPr>
                <w:szCs w:val="22"/>
                <w:lang w:val="en-US"/>
              </w:rPr>
              <w:t>*</w:t>
            </w:r>
          </w:p>
        </w:tc>
        <w:tc>
          <w:tcPr>
            <w:tcW w:w="1611" w:type="dxa"/>
            <w:tcBorders>
              <w:top w:val="nil"/>
              <w:left w:val="single" w:sz="4" w:space="0" w:color="auto"/>
              <w:bottom w:val="nil"/>
              <w:right w:val="nil"/>
            </w:tcBorders>
            <w:shd w:val="clear" w:color="auto" w:fill="auto"/>
            <w:vAlign w:val="center"/>
          </w:tcPr>
          <w:p w:rsidR="00471518" w:rsidRPr="00E121CA" w:rsidRDefault="00471518" w:rsidP="00FB63F3">
            <w:pPr>
              <w:spacing w:before="40" w:after="40" w:line="480" w:lineRule="auto"/>
              <w:jc w:val="center"/>
              <w:rPr>
                <w:szCs w:val="22"/>
                <w:lang w:val="en-US"/>
              </w:rPr>
            </w:pPr>
            <w:r w:rsidRPr="00E121CA">
              <w:rPr>
                <w:szCs w:val="22"/>
                <w:lang w:val="en-US"/>
              </w:rPr>
              <w:t>.418</w:t>
            </w:r>
          </w:p>
        </w:tc>
        <w:tc>
          <w:tcPr>
            <w:tcW w:w="1611" w:type="dxa"/>
            <w:tcBorders>
              <w:top w:val="nil"/>
              <w:left w:val="nil"/>
              <w:bottom w:val="nil"/>
              <w:right w:val="nil"/>
            </w:tcBorders>
            <w:vAlign w:val="center"/>
          </w:tcPr>
          <w:p w:rsidR="00471518" w:rsidRPr="00FD3EE9" w:rsidRDefault="00471518" w:rsidP="00FB63F3">
            <w:pPr>
              <w:spacing w:before="40" w:after="40" w:line="480" w:lineRule="auto"/>
              <w:jc w:val="center"/>
              <w:rPr>
                <w:szCs w:val="22"/>
                <w:lang w:val="en-US"/>
              </w:rPr>
            </w:pPr>
            <w:r w:rsidRPr="00FD3EE9">
              <w:rPr>
                <w:szCs w:val="22"/>
                <w:lang w:val="en-US"/>
              </w:rPr>
              <w:t>&lt;.001*</w:t>
            </w:r>
          </w:p>
        </w:tc>
      </w:tr>
      <w:tr w:rsidR="00471518" w:rsidRPr="00C73AAA" w:rsidTr="00FB63F3">
        <w:tc>
          <w:tcPr>
            <w:tcW w:w="3408" w:type="dxa"/>
            <w:tcBorders>
              <w:top w:val="nil"/>
              <w:left w:val="nil"/>
              <w:bottom w:val="nil"/>
            </w:tcBorders>
            <w:vAlign w:val="center"/>
          </w:tcPr>
          <w:p w:rsidR="00471518" w:rsidRPr="00C73AAA" w:rsidRDefault="00471518" w:rsidP="00FB63F3">
            <w:pPr>
              <w:spacing w:before="40" w:after="40" w:line="480" w:lineRule="auto"/>
              <w:rPr>
                <w:szCs w:val="22"/>
                <w:lang w:val="en-US"/>
              </w:rPr>
            </w:pPr>
            <w:r w:rsidRPr="00C73AAA">
              <w:rPr>
                <w:szCs w:val="22"/>
                <w:lang w:val="en-US"/>
              </w:rPr>
              <w:t>Caregiver strain</w:t>
            </w:r>
            <w:r w:rsidRPr="00C73AAA">
              <w:rPr>
                <w:szCs w:val="22"/>
                <w:vertAlign w:val="superscript"/>
                <w:lang w:val="en-US"/>
              </w:rPr>
              <w:t xml:space="preserve"> a</w:t>
            </w:r>
          </w:p>
        </w:tc>
        <w:tc>
          <w:tcPr>
            <w:tcW w:w="1611" w:type="dxa"/>
            <w:tcBorders>
              <w:top w:val="nil"/>
              <w:left w:val="single" w:sz="4" w:space="0" w:color="auto"/>
              <w:bottom w:val="nil"/>
              <w:right w:val="nil"/>
            </w:tcBorders>
            <w:shd w:val="clear" w:color="auto" w:fill="auto"/>
            <w:vAlign w:val="center"/>
          </w:tcPr>
          <w:p w:rsidR="00471518" w:rsidRPr="00C73AAA" w:rsidRDefault="00471518" w:rsidP="00FB63F3">
            <w:pPr>
              <w:spacing w:before="40" w:after="40" w:line="480" w:lineRule="auto"/>
              <w:jc w:val="center"/>
              <w:rPr>
                <w:szCs w:val="22"/>
                <w:lang w:val="en-US"/>
              </w:rPr>
            </w:pPr>
            <w:r w:rsidRPr="00C73AAA">
              <w:rPr>
                <w:szCs w:val="22"/>
                <w:lang w:val="en-US"/>
              </w:rPr>
              <w:t>.272</w:t>
            </w:r>
          </w:p>
        </w:tc>
        <w:tc>
          <w:tcPr>
            <w:tcW w:w="1611" w:type="dxa"/>
            <w:tcBorders>
              <w:top w:val="nil"/>
              <w:left w:val="nil"/>
              <w:bottom w:val="nil"/>
              <w:right w:val="single" w:sz="4" w:space="0" w:color="auto"/>
            </w:tcBorders>
            <w:vAlign w:val="center"/>
          </w:tcPr>
          <w:p w:rsidR="00471518" w:rsidRPr="00C73AAA" w:rsidRDefault="00471518" w:rsidP="00FB63F3">
            <w:pPr>
              <w:spacing w:before="40" w:after="40" w:line="480" w:lineRule="auto"/>
              <w:jc w:val="center"/>
              <w:rPr>
                <w:szCs w:val="22"/>
                <w:lang w:val="en-US"/>
              </w:rPr>
            </w:pPr>
            <w:r w:rsidRPr="00C73AAA">
              <w:rPr>
                <w:szCs w:val="22"/>
                <w:lang w:val="en-US"/>
              </w:rPr>
              <w:t>.025</w:t>
            </w:r>
            <w:r>
              <w:rPr>
                <w:szCs w:val="22"/>
                <w:lang w:val="en-US"/>
              </w:rPr>
              <w:t>*</w:t>
            </w:r>
          </w:p>
        </w:tc>
        <w:tc>
          <w:tcPr>
            <w:tcW w:w="1611" w:type="dxa"/>
            <w:tcBorders>
              <w:top w:val="nil"/>
              <w:left w:val="single" w:sz="4" w:space="0" w:color="auto"/>
              <w:bottom w:val="nil"/>
              <w:right w:val="nil"/>
            </w:tcBorders>
            <w:shd w:val="clear" w:color="auto" w:fill="auto"/>
            <w:vAlign w:val="center"/>
          </w:tcPr>
          <w:p w:rsidR="00471518" w:rsidRPr="00E121CA" w:rsidRDefault="00471518" w:rsidP="00FB63F3">
            <w:pPr>
              <w:spacing w:before="40" w:after="40" w:line="480" w:lineRule="auto"/>
              <w:jc w:val="center"/>
              <w:rPr>
                <w:szCs w:val="22"/>
                <w:lang w:val="en-US"/>
              </w:rPr>
            </w:pPr>
            <w:r w:rsidRPr="00E121CA">
              <w:rPr>
                <w:szCs w:val="22"/>
                <w:lang w:val="en-US"/>
              </w:rPr>
              <w:t>.342</w:t>
            </w:r>
          </w:p>
        </w:tc>
        <w:tc>
          <w:tcPr>
            <w:tcW w:w="1611" w:type="dxa"/>
            <w:tcBorders>
              <w:top w:val="nil"/>
              <w:left w:val="nil"/>
              <w:bottom w:val="nil"/>
              <w:right w:val="nil"/>
            </w:tcBorders>
            <w:vAlign w:val="center"/>
          </w:tcPr>
          <w:p w:rsidR="00471518" w:rsidRPr="00FD3EE9" w:rsidRDefault="00471518" w:rsidP="00FB63F3">
            <w:pPr>
              <w:spacing w:before="40" w:after="40" w:line="480" w:lineRule="auto"/>
              <w:jc w:val="center"/>
              <w:rPr>
                <w:szCs w:val="22"/>
                <w:lang w:val="en-US"/>
              </w:rPr>
            </w:pPr>
            <w:r w:rsidRPr="00FD3EE9">
              <w:rPr>
                <w:szCs w:val="22"/>
                <w:lang w:val="en-US"/>
              </w:rPr>
              <w:t>.004*</w:t>
            </w:r>
          </w:p>
        </w:tc>
      </w:tr>
      <w:tr w:rsidR="00471518" w:rsidRPr="00C73AAA" w:rsidTr="00FB63F3">
        <w:tc>
          <w:tcPr>
            <w:tcW w:w="3408" w:type="dxa"/>
            <w:tcBorders>
              <w:top w:val="nil"/>
              <w:left w:val="nil"/>
              <w:bottom w:val="nil"/>
            </w:tcBorders>
            <w:vAlign w:val="center"/>
          </w:tcPr>
          <w:p w:rsidR="00471518" w:rsidRPr="00C73AAA" w:rsidRDefault="00471518" w:rsidP="00FB63F3">
            <w:pPr>
              <w:spacing w:before="40" w:after="40" w:line="480" w:lineRule="auto"/>
              <w:rPr>
                <w:szCs w:val="22"/>
                <w:lang w:val="en-US"/>
              </w:rPr>
            </w:pPr>
            <w:r w:rsidRPr="00C73AAA">
              <w:rPr>
                <w:szCs w:val="22"/>
                <w:lang w:val="en-US"/>
              </w:rPr>
              <w:t>Caregiver self-esteem</w:t>
            </w:r>
            <w:r w:rsidRPr="00C73AAA">
              <w:rPr>
                <w:szCs w:val="22"/>
                <w:vertAlign w:val="superscript"/>
                <w:lang w:val="en-US"/>
              </w:rPr>
              <w:t xml:space="preserve"> a</w:t>
            </w:r>
          </w:p>
        </w:tc>
        <w:tc>
          <w:tcPr>
            <w:tcW w:w="1611" w:type="dxa"/>
            <w:tcBorders>
              <w:top w:val="nil"/>
              <w:left w:val="single" w:sz="4" w:space="0" w:color="auto"/>
              <w:bottom w:val="nil"/>
              <w:right w:val="nil"/>
            </w:tcBorders>
            <w:shd w:val="clear" w:color="auto" w:fill="auto"/>
            <w:vAlign w:val="center"/>
          </w:tcPr>
          <w:p w:rsidR="00471518" w:rsidRPr="00C73AAA" w:rsidRDefault="00471518" w:rsidP="00FB63F3">
            <w:pPr>
              <w:spacing w:before="40" w:after="40" w:line="480" w:lineRule="auto"/>
              <w:jc w:val="center"/>
              <w:rPr>
                <w:szCs w:val="22"/>
                <w:lang w:val="en-US"/>
              </w:rPr>
            </w:pPr>
            <w:r w:rsidRPr="00C73AAA">
              <w:rPr>
                <w:szCs w:val="22"/>
                <w:lang w:val="en-US"/>
              </w:rPr>
              <w:t>-.319</w:t>
            </w:r>
          </w:p>
        </w:tc>
        <w:tc>
          <w:tcPr>
            <w:tcW w:w="1611" w:type="dxa"/>
            <w:tcBorders>
              <w:top w:val="nil"/>
              <w:left w:val="nil"/>
              <w:bottom w:val="nil"/>
              <w:right w:val="single" w:sz="4" w:space="0" w:color="auto"/>
            </w:tcBorders>
            <w:vAlign w:val="center"/>
          </w:tcPr>
          <w:p w:rsidR="00471518" w:rsidRPr="00C73AAA" w:rsidRDefault="00471518" w:rsidP="00FB63F3">
            <w:pPr>
              <w:spacing w:before="40" w:after="40" w:line="480" w:lineRule="auto"/>
              <w:jc w:val="center"/>
              <w:rPr>
                <w:szCs w:val="22"/>
                <w:lang w:val="en-US"/>
              </w:rPr>
            </w:pPr>
            <w:r w:rsidRPr="00C73AAA">
              <w:rPr>
                <w:szCs w:val="22"/>
                <w:lang w:val="en-US"/>
              </w:rPr>
              <w:t>.009</w:t>
            </w:r>
            <w:r>
              <w:rPr>
                <w:szCs w:val="22"/>
                <w:lang w:val="en-US"/>
              </w:rPr>
              <w:t>*</w:t>
            </w:r>
          </w:p>
        </w:tc>
        <w:tc>
          <w:tcPr>
            <w:tcW w:w="1611" w:type="dxa"/>
            <w:tcBorders>
              <w:top w:val="nil"/>
              <w:left w:val="single" w:sz="4" w:space="0" w:color="auto"/>
              <w:bottom w:val="nil"/>
              <w:right w:val="nil"/>
            </w:tcBorders>
            <w:shd w:val="clear" w:color="auto" w:fill="auto"/>
            <w:vAlign w:val="center"/>
          </w:tcPr>
          <w:p w:rsidR="00471518" w:rsidRPr="00E121CA" w:rsidRDefault="00471518" w:rsidP="00FB63F3">
            <w:pPr>
              <w:spacing w:before="40" w:after="40" w:line="480" w:lineRule="auto"/>
              <w:jc w:val="center"/>
              <w:rPr>
                <w:szCs w:val="22"/>
                <w:lang w:val="en-US"/>
              </w:rPr>
            </w:pPr>
            <w:r w:rsidRPr="00E121CA">
              <w:rPr>
                <w:szCs w:val="22"/>
                <w:lang w:val="en-US"/>
              </w:rPr>
              <w:t>-.234</w:t>
            </w:r>
          </w:p>
        </w:tc>
        <w:tc>
          <w:tcPr>
            <w:tcW w:w="1611" w:type="dxa"/>
            <w:tcBorders>
              <w:top w:val="nil"/>
              <w:left w:val="nil"/>
              <w:bottom w:val="nil"/>
              <w:right w:val="nil"/>
            </w:tcBorders>
            <w:vAlign w:val="center"/>
          </w:tcPr>
          <w:p w:rsidR="00471518" w:rsidRPr="00C73AAA" w:rsidRDefault="00471518" w:rsidP="00FB63F3">
            <w:pPr>
              <w:spacing w:before="40" w:after="40" w:line="480" w:lineRule="auto"/>
              <w:jc w:val="center"/>
              <w:rPr>
                <w:szCs w:val="22"/>
                <w:lang w:val="en-US"/>
              </w:rPr>
            </w:pPr>
            <w:r w:rsidRPr="00C73AAA">
              <w:rPr>
                <w:szCs w:val="22"/>
                <w:lang w:val="en-US"/>
              </w:rPr>
              <w:t>.058</w:t>
            </w:r>
          </w:p>
        </w:tc>
      </w:tr>
      <w:tr w:rsidR="00471518" w:rsidRPr="00C73AAA" w:rsidTr="00FB63F3">
        <w:tc>
          <w:tcPr>
            <w:tcW w:w="3408" w:type="dxa"/>
            <w:tcBorders>
              <w:top w:val="nil"/>
              <w:left w:val="nil"/>
              <w:bottom w:val="single" w:sz="4" w:space="0" w:color="auto"/>
            </w:tcBorders>
            <w:vAlign w:val="center"/>
          </w:tcPr>
          <w:p w:rsidR="00471518" w:rsidRPr="00C73AAA" w:rsidRDefault="00471518" w:rsidP="00FB63F3">
            <w:pPr>
              <w:spacing w:before="40" w:after="40" w:line="480" w:lineRule="auto"/>
              <w:rPr>
                <w:szCs w:val="22"/>
                <w:lang w:val="en-US"/>
              </w:rPr>
            </w:pPr>
            <w:r w:rsidRPr="00C73AAA">
              <w:rPr>
                <w:szCs w:val="22"/>
                <w:lang w:val="en-US"/>
              </w:rPr>
              <w:t>Caregiver relationship satisfaction</w:t>
            </w:r>
            <w:r w:rsidRPr="00C73AAA">
              <w:rPr>
                <w:szCs w:val="22"/>
                <w:vertAlign w:val="superscript"/>
                <w:lang w:val="en-US"/>
              </w:rPr>
              <w:t xml:space="preserve"> b</w:t>
            </w:r>
          </w:p>
        </w:tc>
        <w:tc>
          <w:tcPr>
            <w:tcW w:w="1611" w:type="dxa"/>
            <w:tcBorders>
              <w:top w:val="nil"/>
              <w:left w:val="single" w:sz="4" w:space="0" w:color="auto"/>
              <w:bottom w:val="single" w:sz="4" w:space="0" w:color="auto"/>
              <w:right w:val="nil"/>
            </w:tcBorders>
            <w:shd w:val="clear" w:color="auto" w:fill="auto"/>
            <w:vAlign w:val="center"/>
          </w:tcPr>
          <w:p w:rsidR="00471518" w:rsidRPr="00C73AAA" w:rsidRDefault="00471518" w:rsidP="00FB63F3">
            <w:pPr>
              <w:spacing w:before="40" w:after="40" w:line="480" w:lineRule="auto"/>
              <w:jc w:val="center"/>
              <w:rPr>
                <w:szCs w:val="22"/>
                <w:lang w:val="en-US"/>
              </w:rPr>
            </w:pPr>
            <w:r w:rsidRPr="00C73AAA">
              <w:rPr>
                <w:szCs w:val="22"/>
                <w:lang w:val="en-US"/>
              </w:rPr>
              <w:t>.075</w:t>
            </w:r>
          </w:p>
        </w:tc>
        <w:tc>
          <w:tcPr>
            <w:tcW w:w="1611" w:type="dxa"/>
            <w:tcBorders>
              <w:top w:val="nil"/>
              <w:left w:val="nil"/>
              <w:bottom w:val="single" w:sz="4" w:space="0" w:color="auto"/>
              <w:right w:val="single" w:sz="4" w:space="0" w:color="auto"/>
            </w:tcBorders>
            <w:vAlign w:val="center"/>
          </w:tcPr>
          <w:p w:rsidR="00471518" w:rsidRPr="00C73AAA" w:rsidRDefault="00471518" w:rsidP="00FB63F3">
            <w:pPr>
              <w:spacing w:before="40" w:after="40" w:line="480" w:lineRule="auto"/>
              <w:jc w:val="center"/>
              <w:rPr>
                <w:szCs w:val="22"/>
                <w:lang w:val="en-US"/>
              </w:rPr>
            </w:pPr>
            <w:r w:rsidRPr="00C73AAA">
              <w:rPr>
                <w:szCs w:val="22"/>
                <w:lang w:val="en-US"/>
              </w:rPr>
              <w:t>.571</w:t>
            </w:r>
          </w:p>
        </w:tc>
        <w:tc>
          <w:tcPr>
            <w:tcW w:w="1611" w:type="dxa"/>
            <w:tcBorders>
              <w:top w:val="nil"/>
              <w:left w:val="single" w:sz="4" w:space="0" w:color="auto"/>
              <w:bottom w:val="single" w:sz="4" w:space="0" w:color="auto"/>
              <w:right w:val="nil"/>
            </w:tcBorders>
            <w:shd w:val="clear" w:color="auto" w:fill="auto"/>
            <w:vAlign w:val="center"/>
          </w:tcPr>
          <w:p w:rsidR="00471518" w:rsidRPr="00E121CA" w:rsidRDefault="00471518" w:rsidP="00FB63F3">
            <w:pPr>
              <w:spacing w:before="40" w:after="40" w:line="480" w:lineRule="auto"/>
              <w:jc w:val="center"/>
              <w:rPr>
                <w:szCs w:val="22"/>
                <w:lang w:val="en-US"/>
              </w:rPr>
            </w:pPr>
            <w:r w:rsidRPr="00E121CA">
              <w:rPr>
                <w:szCs w:val="22"/>
                <w:lang w:val="en-US"/>
              </w:rPr>
              <w:t>.239</w:t>
            </w:r>
          </w:p>
        </w:tc>
        <w:tc>
          <w:tcPr>
            <w:tcW w:w="1611" w:type="dxa"/>
            <w:tcBorders>
              <w:top w:val="nil"/>
              <w:left w:val="nil"/>
              <w:bottom w:val="single" w:sz="4" w:space="0" w:color="auto"/>
              <w:right w:val="nil"/>
            </w:tcBorders>
            <w:vAlign w:val="center"/>
          </w:tcPr>
          <w:p w:rsidR="00471518" w:rsidRPr="00C73AAA" w:rsidRDefault="00471518" w:rsidP="00FB63F3">
            <w:pPr>
              <w:spacing w:before="40" w:after="40" w:line="480" w:lineRule="auto"/>
              <w:jc w:val="center"/>
              <w:rPr>
                <w:szCs w:val="22"/>
                <w:lang w:val="en-US"/>
              </w:rPr>
            </w:pPr>
            <w:r w:rsidRPr="00C73AAA">
              <w:rPr>
                <w:szCs w:val="22"/>
                <w:lang w:val="en-US"/>
              </w:rPr>
              <w:t>.066</w:t>
            </w:r>
          </w:p>
        </w:tc>
      </w:tr>
    </w:tbl>
    <w:p w:rsidR="00471518" w:rsidRDefault="00471518" w:rsidP="00FB63F3">
      <w:pPr>
        <w:spacing w:line="360" w:lineRule="auto"/>
        <w:jc w:val="both"/>
        <w:rPr>
          <w:sz w:val="18"/>
          <w:szCs w:val="22"/>
          <w:lang w:val="en-US"/>
        </w:rPr>
      </w:pPr>
      <w:r w:rsidRPr="00FD3EE9">
        <w:rPr>
          <w:sz w:val="18"/>
          <w:szCs w:val="22"/>
          <w:lang w:val="en-US"/>
        </w:rPr>
        <w:t>* Statistically significant values (</w:t>
      </w:r>
      <w:r w:rsidRPr="00FD3EE9">
        <w:rPr>
          <w:i/>
          <w:sz w:val="18"/>
          <w:szCs w:val="22"/>
          <w:lang w:val="en-US"/>
        </w:rPr>
        <w:t>p</w:t>
      </w:r>
      <w:r w:rsidRPr="00FD3EE9">
        <w:rPr>
          <w:sz w:val="18"/>
          <w:szCs w:val="22"/>
          <w:lang w:val="en-US"/>
        </w:rPr>
        <w:t xml:space="preserve"> &lt; .05).</w:t>
      </w:r>
    </w:p>
    <w:p w:rsidR="00471518" w:rsidRPr="00A37E4C" w:rsidRDefault="00471518" w:rsidP="00FB63F3">
      <w:pPr>
        <w:spacing w:line="360" w:lineRule="auto"/>
        <w:jc w:val="both"/>
        <w:rPr>
          <w:sz w:val="18"/>
          <w:szCs w:val="22"/>
          <w:lang w:val="en-US"/>
        </w:rPr>
      </w:pPr>
      <w:r>
        <w:rPr>
          <w:sz w:val="18"/>
          <w:szCs w:val="22"/>
          <w:lang w:val="en-US"/>
        </w:rPr>
        <w:t xml:space="preserve">CCS = Continuous congruence score. </w:t>
      </w:r>
      <w:r w:rsidRPr="006B2070">
        <w:rPr>
          <w:sz w:val="18"/>
          <w:szCs w:val="22"/>
          <w:vertAlign w:val="superscript"/>
          <w:lang w:val="en-US"/>
        </w:rPr>
        <w:t xml:space="preserve">a </w:t>
      </w:r>
      <w:r w:rsidRPr="006B2070">
        <w:rPr>
          <w:sz w:val="18"/>
          <w:szCs w:val="22"/>
          <w:lang w:val="en-US"/>
        </w:rPr>
        <w:t>Due to missing data total N is &lt; 69.</w:t>
      </w:r>
      <w:r w:rsidRPr="006B2070">
        <w:rPr>
          <w:sz w:val="18"/>
          <w:szCs w:val="22"/>
          <w:vertAlign w:val="superscript"/>
          <w:lang w:val="en-US"/>
        </w:rPr>
        <w:t xml:space="preserve"> b</w:t>
      </w:r>
      <w:r w:rsidRPr="006B2070">
        <w:rPr>
          <w:sz w:val="18"/>
          <w:szCs w:val="22"/>
          <w:lang w:val="en-US"/>
        </w:rPr>
        <w:t xml:space="preserve"> Only calculated for ICs with a partner relation to the patient. </w:t>
      </w:r>
    </w:p>
    <w:p w:rsidR="00471518" w:rsidRPr="00314178" w:rsidRDefault="00471518" w:rsidP="00FB63F3">
      <w:pPr>
        <w:spacing w:before="40" w:after="40" w:line="480" w:lineRule="auto"/>
        <w:jc w:val="both"/>
        <w:rPr>
          <w:szCs w:val="22"/>
          <w:vertAlign w:val="superscript"/>
          <w:lang w:val="en-US"/>
        </w:rPr>
      </w:pPr>
    </w:p>
    <w:p w:rsidR="00471518" w:rsidRPr="00BC3F3A" w:rsidRDefault="00471518" w:rsidP="00FB63F3">
      <w:pPr>
        <w:spacing w:before="40" w:after="40" w:line="480" w:lineRule="auto"/>
        <w:rPr>
          <w:rFonts w:ascii="Helvetica" w:hAnsi="Helvetica" w:cstheme="minorHAnsi"/>
          <w:b/>
          <w:sz w:val="20"/>
          <w:lang w:val="en-US"/>
        </w:rPr>
      </w:pPr>
    </w:p>
    <w:p w:rsidR="00471518" w:rsidRDefault="00471518" w:rsidP="00FB63F3">
      <w:pPr>
        <w:rPr>
          <w:rFonts w:asciiTheme="minorHAnsi" w:hAnsiTheme="minorHAnsi" w:cstheme="minorHAnsi"/>
          <w:b/>
          <w:sz w:val="20"/>
          <w:lang w:val="en-US"/>
        </w:rPr>
        <w:sectPr w:rsidR="00471518" w:rsidSect="00FB63F3">
          <w:pgSz w:w="16838" w:h="11906" w:orient="landscape"/>
          <w:pgMar w:top="1417" w:right="1417" w:bottom="1417" w:left="1417" w:header="708" w:footer="708" w:gutter="0"/>
          <w:cols w:space="708"/>
          <w:docGrid w:linePitch="360"/>
        </w:sectPr>
      </w:pPr>
    </w:p>
    <w:p w:rsidR="00471518" w:rsidRPr="000D39E5" w:rsidRDefault="00471518" w:rsidP="00FB63F3">
      <w:pPr>
        <w:rPr>
          <w:b/>
          <w:sz w:val="28"/>
          <w:lang w:val="en-US"/>
        </w:rPr>
      </w:pPr>
      <w:r w:rsidRPr="000D39E5">
        <w:rPr>
          <w:b/>
          <w:sz w:val="28"/>
          <w:lang w:val="en-US"/>
        </w:rPr>
        <w:lastRenderedPageBreak/>
        <w:t>Table 4 Regression model to predict CCS T1</w:t>
      </w:r>
    </w:p>
    <w:p w:rsidR="00471518" w:rsidRPr="00BC3F3A" w:rsidRDefault="00471518" w:rsidP="00FB63F3">
      <w:pPr>
        <w:rPr>
          <w:rFonts w:ascii="Helvetica" w:hAnsi="Helvetica" w:cstheme="minorHAnsi"/>
          <w:b/>
          <w:sz w:val="20"/>
          <w:lang w:val="en-US"/>
        </w:rPr>
      </w:pPr>
    </w:p>
    <w:tbl>
      <w:tblPr>
        <w:tblStyle w:val="TableGrid"/>
        <w:tblW w:w="9265" w:type="dxa"/>
        <w:tblInd w:w="108" w:type="dxa"/>
        <w:tblLook w:val="04A0" w:firstRow="1" w:lastRow="0" w:firstColumn="1" w:lastColumn="0" w:noHBand="0" w:noVBand="1"/>
      </w:tblPr>
      <w:tblGrid>
        <w:gridCol w:w="3325"/>
        <w:gridCol w:w="1051"/>
        <w:gridCol w:w="993"/>
        <w:gridCol w:w="772"/>
        <w:gridCol w:w="625"/>
        <w:gridCol w:w="1300"/>
        <w:gridCol w:w="1199"/>
      </w:tblGrid>
      <w:tr w:rsidR="00471518" w:rsidRPr="00C73AAA" w:rsidTr="00FB63F3">
        <w:tc>
          <w:tcPr>
            <w:tcW w:w="3325" w:type="dxa"/>
            <w:tcBorders>
              <w:top w:val="single" w:sz="4" w:space="0" w:color="auto"/>
              <w:left w:val="nil"/>
              <w:bottom w:val="single" w:sz="4" w:space="0" w:color="auto"/>
              <w:right w:val="nil"/>
            </w:tcBorders>
            <w:vAlign w:val="center"/>
          </w:tcPr>
          <w:p w:rsidR="00471518" w:rsidRPr="00C73AAA" w:rsidRDefault="00471518" w:rsidP="00FB63F3">
            <w:pPr>
              <w:spacing w:before="40" w:after="40" w:line="480" w:lineRule="auto"/>
              <w:jc w:val="center"/>
              <w:rPr>
                <w:b/>
                <w:szCs w:val="22"/>
                <w:lang w:val="en-US"/>
              </w:rPr>
            </w:pPr>
          </w:p>
        </w:tc>
        <w:tc>
          <w:tcPr>
            <w:tcW w:w="2044" w:type="dxa"/>
            <w:gridSpan w:val="2"/>
            <w:tcBorders>
              <w:top w:val="single" w:sz="4" w:space="0" w:color="auto"/>
              <w:left w:val="nil"/>
              <w:bottom w:val="single" w:sz="4" w:space="0" w:color="auto"/>
              <w:right w:val="single" w:sz="4" w:space="0" w:color="auto"/>
            </w:tcBorders>
            <w:vAlign w:val="center"/>
          </w:tcPr>
          <w:p w:rsidR="00471518" w:rsidRPr="00C73AAA" w:rsidRDefault="00471518" w:rsidP="00FB63F3">
            <w:pPr>
              <w:spacing w:before="40" w:after="40" w:line="480" w:lineRule="auto"/>
              <w:jc w:val="center"/>
              <w:rPr>
                <w:b/>
                <w:szCs w:val="22"/>
                <w:lang w:val="en-US"/>
              </w:rPr>
            </w:pPr>
            <w:r w:rsidRPr="00C73AAA">
              <w:rPr>
                <w:b/>
                <w:szCs w:val="22"/>
                <w:lang w:val="en-US"/>
              </w:rPr>
              <w:t>Unstand. Coefficients</w:t>
            </w:r>
          </w:p>
        </w:tc>
        <w:tc>
          <w:tcPr>
            <w:tcW w:w="3896" w:type="dxa"/>
            <w:gridSpan w:val="4"/>
            <w:tcBorders>
              <w:top w:val="single" w:sz="4" w:space="0" w:color="auto"/>
              <w:left w:val="single" w:sz="4" w:space="0" w:color="auto"/>
              <w:bottom w:val="single" w:sz="4" w:space="0" w:color="auto"/>
              <w:right w:val="nil"/>
            </w:tcBorders>
            <w:vAlign w:val="center"/>
          </w:tcPr>
          <w:p w:rsidR="00471518" w:rsidRPr="00C73AAA" w:rsidRDefault="00471518" w:rsidP="00FB63F3">
            <w:pPr>
              <w:spacing w:before="40" w:after="40" w:line="480" w:lineRule="auto"/>
              <w:jc w:val="center"/>
              <w:rPr>
                <w:b/>
                <w:szCs w:val="22"/>
                <w:lang w:val="en-US"/>
              </w:rPr>
            </w:pPr>
            <w:r w:rsidRPr="00C73AAA">
              <w:rPr>
                <w:b/>
                <w:szCs w:val="22"/>
                <w:lang w:val="en-US"/>
              </w:rPr>
              <w:t>Model Summary</w:t>
            </w:r>
          </w:p>
        </w:tc>
      </w:tr>
      <w:tr w:rsidR="00471518" w:rsidRPr="00C73AAA" w:rsidTr="00FB63F3">
        <w:tc>
          <w:tcPr>
            <w:tcW w:w="3325" w:type="dxa"/>
            <w:tcBorders>
              <w:left w:val="nil"/>
              <w:bottom w:val="nil"/>
            </w:tcBorders>
            <w:shd w:val="clear" w:color="auto" w:fill="F2F2F2" w:themeFill="background1" w:themeFillShade="F2"/>
            <w:vAlign w:val="center"/>
          </w:tcPr>
          <w:p w:rsidR="00471518" w:rsidRPr="00C73AAA" w:rsidRDefault="00471518" w:rsidP="00FB63F3">
            <w:pPr>
              <w:spacing w:before="40" w:after="40" w:line="480" w:lineRule="auto"/>
              <w:jc w:val="center"/>
              <w:rPr>
                <w:b/>
                <w:szCs w:val="22"/>
                <w:lang w:val="en-US"/>
              </w:rPr>
            </w:pPr>
          </w:p>
        </w:tc>
        <w:tc>
          <w:tcPr>
            <w:tcW w:w="1051" w:type="dxa"/>
            <w:tcBorders>
              <w:bottom w:val="nil"/>
              <w:right w:val="nil"/>
            </w:tcBorders>
            <w:shd w:val="clear" w:color="auto" w:fill="F2F2F2" w:themeFill="background1" w:themeFillShade="F2"/>
            <w:vAlign w:val="center"/>
          </w:tcPr>
          <w:p w:rsidR="00471518" w:rsidRPr="00C73AAA" w:rsidRDefault="00471518" w:rsidP="00FB63F3">
            <w:pPr>
              <w:spacing w:before="40" w:after="40" w:line="480" w:lineRule="auto"/>
              <w:jc w:val="center"/>
              <w:rPr>
                <w:b/>
                <w:szCs w:val="22"/>
                <w:lang w:val="en-US"/>
              </w:rPr>
            </w:pPr>
            <w:r w:rsidRPr="00C73AAA">
              <w:rPr>
                <w:b/>
                <w:szCs w:val="22"/>
                <w:lang w:val="en-US"/>
              </w:rPr>
              <w:t>Beta</w:t>
            </w:r>
          </w:p>
        </w:tc>
        <w:tc>
          <w:tcPr>
            <w:tcW w:w="993" w:type="dxa"/>
            <w:tcBorders>
              <w:left w:val="nil"/>
              <w:bottom w:val="nil"/>
            </w:tcBorders>
            <w:shd w:val="clear" w:color="auto" w:fill="F2F2F2" w:themeFill="background1" w:themeFillShade="F2"/>
            <w:vAlign w:val="center"/>
          </w:tcPr>
          <w:p w:rsidR="00471518" w:rsidRPr="00C73AAA" w:rsidRDefault="00471518" w:rsidP="00FB63F3">
            <w:pPr>
              <w:spacing w:before="40" w:after="40" w:line="480" w:lineRule="auto"/>
              <w:jc w:val="center"/>
              <w:rPr>
                <w:b/>
                <w:szCs w:val="22"/>
                <w:lang w:val="en-US"/>
              </w:rPr>
            </w:pPr>
            <w:r w:rsidRPr="00C73AAA">
              <w:rPr>
                <w:b/>
                <w:szCs w:val="22"/>
                <w:lang w:val="en-US"/>
              </w:rPr>
              <w:t>S.E.</w:t>
            </w:r>
          </w:p>
        </w:tc>
        <w:tc>
          <w:tcPr>
            <w:tcW w:w="772" w:type="dxa"/>
            <w:tcBorders>
              <w:bottom w:val="nil"/>
              <w:right w:val="nil"/>
            </w:tcBorders>
            <w:shd w:val="clear" w:color="auto" w:fill="F2F2F2" w:themeFill="background1" w:themeFillShade="F2"/>
            <w:vAlign w:val="center"/>
          </w:tcPr>
          <w:p w:rsidR="00471518" w:rsidRPr="00C73AAA" w:rsidRDefault="00471518" w:rsidP="00FB63F3">
            <w:pPr>
              <w:spacing w:before="40" w:after="40" w:line="480" w:lineRule="auto"/>
              <w:jc w:val="center"/>
              <w:rPr>
                <w:b/>
                <w:szCs w:val="22"/>
                <w:vertAlign w:val="superscript"/>
                <w:lang w:val="en-US"/>
              </w:rPr>
            </w:pPr>
            <w:r w:rsidRPr="00C73AAA">
              <w:rPr>
                <w:b/>
                <w:szCs w:val="22"/>
                <w:lang w:val="en-US"/>
              </w:rPr>
              <w:t>d.f.</w:t>
            </w:r>
          </w:p>
        </w:tc>
        <w:tc>
          <w:tcPr>
            <w:tcW w:w="625" w:type="dxa"/>
            <w:tcBorders>
              <w:left w:val="nil"/>
              <w:bottom w:val="nil"/>
              <w:right w:val="nil"/>
            </w:tcBorders>
            <w:shd w:val="clear" w:color="auto" w:fill="F2F2F2" w:themeFill="background1" w:themeFillShade="F2"/>
            <w:vAlign w:val="center"/>
          </w:tcPr>
          <w:p w:rsidR="00471518" w:rsidRPr="00C73AAA" w:rsidRDefault="00471518" w:rsidP="00FB63F3">
            <w:pPr>
              <w:spacing w:before="40" w:after="40" w:line="480" w:lineRule="auto"/>
              <w:jc w:val="center"/>
              <w:rPr>
                <w:b/>
                <w:szCs w:val="22"/>
                <w:vertAlign w:val="superscript"/>
                <w:lang w:val="en-US"/>
              </w:rPr>
            </w:pPr>
            <w:r w:rsidRPr="00C73AAA">
              <w:rPr>
                <w:b/>
                <w:szCs w:val="22"/>
                <w:lang w:val="en-US"/>
              </w:rPr>
              <w:t>R</w:t>
            </w:r>
            <w:r w:rsidRPr="00C73AAA">
              <w:rPr>
                <w:b/>
                <w:szCs w:val="22"/>
                <w:vertAlign w:val="superscript"/>
                <w:lang w:val="en-US"/>
              </w:rPr>
              <w:t>2</w:t>
            </w:r>
          </w:p>
        </w:tc>
        <w:tc>
          <w:tcPr>
            <w:tcW w:w="1300" w:type="dxa"/>
            <w:tcBorders>
              <w:left w:val="nil"/>
              <w:bottom w:val="nil"/>
              <w:right w:val="nil"/>
            </w:tcBorders>
            <w:shd w:val="clear" w:color="auto" w:fill="F2F2F2" w:themeFill="background1" w:themeFillShade="F2"/>
            <w:vAlign w:val="center"/>
          </w:tcPr>
          <w:p w:rsidR="00471518" w:rsidRPr="00C73AAA" w:rsidRDefault="00471518" w:rsidP="00FB63F3">
            <w:pPr>
              <w:spacing w:before="40" w:after="40" w:line="480" w:lineRule="auto"/>
              <w:jc w:val="center"/>
              <w:rPr>
                <w:b/>
                <w:szCs w:val="22"/>
                <w:lang w:val="en-US"/>
              </w:rPr>
            </w:pPr>
            <w:r w:rsidRPr="00C73AAA">
              <w:rPr>
                <w:b/>
                <w:szCs w:val="22"/>
                <w:lang w:val="en-US"/>
              </w:rPr>
              <w:t>R</w:t>
            </w:r>
            <w:r w:rsidRPr="00C73AAA">
              <w:rPr>
                <w:b/>
                <w:szCs w:val="22"/>
                <w:vertAlign w:val="superscript"/>
                <w:lang w:val="en-US"/>
              </w:rPr>
              <w:t>2</w:t>
            </w:r>
            <w:r w:rsidRPr="00C73AAA">
              <w:rPr>
                <w:b/>
                <w:szCs w:val="22"/>
                <w:lang w:val="en-US"/>
              </w:rPr>
              <w:t xml:space="preserve"> change</w:t>
            </w:r>
          </w:p>
        </w:tc>
        <w:tc>
          <w:tcPr>
            <w:tcW w:w="1199" w:type="dxa"/>
            <w:tcBorders>
              <w:left w:val="nil"/>
              <w:bottom w:val="nil"/>
              <w:right w:val="nil"/>
            </w:tcBorders>
            <w:shd w:val="clear" w:color="auto" w:fill="F2F2F2" w:themeFill="background1" w:themeFillShade="F2"/>
            <w:vAlign w:val="center"/>
          </w:tcPr>
          <w:p w:rsidR="00471518" w:rsidRPr="00C73AAA" w:rsidRDefault="00471518" w:rsidP="00FB63F3">
            <w:pPr>
              <w:spacing w:before="40" w:after="40" w:line="480" w:lineRule="auto"/>
              <w:jc w:val="center"/>
              <w:rPr>
                <w:b/>
                <w:szCs w:val="22"/>
                <w:lang w:val="en-US"/>
              </w:rPr>
            </w:pPr>
            <w:r w:rsidRPr="00C73AAA">
              <w:rPr>
                <w:b/>
                <w:szCs w:val="22"/>
                <w:lang w:val="en-US"/>
              </w:rPr>
              <w:t>F change</w:t>
            </w:r>
          </w:p>
        </w:tc>
      </w:tr>
      <w:tr w:rsidR="00471518" w:rsidRPr="00C73AAA" w:rsidTr="00FB63F3">
        <w:tc>
          <w:tcPr>
            <w:tcW w:w="3325" w:type="dxa"/>
            <w:tcBorders>
              <w:top w:val="nil"/>
              <w:left w:val="nil"/>
            </w:tcBorders>
            <w:shd w:val="clear" w:color="auto" w:fill="auto"/>
          </w:tcPr>
          <w:p w:rsidR="00471518" w:rsidRPr="00C73AAA" w:rsidRDefault="00471518" w:rsidP="00FB63F3">
            <w:pPr>
              <w:spacing w:before="40" w:after="40" w:line="480" w:lineRule="auto"/>
              <w:jc w:val="both"/>
              <w:rPr>
                <w:b/>
                <w:szCs w:val="22"/>
                <w:lang w:val="en-US"/>
              </w:rPr>
            </w:pPr>
            <w:r w:rsidRPr="00C73AAA">
              <w:rPr>
                <w:b/>
                <w:szCs w:val="22"/>
                <w:lang w:val="en-US"/>
              </w:rPr>
              <w:t>Block 1</w:t>
            </w:r>
          </w:p>
          <w:p w:rsidR="00471518" w:rsidRPr="00C73AAA" w:rsidRDefault="00471518" w:rsidP="00FB63F3">
            <w:pPr>
              <w:spacing w:before="40" w:after="40" w:line="480" w:lineRule="auto"/>
              <w:jc w:val="both"/>
              <w:rPr>
                <w:szCs w:val="22"/>
                <w:lang w:val="en-US"/>
              </w:rPr>
            </w:pPr>
            <w:r>
              <w:rPr>
                <w:szCs w:val="22"/>
                <w:lang w:val="en-US"/>
              </w:rPr>
              <w:t>CCS</w:t>
            </w:r>
            <w:r w:rsidRPr="00C73AAA">
              <w:rPr>
                <w:szCs w:val="22"/>
                <w:lang w:val="en-US"/>
              </w:rPr>
              <w:t xml:space="preserve"> T0</w:t>
            </w:r>
          </w:p>
        </w:tc>
        <w:tc>
          <w:tcPr>
            <w:tcW w:w="1051" w:type="dxa"/>
            <w:tcBorders>
              <w:top w:val="nil"/>
              <w:right w:val="nil"/>
            </w:tcBorders>
            <w:shd w:val="clear" w:color="auto" w:fill="auto"/>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.357</w:t>
            </w:r>
          </w:p>
        </w:tc>
        <w:tc>
          <w:tcPr>
            <w:tcW w:w="993" w:type="dxa"/>
            <w:tcBorders>
              <w:top w:val="nil"/>
              <w:left w:val="nil"/>
            </w:tcBorders>
            <w:shd w:val="clear" w:color="auto" w:fill="auto"/>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.125</w:t>
            </w:r>
          </w:p>
        </w:tc>
        <w:tc>
          <w:tcPr>
            <w:tcW w:w="772" w:type="dxa"/>
            <w:tcBorders>
              <w:top w:val="nil"/>
              <w:bottom w:val="single" w:sz="4" w:space="0" w:color="auto"/>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1, 56</w:t>
            </w:r>
          </w:p>
          <w:p w:rsidR="00471518" w:rsidRPr="00C73AAA" w:rsidRDefault="00471518" w:rsidP="00FB63F3">
            <w:pPr>
              <w:spacing w:before="40" w:after="40" w:line="480" w:lineRule="auto"/>
              <w:jc w:val="center"/>
              <w:rPr>
                <w:b/>
                <w:szCs w:val="22"/>
                <w:lang w:val="en-US"/>
              </w:rPr>
            </w:pPr>
          </w:p>
        </w:tc>
        <w:tc>
          <w:tcPr>
            <w:tcW w:w="625" w:type="dxa"/>
            <w:tcBorders>
              <w:top w:val="nil"/>
              <w:left w:val="nil"/>
              <w:bottom w:val="single" w:sz="4" w:space="0" w:color="auto"/>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.127</w:t>
            </w:r>
          </w:p>
        </w:tc>
        <w:tc>
          <w:tcPr>
            <w:tcW w:w="1300" w:type="dxa"/>
            <w:tcBorders>
              <w:top w:val="nil"/>
              <w:left w:val="nil"/>
              <w:bottom w:val="single" w:sz="4" w:space="0" w:color="auto"/>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.127</w:t>
            </w:r>
          </w:p>
        </w:tc>
        <w:tc>
          <w:tcPr>
            <w:tcW w:w="1199" w:type="dxa"/>
            <w:tcBorders>
              <w:top w:val="nil"/>
              <w:left w:val="nil"/>
              <w:bottom w:val="single" w:sz="4" w:space="0" w:color="auto"/>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8.137*</w:t>
            </w:r>
          </w:p>
        </w:tc>
      </w:tr>
      <w:tr w:rsidR="00471518" w:rsidRPr="00C73AAA" w:rsidTr="00FB63F3">
        <w:tc>
          <w:tcPr>
            <w:tcW w:w="3325" w:type="dxa"/>
            <w:tcBorders>
              <w:left w:val="nil"/>
            </w:tcBorders>
            <w:shd w:val="clear" w:color="auto" w:fill="auto"/>
          </w:tcPr>
          <w:p w:rsidR="00471518" w:rsidRPr="00C73AAA" w:rsidRDefault="00471518" w:rsidP="00FB63F3">
            <w:pPr>
              <w:spacing w:before="40" w:after="40" w:line="480" w:lineRule="auto"/>
              <w:jc w:val="both"/>
              <w:rPr>
                <w:b/>
                <w:szCs w:val="22"/>
                <w:lang w:val="en-US"/>
              </w:rPr>
            </w:pPr>
            <w:r w:rsidRPr="00C73AAA">
              <w:rPr>
                <w:b/>
                <w:szCs w:val="22"/>
                <w:lang w:val="en-US"/>
              </w:rPr>
              <w:t>Block 2</w:t>
            </w:r>
          </w:p>
          <w:p w:rsidR="00471518" w:rsidRPr="00C73AAA" w:rsidRDefault="00471518" w:rsidP="00FB63F3">
            <w:pPr>
              <w:spacing w:before="40" w:after="40" w:line="480" w:lineRule="auto"/>
              <w:jc w:val="both"/>
              <w:rPr>
                <w:szCs w:val="22"/>
                <w:lang w:val="en-US"/>
              </w:rPr>
            </w:pPr>
            <w:r>
              <w:rPr>
                <w:szCs w:val="22"/>
                <w:lang w:val="en-US"/>
              </w:rPr>
              <w:t>CCS</w:t>
            </w:r>
            <w:r w:rsidRPr="00C73AAA">
              <w:rPr>
                <w:szCs w:val="22"/>
                <w:lang w:val="en-US"/>
              </w:rPr>
              <w:t xml:space="preserve"> T0</w:t>
            </w:r>
          </w:p>
          <w:p w:rsidR="00471518" w:rsidRPr="00C73AAA" w:rsidRDefault="00471518" w:rsidP="00FB63F3">
            <w:pPr>
              <w:spacing w:before="40" w:after="40" w:line="480" w:lineRule="auto"/>
              <w:jc w:val="both"/>
              <w:rPr>
                <w:szCs w:val="22"/>
                <w:lang w:val="en-US"/>
              </w:rPr>
            </w:pPr>
            <w:r w:rsidRPr="00C73AAA">
              <w:rPr>
                <w:szCs w:val="22"/>
                <w:lang w:val="en-US"/>
              </w:rPr>
              <w:t>Caregiver fatigue</w:t>
            </w:r>
          </w:p>
          <w:p w:rsidR="00471518" w:rsidRPr="00C73AAA" w:rsidRDefault="00471518" w:rsidP="00FB63F3">
            <w:pPr>
              <w:spacing w:before="40" w:after="40" w:line="480" w:lineRule="auto"/>
              <w:jc w:val="both"/>
              <w:rPr>
                <w:szCs w:val="22"/>
                <w:lang w:val="en-US"/>
              </w:rPr>
            </w:pPr>
            <w:r w:rsidRPr="00C73AAA">
              <w:rPr>
                <w:szCs w:val="22"/>
                <w:lang w:val="en-US"/>
              </w:rPr>
              <w:t>Caregiver strain</w:t>
            </w:r>
          </w:p>
        </w:tc>
        <w:tc>
          <w:tcPr>
            <w:tcW w:w="1051" w:type="dxa"/>
            <w:tcBorders>
              <w:right w:val="nil"/>
            </w:tcBorders>
            <w:shd w:val="clear" w:color="auto" w:fill="auto"/>
          </w:tcPr>
          <w:p w:rsidR="00471518" w:rsidRPr="00C73AAA" w:rsidRDefault="00471518" w:rsidP="00FB63F3">
            <w:pPr>
              <w:spacing w:before="40" w:after="40" w:line="480" w:lineRule="auto"/>
              <w:jc w:val="center"/>
              <w:rPr>
                <w:b/>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.247</w:t>
            </w:r>
          </w:p>
          <w:p w:rsidR="00471518" w:rsidRPr="00C73AAA" w:rsidRDefault="00471518" w:rsidP="00FB63F3">
            <w:pPr>
              <w:spacing w:before="40" w:after="40" w:line="480" w:lineRule="auto"/>
              <w:jc w:val="center"/>
              <w:rPr>
                <w:szCs w:val="22"/>
                <w:lang w:val="en-US"/>
              </w:rPr>
            </w:pPr>
            <w:r w:rsidRPr="00C73AAA">
              <w:rPr>
                <w:szCs w:val="22"/>
                <w:lang w:val="en-US"/>
              </w:rPr>
              <w:t>.138</w:t>
            </w:r>
          </w:p>
          <w:p w:rsidR="00471518" w:rsidRPr="00C73AAA" w:rsidRDefault="00471518" w:rsidP="00FB63F3">
            <w:pPr>
              <w:spacing w:before="40" w:after="40" w:line="480" w:lineRule="auto"/>
              <w:jc w:val="center"/>
              <w:rPr>
                <w:b/>
                <w:szCs w:val="22"/>
                <w:lang w:val="en-US"/>
              </w:rPr>
            </w:pPr>
            <w:r w:rsidRPr="00C73AAA">
              <w:rPr>
                <w:szCs w:val="22"/>
                <w:lang w:val="en-US"/>
              </w:rPr>
              <w:t>1.135</w:t>
            </w:r>
          </w:p>
        </w:tc>
        <w:tc>
          <w:tcPr>
            <w:tcW w:w="993" w:type="dxa"/>
            <w:tcBorders>
              <w:left w:val="nil"/>
            </w:tcBorders>
            <w:shd w:val="clear" w:color="auto" w:fill="auto"/>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.128</w:t>
            </w:r>
          </w:p>
          <w:p w:rsidR="00471518" w:rsidRPr="00C73AAA" w:rsidRDefault="00471518" w:rsidP="00FB63F3">
            <w:pPr>
              <w:spacing w:before="40" w:after="40" w:line="480" w:lineRule="auto"/>
              <w:jc w:val="center"/>
              <w:rPr>
                <w:szCs w:val="22"/>
                <w:lang w:val="en-US"/>
              </w:rPr>
            </w:pPr>
            <w:r w:rsidRPr="00C73AAA">
              <w:rPr>
                <w:szCs w:val="22"/>
                <w:lang w:val="en-US"/>
              </w:rPr>
              <w:t>.109</w:t>
            </w:r>
          </w:p>
          <w:p w:rsidR="00471518" w:rsidRPr="00C73AAA" w:rsidRDefault="00471518" w:rsidP="00FB63F3">
            <w:pPr>
              <w:spacing w:before="40" w:after="40" w:line="480" w:lineRule="auto"/>
              <w:jc w:val="center"/>
              <w:rPr>
                <w:szCs w:val="22"/>
                <w:lang w:val="en-US"/>
              </w:rPr>
            </w:pPr>
            <w:r w:rsidRPr="00C73AAA">
              <w:rPr>
                <w:szCs w:val="22"/>
                <w:lang w:val="en-US"/>
              </w:rPr>
              <w:t>.766</w:t>
            </w:r>
          </w:p>
        </w:tc>
        <w:tc>
          <w:tcPr>
            <w:tcW w:w="772" w:type="dxa"/>
            <w:tcBorders>
              <w:top w:val="single" w:sz="4" w:space="0" w:color="auto"/>
              <w:bottom w:val="single" w:sz="4" w:space="0" w:color="auto"/>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1, 54</w:t>
            </w:r>
          </w:p>
        </w:tc>
        <w:tc>
          <w:tcPr>
            <w:tcW w:w="625" w:type="dxa"/>
            <w:tcBorders>
              <w:top w:val="single" w:sz="4" w:space="0" w:color="auto"/>
              <w:left w:val="nil"/>
              <w:bottom w:val="single" w:sz="4" w:space="0" w:color="auto"/>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.224</w:t>
            </w:r>
          </w:p>
        </w:tc>
        <w:tc>
          <w:tcPr>
            <w:tcW w:w="1300" w:type="dxa"/>
            <w:tcBorders>
              <w:top w:val="single" w:sz="4" w:space="0" w:color="auto"/>
              <w:left w:val="nil"/>
              <w:bottom w:val="single" w:sz="4" w:space="0" w:color="auto"/>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.098</w:t>
            </w:r>
          </w:p>
        </w:tc>
        <w:tc>
          <w:tcPr>
            <w:tcW w:w="1199" w:type="dxa"/>
            <w:tcBorders>
              <w:top w:val="single" w:sz="4" w:space="0" w:color="auto"/>
              <w:left w:val="nil"/>
              <w:bottom w:val="single" w:sz="4" w:space="0" w:color="auto"/>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3.395*</w:t>
            </w:r>
          </w:p>
        </w:tc>
      </w:tr>
      <w:tr w:rsidR="00471518" w:rsidRPr="00C73AAA" w:rsidTr="00FB63F3">
        <w:tc>
          <w:tcPr>
            <w:tcW w:w="3325" w:type="dxa"/>
            <w:tcBorders>
              <w:left w:val="nil"/>
            </w:tcBorders>
            <w:shd w:val="clear" w:color="auto" w:fill="auto"/>
          </w:tcPr>
          <w:p w:rsidR="00471518" w:rsidRPr="00C73AAA" w:rsidRDefault="00471518" w:rsidP="00FB63F3">
            <w:pPr>
              <w:spacing w:before="40" w:after="40" w:line="480" w:lineRule="auto"/>
              <w:jc w:val="both"/>
              <w:rPr>
                <w:b/>
                <w:szCs w:val="22"/>
                <w:lang w:val="en-US"/>
              </w:rPr>
            </w:pPr>
            <w:r w:rsidRPr="00C73AAA">
              <w:rPr>
                <w:b/>
                <w:szCs w:val="22"/>
                <w:lang w:val="en-US"/>
              </w:rPr>
              <w:t>Block 3</w:t>
            </w:r>
          </w:p>
          <w:p w:rsidR="00471518" w:rsidRPr="00C73AAA" w:rsidRDefault="00471518" w:rsidP="00FB63F3">
            <w:pPr>
              <w:spacing w:before="40" w:after="40" w:line="480" w:lineRule="auto"/>
              <w:jc w:val="both"/>
              <w:rPr>
                <w:szCs w:val="22"/>
                <w:lang w:val="en-US"/>
              </w:rPr>
            </w:pPr>
            <w:r>
              <w:rPr>
                <w:szCs w:val="22"/>
                <w:lang w:val="en-US"/>
              </w:rPr>
              <w:t>CCS</w:t>
            </w:r>
            <w:r w:rsidRPr="00C73AAA">
              <w:rPr>
                <w:szCs w:val="22"/>
                <w:lang w:val="en-US"/>
              </w:rPr>
              <w:t xml:space="preserve"> T0</w:t>
            </w:r>
          </w:p>
          <w:p w:rsidR="00471518" w:rsidRPr="00C73AAA" w:rsidRDefault="00471518" w:rsidP="00FB63F3">
            <w:pPr>
              <w:spacing w:before="40" w:after="40" w:line="480" w:lineRule="auto"/>
              <w:jc w:val="both"/>
              <w:rPr>
                <w:szCs w:val="22"/>
                <w:lang w:val="en-US"/>
              </w:rPr>
            </w:pPr>
            <w:r w:rsidRPr="00C73AAA">
              <w:rPr>
                <w:szCs w:val="22"/>
                <w:lang w:val="en-US"/>
              </w:rPr>
              <w:t>Caregiver fatigue</w:t>
            </w:r>
          </w:p>
          <w:p w:rsidR="00471518" w:rsidRPr="00C73AAA" w:rsidRDefault="00471518" w:rsidP="00FB63F3">
            <w:pPr>
              <w:spacing w:before="40" w:after="40" w:line="480" w:lineRule="auto"/>
              <w:jc w:val="both"/>
              <w:rPr>
                <w:szCs w:val="22"/>
                <w:lang w:val="en-US"/>
              </w:rPr>
            </w:pPr>
            <w:r w:rsidRPr="00C73AAA">
              <w:rPr>
                <w:szCs w:val="22"/>
                <w:lang w:val="en-US"/>
              </w:rPr>
              <w:t>Caregiver strain</w:t>
            </w:r>
          </w:p>
          <w:p w:rsidR="00471518" w:rsidRDefault="00471518" w:rsidP="00FB63F3">
            <w:pPr>
              <w:spacing w:before="40" w:after="40" w:line="480" w:lineRule="auto"/>
              <w:jc w:val="both"/>
              <w:rPr>
                <w:szCs w:val="22"/>
                <w:lang w:val="en-US"/>
              </w:rPr>
            </w:pPr>
            <w:r w:rsidRPr="00C73AAA">
              <w:rPr>
                <w:szCs w:val="22"/>
                <w:lang w:val="en-US"/>
              </w:rPr>
              <w:t>Caregiver self-esteem</w:t>
            </w:r>
          </w:p>
          <w:p w:rsidR="00471518" w:rsidRPr="00C73AAA" w:rsidRDefault="00471518" w:rsidP="00FB63F3">
            <w:pPr>
              <w:spacing w:before="40" w:after="40" w:line="480" w:lineRule="auto"/>
              <w:jc w:val="both"/>
              <w:rPr>
                <w:szCs w:val="22"/>
                <w:lang w:val="en-US"/>
              </w:rPr>
            </w:pPr>
            <w:r>
              <w:rPr>
                <w:szCs w:val="22"/>
                <w:lang w:val="en-US"/>
              </w:rPr>
              <w:t>Caregiver relationship satisfaction</w:t>
            </w:r>
          </w:p>
        </w:tc>
        <w:tc>
          <w:tcPr>
            <w:tcW w:w="1051" w:type="dxa"/>
            <w:tcBorders>
              <w:right w:val="nil"/>
            </w:tcBorders>
            <w:shd w:val="clear" w:color="auto" w:fill="auto"/>
          </w:tcPr>
          <w:p w:rsidR="00471518" w:rsidRPr="00C73AAA" w:rsidRDefault="00471518" w:rsidP="00FB63F3">
            <w:pPr>
              <w:spacing w:before="40" w:after="40" w:line="480" w:lineRule="auto"/>
              <w:jc w:val="center"/>
              <w:rPr>
                <w:b/>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.231</w:t>
            </w:r>
          </w:p>
          <w:p w:rsidR="00471518" w:rsidRPr="00C73AAA" w:rsidRDefault="00471518" w:rsidP="00FB63F3">
            <w:pPr>
              <w:spacing w:before="40" w:after="40" w:line="480" w:lineRule="auto"/>
              <w:jc w:val="center"/>
              <w:rPr>
                <w:szCs w:val="22"/>
                <w:lang w:val="en-US"/>
              </w:rPr>
            </w:pPr>
            <w:r w:rsidRPr="00C73AAA">
              <w:rPr>
                <w:szCs w:val="22"/>
                <w:lang w:val="en-US"/>
              </w:rPr>
              <w:t>.108</w:t>
            </w:r>
          </w:p>
          <w:p w:rsidR="00471518" w:rsidRPr="00C73AAA" w:rsidRDefault="00471518" w:rsidP="00FB63F3">
            <w:pPr>
              <w:spacing w:before="40" w:after="40" w:line="480" w:lineRule="auto"/>
              <w:jc w:val="center"/>
              <w:rPr>
                <w:szCs w:val="22"/>
                <w:lang w:val="en-US"/>
              </w:rPr>
            </w:pPr>
            <w:r w:rsidRPr="00C73AAA">
              <w:rPr>
                <w:szCs w:val="22"/>
                <w:lang w:val="en-US"/>
              </w:rPr>
              <w:t>.986</w:t>
            </w:r>
          </w:p>
          <w:p w:rsidR="00471518" w:rsidRDefault="00471518" w:rsidP="00FB63F3">
            <w:pPr>
              <w:spacing w:before="40" w:after="40" w:line="480" w:lineRule="auto"/>
              <w:jc w:val="center"/>
              <w:rPr>
                <w:szCs w:val="22"/>
                <w:lang w:val="en-US"/>
              </w:rPr>
            </w:pPr>
            <w:r w:rsidRPr="00C73AAA">
              <w:rPr>
                <w:szCs w:val="22"/>
                <w:lang w:val="en-US"/>
              </w:rPr>
              <w:t>-.193</w:t>
            </w:r>
          </w:p>
          <w:p w:rsidR="00471518" w:rsidRPr="00C73AAA" w:rsidRDefault="00471518" w:rsidP="00FB63F3">
            <w:pPr>
              <w:spacing w:before="40" w:after="40" w:line="480" w:lineRule="auto"/>
              <w:jc w:val="center"/>
              <w:rPr>
                <w:szCs w:val="22"/>
                <w:lang w:val="en-US"/>
              </w:rPr>
            </w:pPr>
            <w:r>
              <w:rPr>
                <w:szCs w:val="22"/>
                <w:lang w:val="en-US"/>
              </w:rPr>
              <w:t>.161</w:t>
            </w:r>
          </w:p>
        </w:tc>
        <w:tc>
          <w:tcPr>
            <w:tcW w:w="993" w:type="dxa"/>
            <w:tcBorders>
              <w:left w:val="nil"/>
            </w:tcBorders>
            <w:shd w:val="clear" w:color="auto" w:fill="auto"/>
          </w:tcPr>
          <w:p w:rsidR="00471518" w:rsidRPr="00C73AAA" w:rsidRDefault="00471518" w:rsidP="00FB63F3">
            <w:pPr>
              <w:spacing w:before="40" w:after="40" w:line="480" w:lineRule="auto"/>
              <w:jc w:val="center"/>
              <w:rPr>
                <w:szCs w:val="22"/>
                <w:lang w:val="en-US"/>
              </w:rPr>
            </w:pPr>
          </w:p>
          <w:p w:rsidR="00471518" w:rsidRPr="00C73AAA" w:rsidRDefault="00471518" w:rsidP="00FB63F3">
            <w:pPr>
              <w:spacing w:before="40" w:after="40" w:line="480" w:lineRule="auto"/>
              <w:jc w:val="center"/>
              <w:rPr>
                <w:szCs w:val="22"/>
                <w:lang w:val="en-US"/>
              </w:rPr>
            </w:pPr>
            <w:r w:rsidRPr="00C73AAA">
              <w:rPr>
                <w:szCs w:val="22"/>
                <w:lang w:val="en-US"/>
              </w:rPr>
              <w:t>.132</w:t>
            </w:r>
          </w:p>
          <w:p w:rsidR="00471518" w:rsidRPr="00C73AAA" w:rsidRDefault="00471518" w:rsidP="00FB63F3">
            <w:pPr>
              <w:spacing w:before="40" w:after="40" w:line="480" w:lineRule="auto"/>
              <w:jc w:val="center"/>
              <w:rPr>
                <w:szCs w:val="22"/>
                <w:lang w:val="en-US"/>
              </w:rPr>
            </w:pPr>
            <w:r w:rsidRPr="00C73AAA">
              <w:rPr>
                <w:szCs w:val="22"/>
                <w:lang w:val="en-US"/>
              </w:rPr>
              <w:t>.112</w:t>
            </w:r>
          </w:p>
          <w:p w:rsidR="00471518" w:rsidRPr="00C73AAA" w:rsidRDefault="00471518" w:rsidP="00FB63F3">
            <w:pPr>
              <w:spacing w:before="40" w:after="40" w:line="480" w:lineRule="auto"/>
              <w:jc w:val="center"/>
              <w:rPr>
                <w:szCs w:val="22"/>
                <w:lang w:val="en-US"/>
              </w:rPr>
            </w:pPr>
            <w:r w:rsidRPr="00C73AAA">
              <w:rPr>
                <w:szCs w:val="22"/>
                <w:lang w:val="en-US"/>
              </w:rPr>
              <w:t>.788</w:t>
            </w:r>
          </w:p>
          <w:p w:rsidR="00471518" w:rsidRDefault="00471518" w:rsidP="00FB63F3">
            <w:pPr>
              <w:spacing w:before="40" w:after="40" w:line="480" w:lineRule="auto"/>
              <w:jc w:val="center"/>
              <w:rPr>
                <w:szCs w:val="22"/>
                <w:lang w:val="en-US"/>
              </w:rPr>
            </w:pPr>
            <w:r w:rsidRPr="00C73AAA">
              <w:rPr>
                <w:szCs w:val="22"/>
                <w:lang w:val="en-US"/>
              </w:rPr>
              <w:t>.440</w:t>
            </w:r>
          </w:p>
          <w:p w:rsidR="00471518" w:rsidRPr="00C73AAA" w:rsidRDefault="00471518" w:rsidP="00FB63F3">
            <w:pPr>
              <w:spacing w:before="40" w:after="40" w:line="480" w:lineRule="auto"/>
              <w:jc w:val="center"/>
              <w:rPr>
                <w:szCs w:val="22"/>
                <w:lang w:val="en-US"/>
              </w:rPr>
            </w:pPr>
            <w:r>
              <w:rPr>
                <w:szCs w:val="22"/>
                <w:lang w:val="en-US"/>
              </w:rPr>
              <w:t>.149</w:t>
            </w:r>
          </w:p>
        </w:tc>
        <w:tc>
          <w:tcPr>
            <w:tcW w:w="772" w:type="dxa"/>
            <w:tcBorders>
              <w:top w:val="single" w:sz="4" w:space="0" w:color="auto"/>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1, 52</w:t>
            </w:r>
          </w:p>
        </w:tc>
        <w:tc>
          <w:tcPr>
            <w:tcW w:w="625" w:type="dxa"/>
            <w:tcBorders>
              <w:top w:val="single" w:sz="4" w:space="0" w:color="auto"/>
              <w:left w:val="nil"/>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.250</w:t>
            </w:r>
          </w:p>
        </w:tc>
        <w:tc>
          <w:tcPr>
            <w:tcW w:w="1300" w:type="dxa"/>
            <w:tcBorders>
              <w:top w:val="single" w:sz="4" w:space="0" w:color="auto"/>
              <w:left w:val="nil"/>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.026</w:t>
            </w:r>
          </w:p>
        </w:tc>
        <w:tc>
          <w:tcPr>
            <w:tcW w:w="1199" w:type="dxa"/>
            <w:tcBorders>
              <w:top w:val="single" w:sz="4" w:space="0" w:color="auto"/>
              <w:left w:val="nil"/>
              <w:right w:val="nil"/>
            </w:tcBorders>
            <w:shd w:val="clear" w:color="auto" w:fill="auto"/>
          </w:tcPr>
          <w:p w:rsidR="00471518" w:rsidRPr="00C73AAA" w:rsidRDefault="00471518" w:rsidP="00FB63F3">
            <w:pPr>
              <w:spacing w:before="40" w:after="40" w:line="480" w:lineRule="auto"/>
              <w:jc w:val="center"/>
              <w:rPr>
                <w:szCs w:val="22"/>
                <w:lang w:val="en-US"/>
              </w:rPr>
            </w:pPr>
            <w:r w:rsidRPr="00C73AAA">
              <w:rPr>
                <w:szCs w:val="22"/>
                <w:lang w:val="en-US"/>
              </w:rPr>
              <w:t>.884</w:t>
            </w:r>
          </w:p>
        </w:tc>
      </w:tr>
    </w:tbl>
    <w:p w:rsidR="00471518" w:rsidRPr="006B2070" w:rsidRDefault="00471518" w:rsidP="00FB63F3">
      <w:pPr>
        <w:spacing w:line="360" w:lineRule="auto"/>
        <w:jc w:val="both"/>
        <w:rPr>
          <w:sz w:val="18"/>
          <w:szCs w:val="22"/>
          <w:lang w:val="en-US"/>
        </w:rPr>
      </w:pPr>
      <w:r w:rsidRPr="006B2070">
        <w:rPr>
          <w:sz w:val="18"/>
          <w:szCs w:val="22"/>
          <w:lang w:val="en-US"/>
        </w:rPr>
        <w:t>* Statistically significant values (</w:t>
      </w:r>
      <w:r w:rsidRPr="006B2070">
        <w:rPr>
          <w:i/>
          <w:sz w:val="18"/>
          <w:szCs w:val="22"/>
          <w:lang w:val="en-US"/>
        </w:rPr>
        <w:t>p</w:t>
      </w:r>
      <w:r w:rsidRPr="006B2070">
        <w:rPr>
          <w:sz w:val="18"/>
          <w:szCs w:val="22"/>
          <w:lang w:val="en-US"/>
        </w:rPr>
        <w:t xml:space="preserve"> &lt; .05).</w:t>
      </w:r>
    </w:p>
    <w:p w:rsidR="00471518" w:rsidRDefault="00471518" w:rsidP="00FB63F3">
      <w:pPr>
        <w:spacing w:line="360" w:lineRule="auto"/>
        <w:jc w:val="both"/>
        <w:rPr>
          <w:sz w:val="18"/>
          <w:szCs w:val="22"/>
          <w:lang w:val="en-US"/>
        </w:rPr>
      </w:pPr>
      <w:r>
        <w:rPr>
          <w:sz w:val="18"/>
          <w:szCs w:val="22"/>
          <w:lang w:val="en-US"/>
        </w:rPr>
        <w:t>CCS = Continuous congruence score.</w:t>
      </w:r>
    </w:p>
    <w:p w:rsidR="00471518" w:rsidRDefault="00471518" w:rsidP="00FB63F3">
      <w:pPr>
        <w:spacing w:line="360" w:lineRule="auto"/>
        <w:jc w:val="both"/>
        <w:rPr>
          <w:sz w:val="18"/>
          <w:szCs w:val="22"/>
          <w:lang w:val="en-US"/>
        </w:rPr>
      </w:pPr>
    </w:p>
    <w:p w:rsidR="00471518" w:rsidRPr="00653D32" w:rsidRDefault="00471518" w:rsidP="00FB63F3">
      <w:pPr>
        <w:rPr>
          <w:noProof/>
          <w:sz w:val="18"/>
          <w:szCs w:val="22"/>
          <w:lang w:val="en-US"/>
        </w:rPr>
      </w:pPr>
    </w:p>
    <w:sectPr w:rsidR="00471518" w:rsidRPr="00653D32" w:rsidSect="00FB63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55" w:rsidRDefault="009F1455" w:rsidP="002E151C">
      <w:r>
        <w:separator/>
      </w:r>
    </w:p>
  </w:endnote>
  <w:endnote w:type="continuationSeparator" w:id="0">
    <w:p w:rsidR="009F1455" w:rsidRDefault="009F1455" w:rsidP="002E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B2" w:rsidRDefault="008C3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7876"/>
      <w:docPartObj>
        <w:docPartGallery w:val="Page Numbers (Bottom of Page)"/>
        <w:docPartUnique/>
      </w:docPartObj>
    </w:sdtPr>
    <w:sdtEndPr>
      <w:rPr>
        <w:sz w:val="20"/>
      </w:rPr>
    </w:sdtEndPr>
    <w:sdtContent>
      <w:p w:rsidR="00280B50" w:rsidRPr="00C73AAA" w:rsidRDefault="00C86B95">
        <w:pPr>
          <w:pStyle w:val="Footer"/>
          <w:jc w:val="right"/>
        </w:pPr>
        <w:r w:rsidRPr="00C73AAA">
          <w:rPr>
            <w:sz w:val="20"/>
          </w:rPr>
          <w:fldChar w:fldCharType="begin"/>
        </w:r>
        <w:r w:rsidR="00280B50" w:rsidRPr="00C73AAA">
          <w:rPr>
            <w:sz w:val="20"/>
          </w:rPr>
          <w:instrText xml:space="preserve"> PAGE   \* MERGEFORMAT </w:instrText>
        </w:r>
        <w:r w:rsidRPr="00C73AAA">
          <w:rPr>
            <w:sz w:val="20"/>
          </w:rPr>
          <w:fldChar w:fldCharType="separate"/>
        </w:r>
        <w:r w:rsidR="0054597C">
          <w:rPr>
            <w:noProof/>
            <w:sz w:val="20"/>
          </w:rPr>
          <w:t>2</w:t>
        </w:r>
        <w:r w:rsidRPr="00C73AAA">
          <w:rPr>
            <w:sz w:val="20"/>
          </w:rPr>
          <w:fldChar w:fldCharType="end"/>
        </w:r>
      </w:p>
    </w:sdtContent>
  </w:sdt>
  <w:p w:rsidR="00280B50" w:rsidRDefault="00280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B2" w:rsidRDefault="008C3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55" w:rsidRDefault="009F1455" w:rsidP="002E151C">
      <w:r>
        <w:separator/>
      </w:r>
    </w:p>
  </w:footnote>
  <w:footnote w:type="continuationSeparator" w:id="0">
    <w:p w:rsidR="009F1455" w:rsidRDefault="009F1455" w:rsidP="002E1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B2" w:rsidRDefault="008C3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FD" w:rsidRDefault="008C3CB2" w:rsidP="004F60FD">
    <w:pPr>
      <w:pStyle w:val="Header"/>
      <w:jc w:val="center"/>
    </w:pPr>
    <w:r>
      <w:t xml:space="preserve">Author’s </w:t>
    </w:r>
    <w:r w:rsidR="004F60FD">
      <w:t xml:space="preserve">Accepted </w:t>
    </w:r>
    <w:r>
      <w:t>M</w:t>
    </w:r>
    <w:r w:rsidR="004F60FD">
      <w:t>anuscript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B2" w:rsidRDefault="008C3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550C"/>
    <w:multiLevelType w:val="hybridMultilevel"/>
    <w:tmpl w:val="F0B27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2957B2"/>
    <w:multiLevelType w:val="hybridMultilevel"/>
    <w:tmpl w:val="FAA2A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EC7ABE"/>
    <w:multiLevelType w:val="multilevel"/>
    <w:tmpl w:val="5F7455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A897AFC"/>
    <w:multiLevelType w:val="hybridMultilevel"/>
    <w:tmpl w:val="2A4052BC"/>
    <w:lvl w:ilvl="0" w:tplc="32E01626">
      <w:start w:val="7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71518"/>
    <w:rsid w:val="000402B2"/>
    <w:rsid w:val="000B04D6"/>
    <w:rsid w:val="0017519F"/>
    <w:rsid w:val="001A59A7"/>
    <w:rsid w:val="0020219A"/>
    <w:rsid w:val="00244D9B"/>
    <w:rsid w:val="00253B22"/>
    <w:rsid w:val="00280204"/>
    <w:rsid w:val="00280B50"/>
    <w:rsid w:val="00286F4D"/>
    <w:rsid w:val="0029567A"/>
    <w:rsid w:val="002E151C"/>
    <w:rsid w:val="002F3405"/>
    <w:rsid w:val="003020F1"/>
    <w:rsid w:val="00310A90"/>
    <w:rsid w:val="00330216"/>
    <w:rsid w:val="00330B5C"/>
    <w:rsid w:val="00344B0F"/>
    <w:rsid w:val="00367154"/>
    <w:rsid w:val="00381A0E"/>
    <w:rsid w:val="003910A8"/>
    <w:rsid w:val="003B006F"/>
    <w:rsid w:val="003B7AED"/>
    <w:rsid w:val="003F226D"/>
    <w:rsid w:val="00403F43"/>
    <w:rsid w:val="004302E1"/>
    <w:rsid w:val="00471518"/>
    <w:rsid w:val="004C3214"/>
    <w:rsid w:val="004F60FD"/>
    <w:rsid w:val="00504CB0"/>
    <w:rsid w:val="005175BC"/>
    <w:rsid w:val="005177F8"/>
    <w:rsid w:val="005272E5"/>
    <w:rsid w:val="00532B2F"/>
    <w:rsid w:val="0054597C"/>
    <w:rsid w:val="005502B1"/>
    <w:rsid w:val="005512FC"/>
    <w:rsid w:val="00571DDB"/>
    <w:rsid w:val="005D7928"/>
    <w:rsid w:val="005E3D0D"/>
    <w:rsid w:val="005E3FDA"/>
    <w:rsid w:val="005E6594"/>
    <w:rsid w:val="00602BC8"/>
    <w:rsid w:val="00610CBC"/>
    <w:rsid w:val="00620292"/>
    <w:rsid w:val="006331A4"/>
    <w:rsid w:val="006D0257"/>
    <w:rsid w:val="006D1824"/>
    <w:rsid w:val="00702AA1"/>
    <w:rsid w:val="007044A8"/>
    <w:rsid w:val="00741CB9"/>
    <w:rsid w:val="00750F53"/>
    <w:rsid w:val="00754EDB"/>
    <w:rsid w:val="00764770"/>
    <w:rsid w:val="0077332A"/>
    <w:rsid w:val="00794975"/>
    <w:rsid w:val="008152AB"/>
    <w:rsid w:val="008C3CB2"/>
    <w:rsid w:val="008F7A4D"/>
    <w:rsid w:val="00906D52"/>
    <w:rsid w:val="0093380B"/>
    <w:rsid w:val="009511C1"/>
    <w:rsid w:val="00952206"/>
    <w:rsid w:val="009938FA"/>
    <w:rsid w:val="009A773D"/>
    <w:rsid w:val="009D114F"/>
    <w:rsid w:val="009F1455"/>
    <w:rsid w:val="009F301B"/>
    <w:rsid w:val="00A20194"/>
    <w:rsid w:val="00A858F7"/>
    <w:rsid w:val="00A977C4"/>
    <w:rsid w:val="00AA6585"/>
    <w:rsid w:val="00AF0A57"/>
    <w:rsid w:val="00B3664E"/>
    <w:rsid w:val="00BA0552"/>
    <w:rsid w:val="00BD1C05"/>
    <w:rsid w:val="00BD351E"/>
    <w:rsid w:val="00BE5E4F"/>
    <w:rsid w:val="00C86B95"/>
    <w:rsid w:val="00CC516E"/>
    <w:rsid w:val="00CE6C83"/>
    <w:rsid w:val="00D21C7B"/>
    <w:rsid w:val="00D23EBA"/>
    <w:rsid w:val="00D9033B"/>
    <w:rsid w:val="00DC01AA"/>
    <w:rsid w:val="00DD3D34"/>
    <w:rsid w:val="00DF3882"/>
    <w:rsid w:val="00E449F5"/>
    <w:rsid w:val="00E455E9"/>
    <w:rsid w:val="00E55EEB"/>
    <w:rsid w:val="00E62A98"/>
    <w:rsid w:val="00E71481"/>
    <w:rsid w:val="00E83F41"/>
    <w:rsid w:val="00EC6D5E"/>
    <w:rsid w:val="00EF27D4"/>
    <w:rsid w:val="00EF7B1E"/>
    <w:rsid w:val="00F1292F"/>
    <w:rsid w:val="00F711D7"/>
    <w:rsid w:val="00F9283B"/>
    <w:rsid w:val="00FA6D5A"/>
    <w:rsid w:val="00FB0264"/>
    <w:rsid w:val="00FB63F3"/>
    <w:rsid w:val="00FD2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18"/>
    <w:rPr>
      <w:sz w:val="22"/>
    </w:rPr>
  </w:style>
  <w:style w:type="paragraph" w:styleId="Heading1">
    <w:name w:val="heading 1"/>
    <w:basedOn w:val="Normal"/>
    <w:next w:val="Normal"/>
    <w:link w:val="Heading1Char"/>
    <w:qFormat/>
    <w:rsid w:val="00471518"/>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471518"/>
    <w:pPr>
      <w:keepNext/>
      <w:numPr>
        <w:ilvl w:val="1"/>
        <w:numId w:val="1"/>
      </w:numPr>
      <w:spacing w:before="240" w:after="60"/>
      <w:outlineLvl w:val="1"/>
    </w:pPr>
    <w:rPr>
      <w:sz w:val="26"/>
    </w:rPr>
  </w:style>
  <w:style w:type="paragraph" w:styleId="Heading3">
    <w:name w:val="heading 3"/>
    <w:basedOn w:val="Normal"/>
    <w:next w:val="Normal"/>
    <w:link w:val="Heading3Char"/>
    <w:qFormat/>
    <w:rsid w:val="00471518"/>
    <w:pPr>
      <w:keepNext/>
      <w:numPr>
        <w:ilvl w:val="2"/>
        <w:numId w:val="1"/>
      </w:numPr>
      <w:spacing w:before="240" w:after="60"/>
      <w:outlineLvl w:val="2"/>
    </w:pPr>
    <w:rPr>
      <w:sz w:val="24"/>
    </w:rPr>
  </w:style>
  <w:style w:type="paragraph" w:styleId="Heading4">
    <w:name w:val="heading 4"/>
    <w:basedOn w:val="Normal"/>
    <w:next w:val="Normal"/>
    <w:link w:val="Heading4Char"/>
    <w:qFormat/>
    <w:rsid w:val="00471518"/>
    <w:pPr>
      <w:keepNext/>
      <w:numPr>
        <w:ilvl w:val="3"/>
        <w:numId w:val="1"/>
      </w:numPr>
      <w:spacing w:before="240" w:after="60"/>
      <w:outlineLvl w:val="3"/>
    </w:pPr>
    <w:rPr>
      <w:sz w:val="24"/>
    </w:rPr>
  </w:style>
  <w:style w:type="paragraph" w:styleId="Heading5">
    <w:name w:val="heading 5"/>
    <w:basedOn w:val="Normal"/>
    <w:next w:val="Normal"/>
    <w:link w:val="Heading5Char"/>
    <w:qFormat/>
    <w:rsid w:val="00471518"/>
    <w:pPr>
      <w:numPr>
        <w:ilvl w:val="4"/>
        <w:numId w:val="1"/>
      </w:numPr>
      <w:spacing w:before="240" w:after="60"/>
      <w:outlineLvl w:val="4"/>
    </w:pPr>
    <w:rPr>
      <w:kern w:val="28"/>
    </w:rPr>
  </w:style>
  <w:style w:type="paragraph" w:styleId="Heading6">
    <w:name w:val="heading 6"/>
    <w:basedOn w:val="Normal"/>
    <w:next w:val="Normal"/>
    <w:link w:val="Heading6Char"/>
    <w:qFormat/>
    <w:rsid w:val="00471518"/>
    <w:pPr>
      <w:numPr>
        <w:ilvl w:val="5"/>
        <w:numId w:val="1"/>
      </w:numPr>
      <w:spacing w:before="240" w:after="60"/>
      <w:outlineLvl w:val="5"/>
    </w:pPr>
    <w:rPr>
      <w:rFonts w:ascii="Arial" w:hAnsi="Arial"/>
      <w:i/>
      <w:kern w:val="28"/>
    </w:rPr>
  </w:style>
  <w:style w:type="paragraph" w:styleId="Heading7">
    <w:name w:val="heading 7"/>
    <w:basedOn w:val="Normal"/>
    <w:next w:val="Normal"/>
    <w:link w:val="Heading7Char"/>
    <w:qFormat/>
    <w:rsid w:val="00471518"/>
    <w:pPr>
      <w:numPr>
        <w:ilvl w:val="6"/>
        <w:numId w:val="1"/>
      </w:numPr>
      <w:spacing w:before="240" w:after="60"/>
      <w:outlineLvl w:val="6"/>
    </w:pPr>
    <w:rPr>
      <w:rFonts w:ascii="Arial" w:hAnsi="Arial"/>
      <w:kern w:val="28"/>
      <w:sz w:val="20"/>
    </w:rPr>
  </w:style>
  <w:style w:type="paragraph" w:styleId="Heading8">
    <w:name w:val="heading 8"/>
    <w:basedOn w:val="Normal"/>
    <w:next w:val="Normal"/>
    <w:link w:val="Heading8Char"/>
    <w:qFormat/>
    <w:rsid w:val="00471518"/>
    <w:pPr>
      <w:numPr>
        <w:ilvl w:val="7"/>
        <w:numId w:val="1"/>
      </w:numPr>
      <w:spacing w:before="240" w:after="60"/>
      <w:outlineLvl w:val="7"/>
    </w:pPr>
    <w:rPr>
      <w:rFonts w:ascii="Arial" w:hAnsi="Arial"/>
      <w:i/>
      <w:kern w:val="28"/>
      <w:sz w:val="20"/>
    </w:rPr>
  </w:style>
  <w:style w:type="paragraph" w:styleId="Heading9">
    <w:name w:val="heading 9"/>
    <w:basedOn w:val="Normal"/>
    <w:next w:val="Normal"/>
    <w:link w:val="Heading9Char"/>
    <w:qFormat/>
    <w:rsid w:val="00471518"/>
    <w:pPr>
      <w:numPr>
        <w:ilvl w:val="8"/>
        <w:numId w:val="1"/>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518"/>
    <w:rPr>
      <w:b/>
      <w:kern w:val="28"/>
      <w:sz w:val="28"/>
    </w:rPr>
  </w:style>
  <w:style w:type="character" w:customStyle="1" w:styleId="Heading2Char">
    <w:name w:val="Heading 2 Char"/>
    <w:basedOn w:val="DefaultParagraphFont"/>
    <w:link w:val="Heading2"/>
    <w:rsid w:val="00471518"/>
    <w:rPr>
      <w:sz w:val="26"/>
    </w:rPr>
  </w:style>
  <w:style w:type="character" w:customStyle="1" w:styleId="Heading3Char">
    <w:name w:val="Heading 3 Char"/>
    <w:basedOn w:val="DefaultParagraphFont"/>
    <w:link w:val="Heading3"/>
    <w:rsid w:val="00471518"/>
    <w:rPr>
      <w:sz w:val="24"/>
    </w:rPr>
  </w:style>
  <w:style w:type="character" w:customStyle="1" w:styleId="Heading4Char">
    <w:name w:val="Heading 4 Char"/>
    <w:basedOn w:val="DefaultParagraphFont"/>
    <w:link w:val="Heading4"/>
    <w:rsid w:val="00471518"/>
    <w:rPr>
      <w:sz w:val="24"/>
    </w:rPr>
  </w:style>
  <w:style w:type="character" w:customStyle="1" w:styleId="Heading5Char">
    <w:name w:val="Heading 5 Char"/>
    <w:basedOn w:val="DefaultParagraphFont"/>
    <w:link w:val="Heading5"/>
    <w:rsid w:val="00471518"/>
    <w:rPr>
      <w:kern w:val="28"/>
      <w:sz w:val="22"/>
    </w:rPr>
  </w:style>
  <w:style w:type="character" w:customStyle="1" w:styleId="Heading6Char">
    <w:name w:val="Heading 6 Char"/>
    <w:basedOn w:val="DefaultParagraphFont"/>
    <w:link w:val="Heading6"/>
    <w:rsid w:val="00471518"/>
    <w:rPr>
      <w:rFonts w:ascii="Arial" w:hAnsi="Arial"/>
      <w:i/>
      <w:kern w:val="28"/>
      <w:sz w:val="22"/>
    </w:rPr>
  </w:style>
  <w:style w:type="character" w:customStyle="1" w:styleId="Heading7Char">
    <w:name w:val="Heading 7 Char"/>
    <w:basedOn w:val="DefaultParagraphFont"/>
    <w:link w:val="Heading7"/>
    <w:rsid w:val="00471518"/>
    <w:rPr>
      <w:rFonts w:ascii="Arial" w:hAnsi="Arial"/>
      <w:kern w:val="28"/>
    </w:rPr>
  </w:style>
  <w:style w:type="character" w:customStyle="1" w:styleId="Heading8Char">
    <w:name w:val="Heading 8 Char"/>
    <w:basedOn w:val="DefaultParagraphFont"/>
    <w:link w:val="Heading8"/>
    <w:rsid w:val="00471518"/>
    <w:rPr>
      <w:rFonts w:ascii="Arial" w:hAnsi="Arial"/>
      <w:i/>
      <w:kern w:val="28"/>
    </w:rPr>
  </w:style>
  <w:style w:type="character" w:customStyle="1" w:styleId="Heading9Char">
    <w:name w:val="Heading 9 Char"/>
    <w:basedOn w:val="DefaultParagraphFont"/>
    <w:link w:val="Heading9"/>
    <w:rsid w:val="00471518"/>
    <w:rPr>
      <w:rFonts w:ascii="Arial" w:hAnsi="Arial"/>
      <w:i/>
      <w:kern w:val="28"/>
      <w:sz w:val="18"/>
    </w:rPr>
  </w:style>
  <w:style w:type="character" w:styleId="CommentReference">
    <w:name w:val="annotation reference"/>
    <w:basedOn w:val="DefaultParagraphFont"/>
    <w:uiPriority w:val="99"/>
    <w:semiHidden/>
    <w:unhideWhenUsed/>
    <w:rsid w:val="00471518"/>
    <w:rPr>
      <w:sz w:val="16"/>
      <w:szCs w:val="16"/>
    </w:rPr>
  </w:style>
  <w:style w:type="paragraph" w:styleId="CommentText">
    <w:name w:val="annotation text"/>
    <w:basedOn w:val="Normal"/>
    <w:link w:val="CommentTextChar"/>
    <w:uiPriority w:val="99"/>
    <w:unhideWhenUsed/>
    <w:rsid w:val="00471518"/>
    <w:rPr>
      <w:sz w:val="20"/>
    </w:rPr>
  </w:style>
  <w:style w:type="character" w:customStyle="1" w:styleId="CommentTextChar">
    <w:name w:val="Comment Text Char"/>
    <w:basedOn w:val="DefaultParagraphFont"/>
    <w:link w:val="CommentText"/>
    <w:uiPriority w:val="99"/>
    <w:rsid w:val="00471518"/>
  </w:style>
  <w:style w:type="paragraph" w:styleId="CommentSubject">
    <w:name w:val="annotation subject"/>
    <w:basedOn w:val="CommentText"/>
    <w:next w:val="CommentText"/>
    <w:link w:val="CommentSubjectChar"/>
    <w:uiPriority w:val="99"/>
    <w:semiHidden/>
    <w:unhideWhenUsed/>
    <w:rsid w:val="00471518"/>
    <w:rPr>
      <w:b/>
      <w:bCs/>
    </w:rPr>
  </w:style>
  <w:style w:type="character" w:customStyle="1" w:styleId="CommentSubjectChar">
    <w:name w:val="Comment Subject Char"/>
    <w:basedOn w:val="CommentTextChar"/>
    <w:link w:val="CommentSubject"/>
    <w:uiPriority w:val="99"/>
    <w:semiHidden/>
    <w:rsid w:val="00471518"/>
    <w:rPr>
      <w:b/>
      <w:bCs/>
    </w:rPr>
  </w:style>
  <w:style w:type="paragraph" w:styleId="BalloonText">
    <w:name w:val="Balloon Text"/>
    <w:basedOn w:val="Normal"/>
    <w:link w:val="BalloonTextChar"/>
    <w:uiPriority w:val="99"/>
    <w:semiHidden/>
    <w:unhideWhenUsed/>
    <w:rsid w:val="00471518"/>
    <w:rPr>
      <w:rFonts w:ascii="Tahoma" w:hAnsi="Tahoma" w:cs="Tahoma"/>
      <w:sz w:val="16"/>
      <w:szCs w:val="16"/>
    </w:rPr>
  </w:style>
  <w:style w:type="character" w:customStyle="1" w:styleId="BalloonTextChar">
    <w:name w:val="Balloon Text Char"/>
    <w:basedOn w:val="DefaultParagraphFont"/>
    <w:link w:val="BalloonText"/>
    <w:uiPriority w:val="99"/>
    <w:semiHidden/>
    <w:rsid w:val="00471518"/>
    <w:rPr>
      <w:rFonts w:ascii="Tahoma" w:hAnsi="Tahoma" w:cs="Tahoma"/>
      <w:sz w:val="16"/>
      <w:szCs w:val="16"/>
    </w:rPr>
  </w:style>
  <w:style w:type="paragraph" w:styleId="Header">
    <w:name w:val="header"/>
    <w:basedOn w:val="Normal"/>
    <w:link w:val="HeaderChar"/>
    <w:uiPriority w:val="99"/>
    <w:semiHidden/>
    <w:unhideWhenUsed/>
    <w:rsid w:val="00471518"/>
    <w:pPr>
      <w:tabs>
        <w:tab w:val="center" w:pos="4536"/>
        <w:tab w:val="right" w:pos="9072"/>
      </w:tabs>
    </w:pPr>
  </w:style>
  <w:style w:type="character" w:customStyle="1" w:styleId="HeaderChar">
    <w:name w:val="Header Char"/>
    <w:basedOn w:val="DefaultParagraphFont"/>
    <w:link w:val="Header"/>
    <w:uiPriority w:val="99"/>
    <w:semiHidden/>
    <w:rsid w:val="00471518"/>
    <w:rPr>
      <w:sz w:val="22"/>
    </w:rPr>
  </w:style>
  <w:style w:type="paragraph" w:styleId="Footer">
    <w:name w:val="footer"/>
    <w:basedOn w:val="Normal"/>
    <w:link w:val="FooterChar"/>
    <w:uiPriority w:val="99"/>
    <w:unhideWhenUsed/>
    <w:rsid w:val="00471518"/>
    <w:pPr>
      <w:tabs>
        <w:tab w:val="center" w:pos="4536"/>
        <w:tab w:val="right" w:pos="9072"/>
      </w:tabs>
    </w:pPr>
  </w:style>
  <w:style w:type="character" w:customStyle="1" w:styleId="FooterChar">
    <w:name w:val="Footer Char"/>
    <w:basedOn w:val="DefaultParagraphFont"/>
    <w:link w:val="Footer"/>
    <w:uiPriority w:val="99"/>
    <w:rsid w:val="00471518"/>
    <w:rPr>
      <w:sz w:val="22"/>
    </w:rPr>
  </w:style>
  <w:style w:type="character" w:styleId="Emphasis">
    <w:name w:val="Emphasis"/>
    <w:basedOn w:val="DefaultParagraphFont"/>
    <w:uiPriority w:val="20"/>
    <w:qFormat/>
    <w:rsid w:val="00471518"/>
    <w:rPr>
      <w:b/>
      <w:bCs/>
      <w:i w:val="0"/>
      <w:iCs w:val="0"/>
    </w:rPr>
  </w:style>
  <w:style w:type="character" w:customStyle="1" w:styleId="st1">
    <w:name w:val="st1"/>
    <w:basedOn w:val="DefaultParagraphFont"/>
    <w:rsid w:val="00471518"/>
  </w:style>
  <w:style w:type="character" w:styleId="Hyperlink">
    <w:name w:val="Hyperlink"/>
    <w:basedOn w:val="DefaultParagraphFont"/>
    <w:uiPriority w:val="99"/>
    <w:unhideWhenUsed/>
    <w:rsid w:val="00471518"/>
    <w:rPr>
      <w:color w:val="3D168B" w:themeColor="hyperlink"/>
      <w:u w:val="single"/>
    </w:rPr>
  </w:style>
  <w:style w:type="paragraph" w:styleId="Revision">
    <w:name w:val="Revision"/>
    <w:hidden/>
    <w:uiPriority w:val="99"/>
    <w:semiHidden/>
    <w:rsid w:val="00471518"/>
    <w:rPr>
      <w:sz w:val="22"/>
    </w:rPr>
  </w:style>
  <w:style w:type="table" w:styleId="TableGrid">
    <w:name w:val="Table Grid"/>
    <w:basedOn w:val="TableNormal"/>
    <w:uiPriority w:val="59"/>
    <w:rsid w:val="0047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518"/>
    <w:pPr>
      <w:ind w:left="720"/>
      <w:contextualSpacing/>
    </w:pPr>
  </w:style>
  <w:style w:type="character" w:customStyle="1" w:styleId="highlight2">
    <w:name w:val="highlight2"/>
    <w:basedOn w:val="DefaultParagraphFont"/>
    <w:rsid w:val="00471518"/>
  </w:style>
  <w:style w:type="paragraph" w:customStyle="1" w:styleId="sourcetitle">
    <w:name w:val="sourcetitle"/>
    <w:basedOn w:val="Normal"/>
    <w:rsid w:val="00471518"/>
    <w:pPr>
      <w:spacing w:before="100" w:beforeAutospacing="1" w:after="100" w:afterAutospacing="1"/>
    </w:pPr>
    <w:rPr>
      <w:sz w:val="24"/>
      <w:szCs w:val="24"/>
      <w:lang w:val="en-GB" w:eastAsia="en-GB"/>
    </w:rPr>
  </w:style>
  <w:style w:type="paragraph" w:customStyle="1" w:styleId="frfield">
    <w:name w:val="fr_field"/>
    <w:basedOn w:val="Normal"/>
    <w:rsid w:val="00471518"/>
    <w:pPr>
      <w:spacing w:before="100" w:beforeAutospacing="1" w:after="100" w:afterAutospacing="1"/>
    </w:pPr>
    <w:rPr>
      <w:sz w:val="24"/>
      <w:szCs w:val="24"/>
      <w:lang w:val="en-GB" w:eastAsia="en-GB"/>
    </w:rPr>
  </w:style>
  <w:style w:type="character" w:customStyle="1" w:styleId="frlabel">
    <w:name w:val="fr_label"/>
    <w:basedOn w:val="DefaultParagraphFont"/>
    <w:rsid w:val="00471518"/>
  </w:style>
  <w:style w:type="paragraph" w:customStyle="1" w:styleId="EndNoteBibliographyTitle">
    <w:name w:val="EndNote Bibliography Title"/>
    <w:basedOn w:val="Normal"/>
    <w:link w:val="EndNoteBibliographyTitleChar"/>
    <w:rsid w:val="00471518"/>
    <w:pPr>
      <w:jc w:val="center"/>
    </w:pPr>
    <w:rPr>
      <w:noProof/>
    </w:rPr>
  </w:style>
  <w:style w:type="character" w:customStyle="1" w:styleId="EndNoteBibliographyTitleChar">
    <w:name w:val="EndNote Bibliography Title Char"/>
    <w:basedOn w:val="CommentTextChar"/>
    <w:link w:val="EndNoteBibliographyTitle"/>
    <w:rsid w:val="00471518"/>
    <w:rPr>
      <w:noProof/>
      <w:sz w:val="22"/>
    </w:rPr>
  </w:style>
  <w:style w:type="paragraph" w:customStyle="1" w:styleId="EndNoteBibliography">
    <w:name w:val="EndNote Bibliography"/>
    <w:basedOn w:val="Normal"/>
    <w:link w:val="EndNoteBibliographyChar"/>
    <w:rsid w:val="00471518"/>
    <w:pPr>
      <w:jc w:val="both"/>
    </w:pPr>
    <w:rPr>
      <w:noProof/>
    </w:rPr>
  </w:style>
  <w:style w:type="character" w:customStyle="1" w:styleId="EndNoteBibliographyChar">
    <w:name w:val="EndNote Bibliography Char"/>
    <w:basedOn w:val="CommentTextChar"/>
    <w:link w:val="EndNoteBibliography"/>
    <w:rsid w:val="00471518"/>
    <w:rPr>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18"/>
    <w:rPr>
      <w:sz w:val="22"/>
    </w:rPr>
  </w:style>
  <w:style w:type="paragraph" w:styleId="Heading1">
    <w:name w:val="heading 1"/>
    <w:basedOn w:val="Normal"/>
    <w:next w:val="Normal"/>
    <w:link w:val="Heading1Char"/>
    <w:qFormat/>
    <w:rsid w:val="00471518"/>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471518"/>
    <w:pPr>
      <w:keepNext/>
      <w:numPr>
        <w:ilvl w:val="1"/>
        <w:numId w:val="1"/>
      </w:numPr>
      <w:spacing w:before="240" w:after="60"/>
      <w:outlineLvl w:val="1"/>
    </w:pPr>
    <w:rPr>
      <w:sz w:val="26"/>
    </w:rPr>
  </w:style>
  <w:style w:type="paragraph" w:styleId="Heading3">
    <w:name w:val="heading 3"/>
    <w:basedOn w:val="Normal"/>
    <w:next w:val="Normal"/>
    <w:link w:val="Heading3Char"/>
    <w:qFormat/>
    <w:rsid w:val="00471518"/>
    <w:pPr>
      <w:keepNext/>
      <w:numPr>
        <w:ilvl w:val="2"/>
        <w:numId w:val="1"/>
      </w:numPr>
      <w:spacing w:before="240" w:after="60"/>
      <w:outlineLvl w:val="2"/>
    </w:pPr>
    <w:rPr>
      <w:sz w:val="24"/>
    </w:rPr>
  </w:style>
  <w:style w:type="paragraph" w:styleId="Heading4">
    <w:name w:val="heading 4"/>
    <w:basedOn w:val="Normal"/>
    <w:next w:val="Normal"/>
    <w:link w:val="Heading4Char"/>
    <w:qFormat/>
    <w:rsid w:val="00471518"/>
    <w:pPr>
      <w:keepNext/>
      <w:numPr>
        <w:ilvl w:val="3"/>
        <w:numId w:val="1"/>
      </w:numPr>
      <w:spacing w:before="240" w:after="60"/>
      <w:outlineLvl w:val="3"/>
    </w:pPr>
    <w:rPr>
      <w:sz w:val="24"/>
    </w:rPr>
  </w:style>
  <w:style w:type="paragraph" w:styleId="Heading5">
    <w:name w:val="heading 5"/>
    <w:basedOn w:val="Normal"/>
    <w:next w:val="Normal"/>
    <w:link w:val="Heading5Char"/>
    <w:qFormat/>
    <w:rsid w:val="00471518"/>
    <w:pPr>
      <w:numPr>
        <w:ilvl w:val="4"/>
        <w:numId w:val="1"/>
      </w:numPr>
      <w:spacing w:before="240" w:after="60"/>
      <w:outlineLvl w:val="4"/>
    </w:pPr>
    <w:rPr>
      <w:kern w:val="28"/>
    </w:rPr>
  </w:style>
  <w:style w:type="paragraph" w:styleId="Heading6">
    <w:name w:val="heading 6"/>
    <w:basedOn w:val="Normal"/>
    <w:next w:val="Normal"/>
    <w:link w:val="Heading6Char"/>
    <w:qFormat/>
    <w:rsid w:val="00471518"/>
    <w:pPr>
      <w:numPr>
        <w:ilvl w:val="5"/>
        <w:numId w:val="1"/>
      </w:numPr>
      <w:spacing w:before="240" w:after="60"/>
      <w:outlineLvl w:val="5"/>
    </w:pPr>
    <w:rPr>
      <w:rFonts w:ascii="Arial" w:hAnsi="Arial"/>
      <w:i/>
      <w:kern w:val="28"/>
    </w:rPr>
  </w:style>
  <w:style w:type="paragraph" w:styleId="Heading7">
    <w:name w:val="heading 7"/>
    <w:basedOn w:val="Normal"/>
    <w:next w:val="Normal"/>
    <w:link w:val="Heading7Char"/>
    <w:qFormat/>
    <w:rsid w:val="00471518"/>
    <w:pPr>
      <w:numPr>
        <w:ilvl w:val="6"/>
        <w:numId w:val="1"/>
      </w:numPr>
      <w:spacing w:before="240" w:after="60"/>
      <w:outlineLvl w:val="6"/>
    </w:pPr>
    <w:rPr>
      <w:rFonts w:ascii="Arial" w:hAnsi="Arial"/>
      <w:kern w:val="28"/>
      <w:sz w:val="20"/>
    </w:rPr>
  </w:style>
  <w:style w:type="paragraph" w:styleId="Heading8">
    <w:name w:val="heading 8"/>
    <w:basedOn w:val="Normal"/>
    <w:next w:val="Normal"/>
    <w:link w:val="Heading8Char"/>
    <w:qFormat/>
    <w:rsid w:val="00471518"/>
    <w:pPr>
      <w:numPr>
        <w:ilvl w:val="7"/>
        <w:numId w:val="1"/>
      </w:numPr>
      <w:spacing w:before="240" w:after="60"/>
      <w:outlineLvl w:val="7"/>
    </w:pPr>
    <w:rPr>
      <w:rFonts w:ascii="Arial" w:hAnsi="Arial"/>
      <w:i/>
      <w:kern w:val="28"/>
      <w:sz w:val="20"/>
    </w:rPr>
  </w:style>
  <w:style w:type="paragraph" w:styleId="Heading9">
    <w:name w:val="heading 9"/>
    <w:basedOn w:val="Normal"/>
    <w:next w:val="Normal"/>
    <w:link w:val="Heading9Char"/>
    <w:qFormat/>
    <w:rsid w:val="00471518"/>
    <w:pPr>
      <w:numPr>
        <w:ilvl w:val="8"/>
        <w:numId w:val="1"/>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518"/>
    <w:rPr>
      <w:b/>
      <w:kern w:val="28"/>
      <w:sz w:val="28"/>
    </w:rPr>
  </w:style>
  <w:style w:type="character" w:customStyle="1" w:styleId="Heading2Char">
    <w:name w:val="Heading 2 Char"/>
    <w:basedOn w:val="DefaultParagraphFont"/>
    <w:link w:val="Heading2"/>
    <w:rsid w:val="00471518"/>
    <w:rPr>
      <w:sz w:val="26"/>
    </w:rPr>
  </w:style>
  <w:style w:type="character" w:customStyle="1" w:styleId="Heading3Char">
    <w:name w:val="Heading 3 Char"/>
    <w:basedOn w:val="DefaultParagraphFont"/>
    <w:link w:val="Heading3"/>
    <w:rsid w:val="00471518"/>
    <w:rPr>
      <w:sz w:val="24"/>
    </w:rPr>
  </w:style>
  <w:style w:type="character" w:customStyle="1" w:styleId="Heading4Char">
    <w:name w:val="Heading 4 Char"/>
    <w:basedOn w:val="DefaultParagraphFont"/>
    <w:link w:val="Heading4"/>
    <w:rsid w:val="00471518"/>
    <w:rPr>
      <w:sz w:val="24"/>
    </w:rPr>
  </w:style>
  <w:style w:type="character" w:customStyle="1" w:styleId="Heading5Char">
    <w:name w:val="Heading 5 Char"/>
    <w:basedOn w:val="DefaultParagraphFont"/>
    <w:link w:val="Heading5"/>
    <w:rsid w:val="00471518"/>
    <w:rPr>
      <w:kern w:val="28"/>
      <w:sz w:val="22"/>
    </w:rPr>
  </w:style>
  <w:style w:type="character" w:customStyle="1" w:styleId="Heading6Char">
    <w:name w:val="Heading 6 Char"/>
    <w:basedOn w:val="DefaultParagraphFont"/>
    <w:link w:val="Heading6"/>
    <w:rsid w:val="00471518"/>
    <w:rPr>
      <w:rFonts w:ascii="Arial" w:hAnsi="Arial"/>
      <w:i/>
      <w:kern w:val="28"/>
      <w:sz w:val="22"/>
    </w:rPr>
  </w:style>
  <w:style w:type="character" w:customStyle="1" w:styleId="Heading7Char">
    <w:name w:val="Heading 7 Char"/>
    <w:basedOn w:val="DefaultParagraphFont"/>
    <w:link w:val="Heading7"/>
    <w:rsid w:val="00471518"/>
    <w:rPr>
      <w:rFonts w:ascii="Arial" w:hAnsi="Arial"/>
      <w:kern w:val="28"/>
    </w:rPr>
  </w:style>
  <w:style w:type="character" w:customStyle="1" w:styleId="Heading8Char">
    <w:name w:val="Heading 8 Char"/>
    <w:basedOn w:val="DefaultParagraphFont"/>
    <w:link w:val="Heading8"/>
    <w:rsid w:val="00471518"/>
    <w:rPr>
      <w:rFonts w:ascii="Arial" w:hAnsi="Arial"/>
      <w:i/>
      <w:kern w:val="28"/>
    </w:rPr>
  </w:style>
  <w:style w:type="character" w:customStyle="1" w:styleId="Heading9Char">
    <w:name w:val="Heading 9 Char"/>
    <w:basedOn w:val="DefaultParagraphFont"/>
    <w:link w:val="Heading9"/>
    <w:rsid w:val="00471518"/>
    <w:rPr>
      <w:rFonts w:ascii="Arial" w:hAnsi="Arial"/>
      <w:i/>
      <w:kern w:val="28"/>
      <w:sz w:val="18"/>
    </w:rPr>
  </w:style>
  <w:style w:type="character" w:styleId="CommentReference">
    <w:name w:val="annotation reference"/>
    <w:basedOn w:val="DefaultParagraphFont"/>
    <w:uiPriority w:val="99"/>
    <w:semiHidden/>
    <w:unhideWhenUsed/>
    <w:rsid w:val="00471518"/>
    <w:rPr>
      <w:sz w:val="16"/>
      <w:szCs w:val="16"/>
    </w:rPr>
  </w:style>
  <w:style w:type="paragraph" w:styleId="CommentText">
    <w:name w:val="annotation text"/>
    <w:basedOn w:val="Normal"/>
    <w:link w:val="CommentTextChar"/>
    <w:uiPriority w:val="99"/>
    <w:unhideWhenUsed/>
    <w:rsid w:val="00471518"/>
    <w:rPr>
      <w:sz w:val="20"/>
    </w:rPr>
  </w:style>
  <w:style w:type="character" w:customStyle="1" w:styleId="CommentTextChar">
    <w:name w:val="Comment Text Char"/>
    <w:basedOn w:val="DefaultParagraphFont"/>
    <w:link w:val="CommentText"/>
    <w:uiPriority w:val="99"/>
    <w:rsid w:val="00471518"/>
  </w:style>
  <w:style w:type="paragraph" w:styleId="CommentSubject">
    <w:name w:val="annotation subject"/>
    <w:basedOn w:val="CommentText"/>
    <w:next w:val="CommentText"/>
    <w:link w:val="CommentSubjectChar"/>
    <w:uiPriority w:val="99"/>
    <w:semiHidden/>
    <w:unhideWhenUsed/>
    <w:rsid w:val="00471518"/>
    <w:rPr>
      <w:b/>
      <w:bCs/>
    </w:rPr>
  </w:style>
  <w:style w:type="character" w:customStyle="1" w:styleId="CommentSubjectChar">
    <w:name w:val="Comment Subject Char"/>
    <w:basedOn w:val="CommentTextChar"/>
    <w:link w:val="CommentSubject"/>
    <w:uiPriority w:val="99"/>
    <w:semiHidden/>
    <w:rsid w:val="00471518"/>
    <w:rPr>
      <w:b/>
      <w:bCs/>
    </w:rPr>
  </w:style>
  <w:style w:type="paragraph" w:styleId="BalloonText">
    <w:name w:val="Balloon Text"/>
    <w:basedOn w:val="Normal"/>
    <w:link w:val="BalloonTextChar"/>
    <w:uiPriority w:val="99"/>
    <w:semiHidden/>
    <w:unhideWhenUsed/>
    <w:rsid w:val="00471518"/>
    <w:rPr>
      <w:rFonts w:ascii="Tahoma" w:hAnsi="Tahoma" w:cs="Tahoma"/>
      <w:sz w:val="16"/>
      <w:szCs w:val="16"/>
    </w:rPr>
  </w:style>
  <w:style w:type="character" w:customStyle="1" w:styleId="BalloonTextChar">
    <w:name w:val="Balloon Text Char"/>
    <w:basedOn w:val="DefaultParagraphFont"/>
    <w:link w:val="BalloonText"/>
    <w:uiPriority w:val="99"/>
    <w:semiHidden/>
    <w:rsid w:val="00471518"/>
    <w:rPr>
      <w:rFonts w:ascii="Tahoma" w:hAnsi="Tahoma" w:cs="Tahoma"/>
      <w:sz w:val="16"/>
      <w:szCs w:val="16"/>
    </w:rPr>
  </w:style>
  <w:style w:type="paragraph" w:styleId="Header">
    <w:name w:val="header"/>
    <w:basedOn w:val="Normal"/>
    <w:link w:val="HeaderChar"/>
    <w:uiPriority w:val="99"/>
    <w:semiHidden/>
    <w:unhideWhenUsed/>
    <w:rsid w:val="00471518"/>
    <w:pPr>
      <w:tabs>
        <w:tab w:val="center" w:pos="4536"/>
        <w:tab w:val="right" w:pos="9072"/>
      </w:tabs>
    </w:pPr>
  </w:style>
  <w:style w:type="character" w:customStyle="1" w:styleId="HeaderChar">
    <w:name w:val="Header Char"/>
    <w:basedOn w:val="DefaultParagraphFont"/>
    <w:link w:val="Header"/>
    <w:uiPriority w:val="99"/>
    <w:semiHidden/>
    <w:rsid w:val="00471518"/>
    <w:rPr>
      <w:sz w:val="22"/>
    </w:rPr>
  </w:style>
  <w:style w:type="paragraph" w:styleId="Footer">
    <w:name w:val="footer"/>
    <w:basedOn w:val="Normal"/>
    <w:link w:val="FooterChar"/>
    <w:uiPriority w:val="99"/>
    <w:unhideWhenUsed/>
    <w:rsid w:val="00471518"/>
    <w:pPr>
      <w:tabs>
        <w:tab w:val="center" w:pos="4536"/>
        <w:tab w:val="right" w:pos="9072"/>
      </w:tabs>
    </w:pPr>
  </w:style>
  <w:style w:type="character" w:customStyle="1" w:styleId="FooterChar">
    <w:name w:val="Footer Char"/>
    <w:basedOn w:val="DefaultParagraphFont"/>
    <w:link w:val="Footer"/>
    <w:uiPriority w:val="99"/>
    <w:rsid w:val="00471518"/>
    <w:rPr>
      <w:sz w:val="22"/>
    </w:rPr>
  </w:style>
  <w:style w:type="character" w:styleId="Emphasis">
    <w:name w:val="Emphasis"/>
    <w:basedOn w:val="DefaultParagraphFont"/>
    <w:uiPriority w:val="20"/>
    <w:qFormat/>
    <w:rsid w:val="00471518"/>
    <w:rPr>
      <w:b/>
      <w:bCs/>
      <w:i w:val="0"/>
      <w:iCs w:val="0"/>
    </w:rPr>
  </w:style>
  <w:style w:type="character" w:customStyle="1" w:styleId="st1">
    <w:name w:val="st1"/>
    <w:basedOn w:val="DefaultParagraphFont"/>
    <w:rsid w:val="00471518"/>
  </w:style>
  <w:style w:type="character" w:styleId="Hyperlink">
    <w:name w:val="Hyperlink"/>
    <w:basedOn w:val="DefaultParagraphFont"/>
    <w:uiPriority w:val="99"/>
    <w:unhideWhenUsed/>
    <w:rsid w:val="00471518"/>
    <w:rPr>
      <w:color w:val="3D168B" w:themeColor="hyperlink"/>
      <w:u w:val="single"/>
    </w:rPr>
  </w:style>
  <w:style w:type="paragraph" w:styleId="Revision">
    <w:name w:val="Revision"/>
    <w:hidden/>
    <w:uiPriority w:val="99"/>
    <w:semiHidden/>
    <w:rsid w:val="00471518"/>
    <w:rPr>
      <w:sz w:val="22"/>
    </w:rPr>
  </w:style>
  <w:style w:type="table" w:styleId="TableGrid">
    <w:name w:val="Table Grid"/>
    <w:basedOn w:val="TableNormal"/>
    <w:uiPriority w:val="59"/>
    <w:rsid w:val="0047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518"/>
    <w:pPr>
      <w:ind w:left="720"/>
      <w:contextualSpacing/>
    </w:pPr>
  </w:style>
  <w:style w:type="character" w:customStyle="1" w:styleId="highlight2">
    <w:name w:val="highlight2"/>
    <w:basedOn w:val="DefaultParagraphFont"/>
    <w:rsid w:val="00471518"/>
  </w:style>
  <w:style w:type="paragraph" w:customStyle="1" w:styleId="sourcetitle">
    <w:name w:val="sourcetitle"/>
    <w:basedOn w:val="Normal"/>
    <w:rsid w:val="00471518"/>
    <w:pPr>
      <w:spacing w:before="100" w:beforeAutospacing="1" w:after="100" w:afterAutospacing="1"/>
    </w:pPr>
    <w:rPr>
      <w:sz w:val="24"/>
      <w:szCs w:val="24"/>
      <w:lang w:val="en-GB" w:eastAsia="en-GB"/>
    </w:rPr>
  </w:style>
  <w:style w:type="paragraph" w:customStyle="1" w:styleId="frfield">
    <w:name w:val="fr_field"/>
    <w:basedOn w:val="Normal"/>
    <w:rsid w:val="00471518"/>
    <w:pPr>
      <w:spacing w:before="100" w:beforeAutospacing="1" w:after="100" w:afterAutospacing="1"/>
    </w:pPr>
    <w:rPr>
      <w:sz w:val="24"/>
      <w:szCs w:val="24"/>
      <w:lang w:val="en-GB" w:eastAsia="en-GB"/>
    </w:rPr>
  </w:style>
  <w:style w:type="character" w:customStyle="1" w:styleId="frlabel">
    <w:name w:val="fr_label"/>
    <w:basedOn w:val="DefaultParagraphFont"/>
    <w:rsid w:val="00471518"/>
  </w:style>
  <w:style w:type="paragraph" w:customStyle="1" w:styleId="EndNoteBibliographyTitle">
    <w:name w:val="EndNote Bibliography Title"/>
    <w:basedOn w:val="Normal"/>
    <w:link w:val="EndNoteBibliographyTitleChar"/>
    <w:rsid w:val="00471518"/>
    <w:pPr>
      <w:jc w:val="center"/>
    </w:pPr>
    <w:rPr>
      <w:noProof/>
    </w:rPr>
  </w:style>
  <w:style w:type="character" w:customStyle="1" w:styleId="EndNoteBibliographyTitleChar">
    <w:name w:val="EndNote Bibliography Title Char"/>
    <w:basedOn w:val="CommentTextChar"/>
    <w:link w:val="EndNoteBibliographyTitle"/>
    <w:rsid w:val="00471518"/>
    <w:rPr>
      <w:noProof/>
      <w:sz w:val="22"/>
    </w:rPr>
  </w:style>
  <w:style w:type="paragraph" w:customStyle="1" w:styleId="EndNoteBibliography">
    <w:name w:val="EndNote Bibliography"/>
    <w:basedOn w:val="Normal"/>
    <w:link w:val="EndNoteBibliographyChar"/>
    <w:rsid w:val="00471518"/>
    <w:pPr>
      <w:jc w:val="both"/>
    </w:pPr>
    <w:rPr>
      <w:noProof/>
    </w:rPr>
  </w:style>
  <w:style w:type="character" w:customStyle="1" w:styleId="EndNoteBibliographyChar">
    <w:name w:val="EndNote Bibliography Char"/>
    <w:basedOn w:val="CommentTextChar"/>
    <w:link w:val="EndNoteBibliography"/>
    <w:rsid w:val="00471518"/>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5944</Words>
  <Characters>33881</Characters>
  <Application>Microsoft Office Word</Application>
  <DocSecurity>0</DocSecurity>
  <Lines>282</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39746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Poort</dc:creator>
  <cp:lastModifiedBy>Rhian Williams</cp:lastModifiedBy>
  <cp:revision>2</cp:revision>
  <dcterms:created xsi:type="dcterms:W3CDTF">2016-12-16T15:10:00Z</dcterms:created>
  <dcterms:modified xsi:type="dcterms:W3CDTF">2016-12-16T15:10:00Z</dcterms:modified>
</cp:coreProperties>
</file>