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83" w:rsidRPr="00AB0283" w:rsidRDefault="00AB0283" w:rsidP="00AB0283">
      <w:pPr>
        <w:spacing w:line="360" w:lineRule="auto"/>
        <w:jc w:val="center"/>
        <w:rPr>
          <w:b/>
          <w:sz w:val="24"/>
          <w:szCs w:val="24"/>
          <w:lang w:val="en-US"/>
        </w:rPr>
      </w:pPr>
    </w:p>
    <w:p w:rsidR="00AB0283" w:rsidRPr="00AB0283" w:rsidRDefault="00AB0283" w:rsidP="00AB0283">
      <w:pPr>
        <w:spacing w:line="360" w:lineRule="auto"/>
        <w:jc w:val="center"/>
        <w:rPr>
          <w:b/>
          <w:sz w:val="24"/>
          <w:szCs w:val="24"/>
          <w:lang w:val="en-US"/>
        </w:rPr>
      </w:pPr>
      <w:r w:rsidRPr="00AB0283">
        <w:rPr>
          <w:b/>
          <w:sz w:val="24"/>
          <w:szCs w:val="24"/>
          <w:lang w:val="en-US"/>
        </w:rPr>
        <w:t xml:space="preserve">Genomic </w:t>
      </w:r>
      <w:r w:rsidRPr="00AB0283">
        <w:rPr>
          <w:b/>
          <w:lang w:val="en-US"/>
        </w:rPr>
        <w:t xml:space="preserve">alterations in breast cancer: Level of evidence for </w:t>
      </w:r>
      <w:proofErr w:type="spellStart"/>
      <w:r w:rsidRPr="00AB0283">
        <w:rPr>
          <w:b/>
          <w:lang w:val="en-US"/>
        </w:rPr>
        <w:t>actionability</w:t>
      </w:r>
      <w:proofErr w:type="spellEnd"/>
      <w:r w:rsidRPr="00AB0283">
        <w:rPr>
          <w:b/>
          <w:lang w:val="en-US"/>
        </w:rPr>
        <w:t xml:space="preserve"> according to ESMO Scale for Clinical </w:t>
      </w:r>
      <w:proofErr w:type="spellStart"/>
      <w:r w:rsidRPr="00AB0283">
        <w:rPr>
          <w:b/>
          <w:lang w:val="en-US"/>
        </w:rPr>
        <w:t>Actionability</w:t>
      </w:r>
      <w:proofErr w:type="spellEnd"/>
      <w:r w:rsidRPr="00AB0283">
        <w:rPr>
          <w:b/>
          <w:lang w:val="en-US"/>
        </w:rPr>
        <w:t xml:space="preserve"> of molecular Targets (ESCAT)</w:t>
      </w:r>
    </w:p>
    <w:p w:rsidR="00AB0283" w:rsidRPr="00AB0283" w:rsidRDefault="00AB0283" w:rsidP="00AB0283">
      <w:pPr>
        <w:spacing w:line="360" w:lineRule="auto"/>
        <w:jc w:val="center"/>
        <w:rPr>
          <w:b/>
          <w:sz w:val="24"/>
          <w:szCs w:val="24"/>
          <w:lang w:val="en-US"/>
        </w:rPr>
      </w:pPr>
    </w:p>
    <w:p w:rsidR="00AB0283" w:rsidRPr="00AB0283" w:rsidRDefault="00AB0283" w:rsidP="00AB0283">
      <w:pPr>
        <w:spacing w:line="360" w:lineRule="auto"/>
        <w:jc w:val="both"/>
        <w:rPr>
          <w:lang w:val="en-US"/>
        </w:rPr>
      </w:pPr>
      <w:r w:rsidRPr="00AB0283">
        <w:rPr>
          <w:lang w:val="en-US"/>
        </w:rPr>
        <w:t>R. Condorelli</w:t>
      </w:r>
      <w:r w:rsidRPr="00AB0283">
        <w:rPr>
          <w:vertAlign w:val="superscript"/>
          <w:lang w:val="en-US"/>
        </w:rPr>
        <w:t>1</w:t>
      </w:r>
      <w:proofErr w:type="gramStart"/>
      <w:r w:rsidRPr="00AB0283">
        <w:rPr>
          <w:vertAlign w:val="superscript"/>
          <w:lang w:val="en-US"/>
        </w:rPr>
        <w:t>,2</w:t>
      </w:r>
      <w:proofErr w:type="gramEnd"/>
      <w:r w:rsidRPr="00AB0283">
        <w:rPr>
          <w:lang w:val="en-US"/>
        </w:rPr>
        <w:t>, F. Mosele</w:t>
      </w:r>
      <w:r w:rsidRPr="00AB0283">
        <w:rPr>
          <w:vertAlign w:val="superscript"/>
          <w:lang w:val="en-US"/>
        </w:rPr>
        <w:t>1</w:t>
      </w:r>
      <w:r w:rsidRPr="00AB0283">
        <w:rPr>
          <w:lang w:val="en-US"/>
        </w:rPr>
        <w:t>, B. Verret</w:t>
      </w:r>
      <w:r w:rsidRPr="00AB0283">
        <w:rPr>
          <w:vertAlign w:val="superscript"/>
          <w:lang w:val="en-US"/>
        </w:rPr>
        <w:t>1</w:t>
      </w:r>
      <w:r w:rsidRPr="00AB0283">
        <w:rPr>
          <w:lang w:val="en-US"/>
        </w:rPr>
        <w:t>, T. Bachelot</w:t>
      </w:r>
      <w:r w:rsidRPr="00AB0283">
        <w:rPr>
          <w:vertAlign w:val="superscript"/>
          <w:lang w:val="en-US"/>
        </w:rPr>
        <w:t>3</w:t>
      </w:r>
      <w:r w:rsidRPr="00AB0283">
        <w:rPr>
          <w:lang w:val="en-US"/>
        </w:rPr>
        <w:t>, P. L. Bedard</w:t>
      </w:r>
      <w:r w:rsidRPr="00AB0283">
        <w:rPr>
          <w:vertAlign w:val="superscript"/>
          <w:lang w:val="en-US"/>
        </w:rPr>
        <w:t>4</w:t>
      </w:r>
      <w:r w:rsidRPr="00AB0283">
        <w:rPr>
          <w:lang w:val="en-US"/>
        </w:rPr>
        <w:t>, J. Cortes</w:t>
      </w:r>
      <w:r w:rsidRPr="00AB0283">
        <w:rPr>
          <w:vertAlign w:val="superscript"/>
          <w:lang w:val="en-US"/>
        </w:rPr>
        <w:t>5</w:t>
      </w:r>
      <w:r w:rsidRPr="00AB0283">
        <w:rPr>
          <w:lang w:val="en-US"/>
        </w:rPr>
        <w:t>, D. M. Hyman</w:t>
      </w:r>
      <w:r w:rsidRPr="00AB0283">
        <w:rPr>
          <w:vertAlign w:val="superscript"/>
          <w:lang w:val="en-US"/>
        </w:rPr>
        <w:t>6</w:t>
      </w:r>
      <w:r w:rsidRPr="00AB0283">
        <w:rPr>
          <w:lang w:val="en-US"/>
        </w:rPr>
        <w:t>, D. Juric</w:t>
      </w:r>
      <w:r w:rsidRPr="00AB0283">
        <w:rPr>
          <w:vertAlign w:val="superscript"/>
          <w:lang w:val="en-US"/>
        </w:rPr>
        <w:t>7</w:t>
      </w:r>
      <w:r w:rsidRPr="00AB0283">
        <w:rPr>
          <w:lang w:val="en-US"/>
        </w:rPr>
        <w:t>, I. Krop</w:t>
      </w:r>
      <w:r w:rsidRPr="00AB0283">
        <w:rPr>
          <w:vertAlign w:val="superscript"/>
          <w:lang w:val="en-US"/>
        </w:rPr>
        <w:t>8</w:t>
      </w:r>
      <w:r w:rsidRPr="00AB0283">
        <w:rPr>
          <w:lang w:val="en-US"/>
        </w:rPr>
        <w:t>, I. Bieche</w:t>
      </w:r>
      <w:r w:rsidRPr="00AB0283">
        <w:rPr>
          <w:vertAlign w:val="superscript"/>
          <w:lang w:val="en-US"/>
        </w:rPr>
        <w:t>9</w:t>
      </w:r>
      <w:r w:rsidRPr="00AB0283">
        <w:rPr>
          <w:lang w:val="en-US"/>
        </w:rPr>
        <w:t>, C. Saura</w:t>
      </w:r>
      <w:r w:rsidRPr="00AB0283">
        <w:rPr>
          <w:vertAlign w:val="superscript"/>
          <w:lang w:val="en-US"/>
        </w:rPr>
        <w:t>10</w:t>
      </w:r>
      <w:r w:rsidRPr="00AB0283">
        <w:rPr>
          <w:lang w:val="en-US"/>
        </w:rPr>
        <w:t>, C. Sotiriou</w:t>
      </w:r>
      <w:r w:rsidRPr="00AB0283">
        <w:rPr>
          <w:vertAlign w:val="superscript"/>
          <w:lang w:val="en-US"/>
        </w:rPr>
        <w:t>11</w:t>
      </w:r>
      <w:r w:rsidRPr="00AB0283">
        <w:rPr>
          <w:lang w:val="en-US"/>
        </w:rPr>
        <w:t>, F. Cardoso</w:t>
      </w:r>
      <w:r w:rsidRPr="00AB0283">
        <w:rPr>
          <w:vertAlign w:val="superscript"/>
          <w:lang w:val="en-US"/>
        </w:rPr>
        <w:t>12</w:t>
      </w:r>
      <w:r w:rsidRPr="00AB0283">
        <w:rPr>
          <w:lang w:val="en-US"/>
        </w:rPr>
        <w:t>, S. Loibl</w:t>
      </w:r>
      <w:r w:rsidRPr="00AB0283">
        <w:rPr>
          <w:vertAlign w:val="superscript"/>
          <w:lang w:val="en-US"/>
        </w:rPr>
        <w:t>13</w:t>
      </w:r>
      <w:r w:rsidRPr="00AB0283">
        <w:rPr>
          <w:lang w:val="en-US"/>
        </w:rPr>
        <w:t>, F. Andre</w:t>
      </w:r>
      <w:r w:rsidRPr="00AB0283">
        <w:rPr>
          <w:vertAlign w:val="superscript"/>
          <w:lang w:val="en-US"/>
        </w:rPr>
        <w:t>1</w:t>
      </w:r>
      <w:r w:rsidRPr="00AB0283">
        <w:rPr>
          <w:lang w:val="en-US"/>
        </w:rPr>
        <w:t>, N. C. Turner</w:t>
      </w:r>
      <w:r w:rsidRPr="00AB0283">
        <w:rPr>
          <w:vertAlign w:val="superscript"/>
          <w:lang w:val="en-US"/>
        </w:rPr>
        <w:t>14</w:t>
      </w:r>
    </w:p>
    <w:p w:rsidR="00AB0283" w:rsidRPr="00AB0283" w:rsidRDefault="00AB0283" w:rsidP="00AB0283">
      <w:pPr>
        <w:spacing w:line="360" w:lineRule="auto"/>
        <w:jc w:val="both"/>
        <w:rPr>
          <w:u w:val="single"/>
          <w:lang w:val="en-US"/>
        </w:rPr>
      </w:pPr>
      <w:r w:rsidRPr="00AB0283">
        <w:rPr>
          <w:u w:val="single"/>
          <w:lang w:val="en-US"/>
        </w:rPr>
        <w:t>Affiliations:</w:t>
      </w:r>
    </w:p>
    <w:p w:rsidR="00AB0283" w:rsidRPr="00AB0283" w:rsidRDefault="00AB0283" w:rsidP="00AB0283">
      <w:pPr>
        <w:spacing w:line="360" w:lineRule="auto"/>
        <w:jc w:val="both"/>
        <w:rPr>
          <w:lang w:val="en-US"/>
        </w:rPr>
      </w:pPr>
      <w:proofErr w:type="gramStart"/>
      <w:r w:rsidRPr="00AB0283">
        <w:rPr>
          <w:vertAlign w:val="superscript"/>
          <w:lang w:val="en-US"/>
        </w:rPr>
        <w:t xml:space="preserve">1 </w:t>
      </w:r>
      <w:r w:rsidRPr="00AB0283">
        <w:rPr>
          <w:lang w:val="en-US"/>
        </w:rPr>
        <w:t xml:space="preserve">Department of Medical Oncology, INSERM U981, </w:t>
      </w:r>
      <w:proofErr w:type="spellStart"/>
      <w:r w:rsidRPr="00AB0283">
        <w:rPr>
          <w:lang w:val="en-US"/>
        </w:rPr>
        <w:t>Université</w:t>
      </w:r>
      <w:proofErr w:type="spellEnd"/>
      <w:r w:rsidRPr="00AB0283">
        <w:rPr>
          <w:lang w:val="en-US"/>
        </w:rPr>
        <w:t xml:space="preserve"> Paris </w:t>
      </w:r>
      <w:proofErr w:type="spellStart"/>
      <w:r w:rsidRPr="00AB0283">
        <w:rPr>
          <w:lang w:val="en-US"/>
        </w:rPr>
        <w:t>Sud</w:t>
      </w:r>
      <w:proofErr w:type="spellEnd"/>
      <w:r w:rsidRPr="00AB0283">
        <w:rPr>
          <w:lang w:val="en-US"/>
        </w:rPr>
        <w:t xml:space="preserve">, </w:t>
      </w:r>
      <w:proofErr w:type="spellStart"/>
      <w:r w:rsidRPr="00AB0283">
        <w:rPr>
          <w:lang w:val="en-US"/>
        </w:rPr>
        <w:t>Gustave</w:t>
      </w:r>
      <w:proofErr w:type="spellEnd"/>
      <w:r w:rsidRPr="00AB0283">
        <w:rPr>
          <w:lang w:val="en-US"/>
        </w:rPr>
        <w:t xml:space="preserve"> </w:t>
      </w:r>
      <w:proofErr w:type="spellStart"/>
      <w:r w:rsidRPr="00AB0283">
        <w:rPr>
          <w:lang w:val="en-US"/>
        </w:rPr>
        <w:t>Roussy</w:t>
      </w:r>
      <w:proofErr w:type="spellEnd"/>
      <w:r w:rsidRPr="00AB0283">
        <w:rPr>
          <w:lang w:val="en-US"/>
        </w:rPr>
        <w:t>, Villejuif, France.</w:t>
      </w:r>
      <w:proofErr w:type="gramEnd"/>
      <w:r w:rsidRPr="00AB0283">
        <w:rPr>
          <w:lang w:val="en-US"/>
        </w:rPr>
        <w:t xml:space="preserve"> </w:t>
      </w:r>
      <w:r w:rsidRPr="00AB0283">
        <w:rPr>
          <w:vertAlign w:val="superscript"/>
          <w:lang w:val="en-US"/>
        </w:rPr>
        <w:t xml:space="preserve">2 </w:t>
      </w:r>
      <w:proofErr w:type="gramStart"/>
      <w:r w:rsidRPr="00AB0283">
        <w:rPr>
          <w:lang w:val="en-US"/>
        </w:rPr>
        <w:t>Institute</w:t>
      </w:r>
      <w:proofErr w:type="gramEnd"/>
      <w:r w:rsidRPr="00AB0283">
        <w:rPr>
          <w:lang w:val="en-US"/>
        </w:rPr>
        <w:t xml:space="preserve"> of Oncology and Breast Unit of Southern Switzerland, </w:t>
      </w:r>
      <w:proofErr w:type="spellStart"/>
      <w:r w:rsidRPr="00AB0283">
        <w:rPr>
          <w:lang w:val="en-US"/>
        </w:rPr>
        <w:t>Bellinzona</w:t>
      </w:r>
      <w:proofErr w:type="spellEnd"/>
      <w:r w:rsidRPr="00AB0283">
        <w:rPr>
          <w:lang w:val="en-US"/>
        </w:rPr>
        <w:t xml:space="preserve">, Switzerland. </w:t>
      </w:r>
      <w:proofErr w:type="gramStart"/>
      <w:r w:rsidRPr="00AB0283">
        <w:rPr>
          <w:vertAlign w:val="superscript"/>
          <w:lang w:val="en-US"/>
        </w:rPr>
        <w:t xml:space="preserve">3 </w:t>
      </w:r>
      <w:r w:rsidRPr="00AB0283">
        <w:rPr>
          <w:lang w:val="en-US"/>
        </w:rPr>
        <w:t xml:space="preserve"> Department</w:t>
      </w:r>
      <w:proofErr w:type="gramEnd"/>
      <w:r w:rsidRPr="00AB0283">
        <w:rPr>
          <w:lang w:val="en-US"/>
        </w:rPr>
        <w:t xml:space="preserve"> of Medical Oncology, Cancer Research Center of Lyon </w:t>
      </w:r>
      <w:proofErr w:type="spellStart"/>
      <w:r w:rsidRPr="00AB0283">
        <w:rPr>
          <w:lang w:val="en-US"/>
        </w:rPr>
        <w:t>Inserm</w:t>
      </w:r>
      <w:proofErr w:type="spellEnd"/>
      <w:r w:rsidRPr="00AB0283">
        <w:rPr>
          <w:lang w:val="en-US"/>
        </w:rPr>
        <w:t xml:space="preserve">, Lyon, France. </w:t>
      </w:r>
      <w:r w:rsidRPr="00AB0283">
        <w:rPr>
          <w:vertAlign w:val="superscript"/>
          <w:lang w:val="en-US"/>
        </w:rPr>
        <w:t xml:space="preserve">4 </w:t>
      </w:r>
      <w:proofErr w:type="gramStart"/>
      <w:r w:rsidRPr="00AB0283">
        <w:rPr>
          <w:lang w:val="en-US"/>
        </w:rPr>
        <w:t>Department</w:t>
      </w:r>
      <w:proofErr w:type="gramEnd"/>
      <w:r w:rsidRPr="00AB0283">
        <w:rPr>
          <w:lang w:val="en-US"/>
        </w:rPr>
        <w:t xml:space="preserve"> of Medicine, Division of Medical Oncology &amp; Hematology, Princess Margaret Cancer Centre, Toronto, Canada. </w:t>
      </w:r>
      <w:proofErr w:type="gramStart"/>
      <w:r w:rsidRPr="00AB0283">
        <w:rPr>
          <w:vertAlign w:val="superscript"/>
          <w:lang w:val="en-US"/>
        </w:rPr>
        <w:t xml:space="preserve">5 </w:t>
      </w:r>
      <w:r w:rsidRPr="00AB0283">
        <w:rPr>
          <w:lang w:val="en-US"/>
        </w:rPr>
        <w:t xml:space="preserve">Ramon y </w:t>
      </w:r>
      <w:proofErr w:type="spellStart"/>
      <w:r w:rsidRPr="00AB0283">
        <w:rPr>
          <w:lang w:val="en-US"/>
        </w:rPr>
        <w:t>Cajal</w:t>
      </w:r>
      <w:proofErr w:type="spellEnd"/>
      <w:r w:rsidRPr="00AB0283">
        <w:rPr>
          <w:lang w:val="en-US"/>
        </w:rPr>
        <w:t xml:space="preserve"> University Hospital, Madrid &amp; </w:t>
      </w:r>
      <w:proofErr w:type="spellStart"/>
      <w:r w:rsidRPr="00AB0283">
        <w:rPr>
          <w:lang w:val="en-US"/>
        </w:rPr>
        <w:t>Vall</w:t>
      </w:r>
      <w:proofErr w:type="spellEnd"/>
      <w:r w:rsidRPr="00AB0283">
        <w:rPr>
          <w:lang w:val="en-US"/>
        </w:rPr>
        <w:t xml:space="preserve"> </w:t>
      </w:r>
      <w:proofErr w:type="spellStart"/>
      <w:r w:rsidRPr="00AB0283">
        <w:rPr>
          <w:lang w:val="en-US"/>
        </w:rPr>
        <w:t>d’Hebron</w:t>
      </w:r>
      <w:proofErr w:type="spellEnd"/>
      <w:r w:rsidRPr="00AB0283">
        <w:rPr>
          <w:lang w:val="en-US"/>
        </w:rPr>
        <w:t xml:space="preserve"> Institute of Oncology (VHIO), Barcelona, Spain.</w:t>
      </w:r>
      <w:proofErr w:type="gramEnd"/>
      <w:r w:rsidRPr="00AB0283">
        <w:rPr>
          <w:lang w:val="en-US"/>
        </w:rPr>
        <w:t xml:space="preserve"> </w:t>
      </w:r>
      <w:proofErr w:type="gramStart"/>
      <w:r w:rsidRPr="00AB0283">
        <w:rPr>
          <w:vertAlign w:val="superscript"/>
          <w:lang w:val="en-US"/>
        </w:rPr>
        <w:t xml:space="preserve">6 </w:t>
      </w:r>
      <w:r w:rsidRPr="00AB0283">
        <w:rPr>
          <w:lang w:val="en-US"/>
        </w:rPr>
        <w:t>Memorial Sloan Kettering Cancer Center, New York, United States.</w:t>
      </w:r>
      <w:proofErr w:type="gramEnd"/>
      <w:r w:rsidRPr="00AB0283">
        <w:rPr>
          <w:lang w:val="en-US"/>
        </w:rPr>
        <w:t xml:space="preserve">  </w:t>
      </w:r>
      <w:proofErr w:type="gramStart"/>
      <w:r w:rsidRPr="00AB0283">
        <w:rPr>
          <w:vertAlign w:val="superscript"/>
          <w:lang w:val="en-US"/>
        </w:rPr>
        <w:t>7</w:t>
      </w:r>
      <w:r w:rsidRPr="00AB0283">
        <w:rPr>
          <w:lang w:val="en-US"/>
        </w:rPr>
        <w:t>Massachusetts General Hospital (MGH), Boston, United States.</w:t>
      </w:r>
      <w:proofErr w:type="gramEnd"/>
      <w:r w:rsidRPr="00AB0283">
        <w:rPr>
          <w:lang w:val="en-US"/>
        </w:rPr>
        <w:t xml:space="preserve"> </w:t>
      </w:r>
      <w:proofErr w:type="gramStart"/>
      <w:r w:rsidRPr="00AB0283">
        <w:rPr>
          <w:vertAlign w:val="superscript"/>
          <w:lang w:val="en-US"/>
        </w:rPr>
        <w:t xml:space="preserve">8 </w:t>
      </w:r>
      <w:r w:rsidRPr="00AB0283">
        <w:rPr>
          <w:lang w:val="en-US"/>
        </w:rPr>
        <w:t>Dana-Farber Cancer Institute, Boston, United States.</w:t>
      </w:r>
      <w:proofErr w:type="gramEnd"/>
      <w:r w:rsidRPr="00AB0283">
        <w:rPr>
          <w:lang w:val="en-US"/>
        </w:rPr>
        <w:t xml:space="preserve"> </w:t>
      </w:r>
      <w:r w:rsidRPr="00AB0283">
        <w:rPr>
          <w:vertAlign w:val="superscript"/>
          <w:lang w:val="en-US"/>
        </w:rPr>
        <w:t xml:space="preserve">9  </w:t>
      </w:r>
      <w:r w:rsidRPr="00AB0283">
        <w:rPr>
          <w:lang w:val="en-US"/>
        </w:rPr>
        <w:t>Department of Genetics, Curie Institute, Paris, France</w:t>
      </w:r>
      <w:r w:rsidRPr="00AB0283">
        <w:rPr>
          <w:vertAlign w:val="superscript"/>
          <w:lang w:val="en-US"/>
        </w:rPr>
        <w:t xml:space="preserve">  10  </w:t>
      </w:r>
      <w:r w:rsidRPr="00AB0283">
        <w:rPr>
          <w:lang w:val="en-US"/>
        </w:rPr>
        <w:t xml:space="preserve">Department of Medical Oncology, </w:t>
      </w:r>
      <w:proofErr w:type="spellStart"/>
      <w:r w:rsidRPr="00AB0283">
        <w:rPr>
          <w:lang w:val="en-US"/>
        </w:rPr>
        <w:t>Vall</w:t>
      </w:r>
      <w:proofErr w:type="spellEnd"/>
      <w:r w:rsidRPr="00AB0283">
        <w:rPr>
          <w:lang w:val="en-US"/>
        </w:rPr>
        <w:t xml:space="preserve"> </w:t>
      </w:r>
      <w:proofErr w:type="spellStart"/>
      <w:r w:rsidRPr="00AB0283">
        <w:rPr>
          <w:lang w:val="en-US"/>
        </w:rPr>
        <w:t>d’Hebron</w:t>
      </w:r>
      <w:proofErr w:type="spellEnd"/>
      <w:r w:rsidRPr="00AB0283">
        <w:rPr>
          <w:lang w:val="en-US"/>
        </w:rPr>
        <w:t xml:space="preserve"> University Hospital, </w:t>
      </w:r>
      <w:proofErr w:type="spellStart"/>
      <w:r w:rsidRPr="00AB0283">
        <w:rPr>
          <w:lang w:val="en-US"/>
        </w:rPr>
        <w:t>Vall</w:t>
      </w:r>
      <w:proofErr w:type="spellEnd"/>
      <w:r w:rsidRPr="00AB0283">
        <w:rPr>
          <w:lang w:val="en-US"/>
        </w:rPr>
        <w:t xml:space="preserve"> </w:t>
      </w:r>
      <w:proofErr w:type="spellStart"/>
      <w:r w:rsidRPr="00AB0283">
        <w:rPr>
          <w:lang w:val="en-US"/>
        </w:rPr>
        <w:t>d’Hebron</w:t>
      </w:r>
      <w:proofErr w:type="spellEnd"/>
      <w:r w:rsidRPr="00AB0283">
        <w:rPr>
          <w:lang w:val="en-US"/>
        </w:rPr>
        <w:t xml:space="preserve"> Institute of Oncology, Barcelona, Spain. </w:t>
      </w:r>
      <w:proofErr w:type="gramStart"/>
      <w:r w:rsidRPr="00AB0283">
        <w:rPr>
          <w:vertAlign w:val="superscript"/>
          <w:lang w:val="en-US"/>
        </w:rPr>
        <w:t xml:space="preserve">11 </w:t>
      </w:r>
      <w:r w:rsidRPr="00AB0283">
        <w:rPr>
          <w:lang w:val="en-US"/>
        </w:rPr>
        <w:t xml:space="preserve">J.C. </w:t>
      </w:r>
      <w:proofErr w:type="spellStart"/>
      <w:r w:rsidRPr="00AB0283">
        <w:rPr>
          <w:lang w:val="en-US"/>
        </w:rPr>
        <w:t>Heuson</w:t>
      </w:r>
      <w:proofErr w:type="spellEnd"/>
      <w:r w:rsidRPr="00AB0283">
        <w:rPr>
          <w:lang w:val="en-US"/>
        </w:rPr>
        <w:t xml:space="preserve"> Breast Cancer Translational Research Laboratory, </w:t>
      </w:r>
      <w:proofErr w:type="spellStart"/>
      <w:r w:rsidRPr="00AB0283">
        <w:rPr>
          <w:lang w:val="en-US"/>
        </w:rPr>
        <w:t>Université</w:t>
      </w:r>
      <w:proofErr w:type="spellEnd"/>
      <w:r w:rsidRPr="00AB0283">
        <w:rPr>
          <w:lang w:val="en-US"/>
        </w:rPr>
        <w:t xml:space="preserve"> </w:t>
      </w:r>
      <w:proofErr w:type="spellStart"/>
      <w:r w:rsidRPr="00AB0283">
        <w:rPr>
          <w:lang w:val="en-US"/>
        </w:rPr>
        <w:t>Libre</w:t>
      </w:r>
      <w:proofErr w:type="spellEnd"/>
      <w:r w:rsidRPr="00AB0283">
        <w:rPr>
          <w:lang w:val="en-US"/>
        </w:rPr>
        <w:t xml:space="preserve"> de </w:t>
      </w:r>
      <w:proofErr w:type="spellStart"/>
      <w:r w:rsidRPr="00AB0283">
        <w:rPr>
          <w:lang w:val="en-US"/>
        </w:rPr>
        <w:t>Bruxelles</w:t>
      </w:r>
      <w:proofErr w:type="spellEnd"/>
      <w:r w:rsidRPr="00AB0283">
        <w:rPr>
          <w:lang w:val="en-US"/>
        </w:rPr>
        <w:t xml:space="preserve">, </w:t>
      </w:r>
      <w:proofErr w:type="spellStart"/>
      <w:r w:rsidRPr="00AB0283">
        <w:rPr>
          <w:lang w:val="en-US"/>
        </w:rPr>
        <w:t>Institut</w:t>
      </w:r>
      <w:proofErr w:type="spellEnd"/>
      <w:r w:rsidRPr="00AB0283">
        <w:rPr>
          <w:lang w:val="en-US"/>
        </w:rPr>
        <w:t xml:space="preserve"> Jules Bordet, Brussels, Belgium.</w:t>
      </w:r>
      <w:proofErr w:type="gramEnd"/>
      <w:r w:rsidRPr="00AB0283">
        <w:rPr>
          <w:lang w:val="en-US"/>
        </w:rPr>
        <w:t xml:space="preserve"> </w:t>
      </w:r>
      <w:r w:rsidRPr="00AB0283">
        <w:rPr>
          <w:vertAlign w:val="superscript"/>
          <w:lang w:val="en-US"/>
        </w:rPr>
        <w:t xml:space="preserve">12 </w:t>
      </w:r>
      <w:r w:rsidRPr="00AB0283">
        <w:rPr>
          <w:lang w:val="en-US"/>
        </w:rPr>
        <w:t xml:space="preserve">Breast </w:t>
      </w:r>
      <w:proofErr w:type="gramStart"/>
      <w:r w:rsidRPr="00AB0283">
        <w:rPr>
          <w:lang w:val="en-US"/>
        </w:rPr>
        <w:t>Unit</w:t>
      </w:r>
      <w:proofErr w:type="gramEnd"/>
      <w:r w:rsidRPr="00AB0283">
        <w:rPr>
          <w:lang w:val="en-US"/>
        </w:rPr>
        <w:t xml:space="preserve">, </w:t>
      </w:r>
      <w:proofErr w:type="spellStart"/>
      <w:r w:rsidRPr="00AB0283">
        <w:rPr>
          <w:lang w:val="en-US"/>
        </w:rPr>
        <w:t>Champalimaud</w:t>
      </w:r>
      <w:proofErr w:type="spellEnd"/>
      <w:r w:rsidRPr="00AB0283">
        <w:rPr>
          <w:lang w:val="en-US"/>
        </w:rPr>
        <w:t xml:space="preserve"> Clinical Center, </w:t>
      </w:r>
      <w:proofErr w:type="spellStart"/>
      <w:r w:rsidRPr="00AB0283">
        <w:rPr>
          <w:lang w:val="en-US"/>
        </w:rPr>
        <w:t>Champalimaud</w:t>
      </w:r>
      <w:proofErr w:type="spellEnd"/>
      <w:r w:rsidRPr="00AB0283">
        <w:rPr>
          <w:lang w:val="en-US"/>
        </w:rPr>
        <w:t xml:space="preserve"> Foundation, Lisbon, Portugal.</w:t>
      </w:r>
      <w:r w:rsidRPr="00AB0283" w:rsidDel="006E77E3">
        <w:rPr>
          <w:lang w:val="en-US"/>
        </w:rPr>
        <w:t xml:space="preserve"> </w:t>
      </w:r>
      <w:proofErr w:type="gramStart"/>
      <w:r w:rsidRPr="00AB0283">
        <w:rPr>
          <w:vertAlign w:val="superscript"/>
          <w:lang w:val="en-US"/>
        </w:rPr>
        <w:t xml:space="preserve">13 </w:t>
      </w:r>
      <w:r w:rsidRPr="00AB0283">
        <w:rPr>
          <w:lang w:val="en-US"/>
        </w:rPr>
        <w:t xml:space="preserve">German Breast Group, </w:t>
      </w:r>
      <w:proofErr w:type="spellStart"/>
      <w:r w:rsidRPr="00AB0283">
        <w:rPr>
          <w:lang w:val="en-US"/>
        </w:rPr>
        <w:t>Neu-Isenburg</w:t>
      </w:r>
      <w:proofErr w:type="spellEnd"/>
      <w:r w:rsidRPr="00AB0283">
        <w:rPr>
          <w:lang w:val="en-US"/>
        </w:rPr>
        <w:t>, Germany.</w:t>
      </w:r>
      <w:proofErr w:type="gramEnd"/>
      <w:r w:rsidRPr="00AB0283">
        <w:rPr>
          <w:lang w:val="en-US"/>
        </w:rPr>
        <w:t xml:space="preserve"> </w:t>
      </w:r>
      <w:r w:rsidRPr="00AB0283">
        <w:rPr>
          <w:vertAlign w:val="superscript"/>
          <w:lang w:val="en-US"/>
        </w:rPr>
        <w:t xml:space="preserve">14 </w:t>
      </w:r>
      <w:r w:rsidRPr="00AB0283">
        <w:rPr>
          <w:lang w:val="en-US"/>
        </w:rPr>
        <w:t xml:space="preserve">Royal Marsden </w:t>
      </w:r>
      <w:proofErr w:type="gramStart"/>
      <w:r w:rsidRPr="00AB0283">
        <w:rPr>
          <w:lang w:val="en-US"/>
        </w:rPr>
        <w:t>Hospital</w:t>
      </w:r>
      <w:proofErr w:type="gramEnd"/>
      <w:r w:rsidRPr="00AB0283">
        <w:rPr>
          <w:lang w:val="en-US"/>
        </w:rPr>
        <w:t xml:space="preserve"> and Institute of Cancer Research, London, UK.</w:t>
      </w:r>
    </w:p>
    <w:p w:rsidR="00AB0283" w:rsidRPr="00AB0283" w:rsidRDefault="00AB0283" w:rsidP="00AB0283">
      <w:pPr>
        <w:rPr>
          <w:lang w:val="en-US"/>
        </w:rPr>
      </w:pPr>
      <w:r w:rsidRPr="00AB0283">
        <w:rPr>
          <w:lang w:val="en-US"/>
        </w:rPr>
        <w:br w:type="page"/>
      </w:r>
    </w:p>
    <w:p w:rsidR="00AB0283" w:rsidRPr="00AB0283" w:rsidRDefault="00AB0283" w:rsidP="00AB0283">
      <w:pPr>
        <w:spacing w:line="360" w:lineRule="auto"/>
        <w:jc w:val="both"/>
        <w:rPr>
          <w:b/>
          <w:lang w:val="en-US"/>
        </w:rPr>
      </w:pPr>
      <w:r w:rsidRPr="00AB0283">
        <w:rPr>
          <w:b/>
          <w:lang w:val="en-US"/>
        </w:rPr>
        <w:lastRenderedPageBreak/>
        <w:t>Abstract:</w:t>
      </w:r>
    </w:p>
    <w:p w:rsidR="00AB0283" w:rsidRDefault="00AB0283" w:rsidP="00AB0283">
      <w:pPr>
        <w:spacing w:line="360" w:lineRule="auto"/>
        <w:jc w:val="both"/>
        <w:rPr>
          <w:lang w:val="en-US"/>
        </w:rPr>
      </w:pPr>
      <w:r w:rsidRPr="00AB0283">
        <w:rPr>
          <w:lang w:val="en-US"/>
        </w:rPr>
        <w:t xml:space="preserve">Better knowledge of the tumor genomic landscapes has helped to develop more effective targeted drugs. However, there is no tool to interpret </w:t>
      </w:r>
      <w:proofErr w:type="spellStart"/>
      <w:r w:rsidRPr="00AB0283">
        <w:rPr>
          <w:lang w:val="en-US"/>
        </w:rPr>
        <w:t>targetability</w:t>
      </w:r>
      <w:proofErr w:type="spellEnd"/>
      <w:r w:rsidRPr="00AB0283">
        <w:rPr>
          <w:lang w:val="en-US"/>
        </w:rPr>
        <w:t xml:space="preserve"> of genomic alterations assessed by next generation sequencing in the context of clinical practice. Our aim is to rank the level of evidence of individual recurrent genomic alterations observed in breast cancer based on the ESMO Scale for Clinical </w:t>
      </w:r>
      <w:proofErr w:type="spellStart"/>
      <w:r w:rsidRPr="00AB0283">
        <w:rPr>
          <w:lang w:val="en-US"/>
        </w:rPr>
        <w:t>Actionability</w:t>
      </w:r>
      <w:proofErr w:type="spellEnd"/>
      <w:r w:rsidRPr="00AB0283">
        <w:rPr>
          <w:lang w:val="en-US"/>
        </w:rPr>
        <w:t xml:space="preserve"> of molecular Targets (ESCAT) in order to help the clinicians to prioritize treatment. Analyses of databases suggested that there are around 40 recurrent driver alterations in breast cancer. </w:t>
      </w:r>
      <w:r w:rsidRPr="00AB0283">
        <w:rPr>
          <w:i/>
          <w:lang w:val="en-US"/>
        </w:rPr>
        <w:t xml:space="preserve">ERBB2 </w:t>
      </w:r>
      <w:r w:rsidRPr="00AB0283">
        <w:rPr>
          <w:lang w:val="en-US"/>
        </w:rPr>
        <w:t xml:space="preserve">amplification, </w:t>
      </w:r>
      <w:proofErr w:type="spellStart"/>
      <w:r w:rsidRPr="00AB0283">
        <w:rPr>
          <w:lang w:val="en-US"/>
        </w:rPr>
        <w:t>germline</w:t>
      </w:r>
      <w:proofErr w:type="spellEnd"/>
      <w:r w:rsidRPr="00AB0283">
        <w:rPr>
          <w:lang w:val="en-US"/>
        </w:rPr>
        <w:t xml:space="preserve"> </w:t>
      </w:r>
      <w:r w:rsidRPr="00AB0283">
        <w:rPr>
          <w:i/>
          <w:lang w:val="en-US"/>
        </w:rPr>
        <w:t>BRCA1/2</w:t>
      </w:r>
      <w:r w:rsidRPr="00AB0283">
        <w:rPr>
          <w:lang w:val="en-US"/>
        </w:rPr>
        <w:t xml:space="preserve"> mutations, </w:t>
      </w:r>
      <w:r w:rsidRPr="00AB0283">
        <w:rPr>
          <w:i/>
          <w:lang w:val="en-US"/>
        </w:rPr>
        <w:t>PIK3CA</w:t>
      </w:r>
      <w:r w:rsidRPr="00AB0283">
        <w:rPr>
          <w:lang w:val="en-US"/>
        </w:rPr>
        <w:t xml:space="preserve"> mutations were </w:t>
      </w:r>
      <w:proofErr w:type="gramStart"/>
      <w:r w:rsidRPr="00AB0283">
        <w:rPr>
          <w:lang w:val="en-US"/>
        </w:rPr>
        <w:t>classified  tier</w:t>
      </w:r>
      <w:proofErr w:type="gramEnd"/>
      <w:r w:rsidRPr="00AB0283">
        <w:rPr>
          <w:lang w:val="en-US"/>
        </w:rPr>
        <w:t xml:space="preserve"> of evidence IA based on large randomized trials showing antitumor activity of targeted therapies in patients presenting the alterations. </w:t>
      </w:r>
      <w:r w:rsidRPr="00AB0283">
        <w:rPr>
          <w:i/>
          <w:lang w:val="en-US"/>
        </w:rPr>
        <w:t>NTRK</w:t>
      </w:r>
      <w:r w:rsidRPr="00AB0283">
        <w:rPr>
          <w:lang w:val="en-US"/>
        </w:rPr>
        <w:t xml:space="preserve"> fusions and </w:t>
      </w:r>
      <w:r w:rsidRPr="00AB0283">
        <w:rPr>
          <w:i/>
          <w:lang w:val="en-US"/>
        </w:rPr>
        <w:t>MSI</w:t>
      </w:r>
      <w:r w:rsidRPr="00AB0283">
        <w:rPr>
          <w:lang w:val="en-US"/>
        </w:rPr>
        <w:t xml:space="preserve"> were ranked IC. </w:t>
      </w:r>
      <w:r w:rsidRPr="00AB0283">
        <w:rPr>
          <w:i/>
          <w:lang w:val="en-US"/>
        </w:rPr>
        <w:t>ESR1</w:t>
      </w:r>
      <w:r w:rsidRPr="00AB0283">
        <w:rPr>
          <w:lang w:val="en-US"/>
        </w:rPr>
        <w:t xml:space="preserve"> mutations and </w:t>
      </w:r>
      <w:r w:rsidRPr="00AB0283">
        <w:rPr>
          <w:i/>
          <w:lang w:val="en-US"/>
        </w:rPr>
        <w:t xml:space="preserve">PTEN </w:t>
      </w:r>
      <w:r w:rsidRPr="00AB0283">
        <w:rPr>
          <w:lang w:val="en-US"/>
        </w:rPr>
        <w:t xml:space="preserve">loss were ranked tier IIA, and </w:t>
      </w:r>
      <w:r w:rsidRPr="00AB0283">
        <w:rPr>
          <w:i/>
          <w:lang w:val="en-US"/>
        </w:rPr>
        <w:t>ERBB2</w:t>
      </w:r>
      <w:r w:rsidRPr="00AB0283">
        <w:rPr>
          <w:lang w:val="en-US"/>
        </w:rPr>
        <w:t xml:space="preserve"> mutations and </w:t>
      </w:r>
      <w:r w:rsidRPr="00AB0283">
        <w:rPr>
          <w:i/>
          <w:lang w:val="en-US"/>
        </w:rPr>
        <w:t>AKT1</w:t>
      </w:r>
      <w:r w:rsidRPr="00AB0283">
        <w:rPr>
          <w:lang w:val="en-US"/>
        </w:rPr>
        <w:t xml:space="preserve"> mutations tier IIB.  Somatic </w:t>
      </w:r>
      <w:r w:rsidRPr="00AB0283">
        <w:rPr>
          <w:i/>
          <w:lang w:val="en-US"/>
        </w:rPr>
        <w:t>BRCA 1/2</w:t>
      </w:r>
      <w:r w:rsidRPr="00AB0283">
        <w:rPr>
          <w:lang w:val="en-US"/>
        </w:rPr>
        <w:t xml:space="preserve"> mutations, </w:t>
      </w:r>
      <w:r w:rsidRPr="00AB0283">
        <w:rPr>
          <w:i/>
          <w:lang w:val="en-US"/>
        </w:rPr>
        <w:t>MDM2</w:t>
      </w:r>
      <w:r w:rsidRPr="00AB0283">
        <w:rPr>
          <w:lang w:val="en-US"/>
        </w:rPr>
        <w:t xml:space="preserve"> amplifications and </w:t>
      </w:r>
      <w:r w:rsidRPr="00AB0283">
        <w:rPr>
          <w:i/>
          <w:lang w:val="en-US"/>
        </w:rPr>
        <w:t>ERBB 3</w:t>
      </w:r>
      <w:r w:rsidRPr="00AB0283">
        <w:rPr>
          <w:lang w:val="en-US"/>
        </w:rPr>
        <w:t xml:space="preserve"> mutations were ranked tier III. Seventeen genes were </w:t>
      </w:r>
      <w:proofErr w:type="gramStart"/>
      <w:r w:rsidRPr="00AB0283">
        <w:rPr>
          <w:lang w:val="en-US"/>
        </w:rPr>
        <w:t>ranked  tier</w:t>
      </w:r>
      <w:proofErr w:type="gramEnd"/>
      <w:r w:rsidRPr="00AB0283">
        <w:rPr>
          <w:lang w:val="en-US"/>
        </w:rPr>
        <w:t xml:space="preserve"> IV based on preclinical evidence. Finally, </w:t>
      </w:r>
      <w:r w:rsidRPr="00AB0283">
        <w:rPr>
          <w:i/>
          <w:lang w:val="en-US"/>
        </w:rPr>
        <w:t>FGFR1</w:t>
      </w:r>
      <w:r w:rsidRPr="00AB0283">
        <w:rPr>
          <w:lang w:val="en-US"/>
        </w:rPr>
        <w:t xml:space="preserve"> and </w:t>
      </w:r>
      <w:r w:rsidRPr="00AB0283">
        <w:rPr>
          <w:i/>
          <w:lang w:val="en-US"/>
        </w:rPr>
        <w:t>CCND1</w:t>
      </w:r>
      <w:r w:rsidR="0058292C">
        <w:rPr>
          <w:lang w:val="en-US"/>
        </w:rPr>
        <w:t xml:space="preserve"> were ranked </w:t>
      </w:r>
      <w:r w:rsidRPr="00AB0283">
        <w:rPr>
          <w:lang w:val="en-US"/>
        </w:rPr>
        <w:t xml:space="preserve">tier X alterations because previous studies have shown lack of </w:t>
      </w:r>
      <w:proofErr w:type="spellStart"/>
      <w:r w:rsidRPr="00AB0283">
        <w:rPr>
          <w:lang w:val="en-US"/>
        </w:rPr>
        <w:t>actionability</w:t>
      </w:r>
      <w:proofErr w:type="spellEnd"/>
      <w:r w:rsidRPr="00AB0283">
        <w:rPr>
          <w:lang w:val="en-US"/>
        </w:rPr>
        <w:t>.</w:t>
      </w:r>
    </w:p>
    <w:p w:rsidR="00AB0283" w:rsidRPr="00AB0283" w:rsidRDefault="00AB0283" w:rsidP="00AB0283">
      <w:pPr>
        <w:spacing w:line="360" w:lineRule="auto"/>
        <w:jc w:val="both"/>
        <w:rPr>
          <w:lang w:val="en-US"/>
        </w:rPr>
      </w:pPr>
      <w:r w:rsidRPr="00AB0283">
        <w:rPr>
          <w:b/>
          <w:lang w:val="en-US"/>
        </w:rPr>
        <w:t xml:space="preserve"> Introduction</w:t>
      </w:r>
    </w:p>
    <w:p w:rsidR="00AB0283" w:rsidRPr="00AB0283" w:rsidRDefault="00AB0283" w:rsidP="00AB0283">
      <w:pPr>
        <w:spacing w:line="360" w:lineRule="auto"/>
        <w:jc w:val="both"/>
        <w:rPr>
          <w:lang w:val="en-US"/>
        </w:rPr>
      </w:pPr>
      <w:r w:rsidRPr="00AB0283">
        <w:rPr>
          <w:lang w:val="en-US"/>
        </w:rPr>
        <w:t xml:space="preserve">The development of next-generation sequencing (NGS) technologies allows, today, to profile the mutational landscape of tumors with reasonable times and costs. This translated, in the clinical setting, into the development of molecular screening programs mainly for patients with advanced disease resistant to standard therapies, with the aim of improving outcomes by means of new targeted therapies </w:t>
      </w:r>
      <w:r w:rsidRPr="00AB0283">
        <w:rPr>
          <w:rFonts w:ascii="Calibri" w:hAnsi="Calibri" w:cs="Calibri"/>
          <w:szCs w:val="24"/>
          <w:lang w:val="en-US"/>
        </w:rPr>
        <w:t>(1–3)</w:t>
      </w:r>
      <w:r w:rsidRPr="00AB0283">
        <w:rPr>
          <w:lang w:val="en-US"/>
        </w:rPr>
        <w:t>. Implementation of clinical genomics assessments in the clinical trial setting, while being a great opportunity to understand the disease’s biology, raises the challenges of data interpretation and their practical applicability. As illustration, nowadays there is no guidance to select genomic alterations in patients with metastatic breast cancer (</w:t>
      </w:r>
      <w:proofErr w:type="spellStart"/>
      <w:r w:rsidRPr="00AB0283">
        <w:rPr>
          <w:lang w:val="en-US"/>
        </w:rPr>
        <w:t>mBC</w:t>
      </w:r>
      <w:proofErr w:type="spellEnd"/>
      <w:r w:rsidRPr="00AB0283">
        <w:rPr>
          <w:lang w:val="en-US"/>
        </w:rPr>
        <w:t>) and, unfortunately, matching an actionable event with a targeted therapy does not always translate into the expected clinical benefit.</w:t>
      </w:r>
    </w:p>
    <w:p w:rsidR="00AB0283" w:rsidRPr="00AB0283" w:rsidRDefault="00AB0283" w:rsidP="00AB0283">
      <w:pPr>
        <w:spacing w:line="360" w:lineRule="auto"/>
        <w:jc w:val="both"/>
        <w:rPr>
          <w:lang w:val="en-US"/>
        </w:rPr>
      </w:pPr>
      <w:r w:rsidRPr="00AB0283">
        <w:rPr>
          <w:lang w:val="en-US"/>
        </w:rPr>
        <w:t xml:space="preserve">Trying to overcome this lack of information, from recent years, efforts have been made to create a comprehensive classification scheme to guide target prioritization by analyzing level of evidence (LOE) for </w:t>
      </w:r>
      <w:proofErr w:type="spellStart"/>
      <w:r w:rsidRPr="00AB0283">
        <w:rPr>
          <w:lang w:val="en-US"/>
        </w:rPr>
        <w:t>targetability</w:t>
      </w:r>
      <w:proofErr w:type="spellEnd"/>
      <w:r w:rsidRPr="00AB0283">
        <w:rPr>
          <w:lang w:val="en-US"/>
        </w:rPr>
        <w:t xml:space="preserve"> of each recurrent driver described in solid tumors. These classifications evaluate whether targeting a genomic alteration leads to an antitumor effect, whatever the magnitude of clinical benefit is. Several LOE scales have been reported. In 2014, André and colleagues developed a scale to classify genomic alterations according to their likelihood of being therapeutic targets. In this scale, the LOE combines two levels of assessments: the first (from I to IV) defines the robustness of the data source; the second (from A to C) defines the relevance of the </w:t>
      </w:r>
      <w:r w:rsidRPr="00AB0283">
        <w:rPr>
          <w:lang w:val="en-US"/>
        </w:rPr>
        <w:lastRenderedPageBreak/>
        <w:t xml:space="preserve">information according to the disease under consideration </w:t>
      </w:r>
      <w:r w:rsidRPr="00AB0283">
        <w:rPr>
          <w:rFonts w:ascii="Calibri" w:hAnsi="Calibri" w:cs="Calibri"/>
          <w:lang w:val="en-US"/>
        </w:rPr>
        <w:t>(4)</w:t>
      </w:r>
      <w:r w:rsidRPr="00AB0283">
        <w:rPr>
          <w:lang w:val="en-US"/>
        </w:rPr>
        <w:t xml:space="preserve">. Another scale was described in 2014 by Van Allen and colleagues with 5 LOE for linking a given alteration to a clinical action, distinguishing and classifying predictive, prognostic and diagnostic markers </w:t>
      </w:r>
      <w:r w:rsidRPr="00AB0283">
        <w:rPr>
          <w:rFonts w:ascii="Calibri" w:hAnsi="Calibri" w:cs="Calibri"/>
          <w:lang w:val="en-US"/>
        </w:rPr>
        <w:t>(5)</w:t>
      </w:r>
      <w:r w:rsidRPr="00AB0283">
        <w:rPr>
          <w:lang w:val="en-US"/>
        </w:rPr>
        <w:t xml:space="preserve">. A different example of classification was presented in 2015 by </w:t>
      </w:r>
      <w:proofErr w:type="spellStart"/>
      <w:r w:rsidRPr="00AB0283">
        <w:rPr>
          <w:lang w:val="en-US"/>
        </w:rPr>
        <w:t>Dienstmann</w:t>
      </w:r>
      <w:proofErr w:type="spellEnd"/>
      <w:r w:rsidRPr="00AB0283">
        <w:rPr>
          <w:lang w:val="en-US"/>
        </w:rPr>
        <w:t xml:space="preserve"> and colleagues who conceived a “Clinical </w:t>
      </w:r>
      <w:proofErr w:type="spellStart"/>
      <w:r w:rsidRPr="00AB0283">
        <w:rPr>
          <w:lang w:val="en-US"/>
        </w:rPr>
        <w:t>Targetability</w:t>
      </w:r>
      <w:proofErr w:type="spellEnd"/>
      <w:r w:rsidRPr="00AB0283">
        <w:rPr>
          <w:lang w:val="en-US"/>
        </w:rPr>
        <w:t xml:space="preserve"> Index” resulting from the assessment of genomic alterations at multiple levels (gene-, variant-, tumor type- and drug level) </w:t>
      </w:r>
      <w:r w:rsidRPr="00AB0283">
        <w:rPr>
          <w:rFonts w:ascii="Calibri" w:hAnsi="Calibri" w:cs="Calibri"/>
          <w:lang w:val="en-US"/>
        </w:rPr>
        <w:t>(6)</w:t>
      </w:r>
      <w:r w:rsidRPr="00AB0283">
        <w:rPr>
          <w:lang w:val="en-US"/>
        </w:rPr>
        <w:t xml:space="preserve">. In 2016, </w:t>
      </w:r>
      <w:proofErr w:type="spellStart"/>
      <w:r w:rsidRPr="00AB0283">
        <w:rPr>
          <w:lang w:val="en-US"/>
        </w:rPr>
        <w:t>Sukhai</w:t>
      </w:r>
      <w:proofErr w:type="spellEnd"/>
      <w:r w:rsidRPr="00AB0283">
        <w:rPr>
          <w:lang w:val="en-US"/>
        </w:rPr>
        <w:t xml:space="preserve"> and colleagues proposed a classification for somatic variants in advanced cancers, organized in five categories according to: known or predicted pathogenicity of the variant, primary site and tumor histology in which the variant is found, recurrence of the variant and evidence of its clinical </w:t>
      </w:r>
      <w:proofErr w:type="spellStart"/>
      <w:r w:rsidRPr="00AB0283">
        <w:rPr>
          <w:lang w:val="en-US"/>
        </w:rPr>
        <w:t>actionability</w:t>
      </w:r>
      <w:proofErr w:type="spellEnd"/>
      <w:r w:rsidRPr="00AB0283">
        <w:rPr>
          <w:lang w:val="en-US"/>
        </w:rPr>
        <w:t xml:space="preserve"> </w:t>
      </w:r>
      <w:r w:rsidRPr="00AB0283">
        <w:rPr>
          <w:rFonts w:ascii="Calibri" w:hAnsi="Calibri" w:cs="Calibri"/>
          <w:lang w:val="en-US"/>
        </w:rPr>
        <w:t>(7)</w:t>
      </w:r>
      <w:r w:rsidRPr="00AB0283">
        <w:rPr>
          <w:lang w:val="en-US"/>
        </w:rPr>
        <w:t xml:space="preserve">. For the same purpose, in 2017, </w:t>
      </w:r>
      <w:proofErr w:type="spellStart"/>
      <w:r w:rsidRPr="00AB0283">
        <w:rPr>
          <w:lang w:val="en-US"/>
        </w:rPr>
        <w:t>Chakravarty</w:t>
      </w:r>
      <w:proofErr w:type="spellEnd"/>
      <w:r w:rsidRPr="00AB0283">
        <w:rPr>
          <w:lang w:val="en-US"/>
        </w:rPr>
        <w:t xml:space="preserve"> and colleagues created “</w:t>
      </w:r>
      <w:proofErr w:type="spellStart"/>
      <w:r w:rsidRPr="00AB0283">
        <w:rPr>
          <w:lang w:val="en-US"/>
        </w:rPr>
        <w:t>OncoKB</w:t>
      </w:r>
      <w:proofErr w:type="spellEnd"/>
      <w:r w:rsidRPr="00AB0283">
        <w:rPr>
          <w:lang w:val="en-US"/>
        </w:rPr>
        <w:t xml:space="preserve">”, a base stratifying cancer somatic alterations according to their prognostic and predictive significance on the basis of US Food and Drug Administration labeling, National Comprehensive Cancer Network guidelines, experts recommendations, scientific literature </w:t>
      </w:r>
      <w:r w:rsidRPr="00AB0283">
        <w:rPr>
          <w:rFonts w:ascii="Calibri" w:hAnsi="Calibri" w:cs="Calibri"/>
          <w:lang w:val="en-US"/>
        </w:rPr>
        <w:t>(8)</w:t>
      </w:r>
      <w:r w:rsidRPr="00AB0283">
        <w:rPr>
          <w:lang w:val="en-US"/>
        </w:rPr>
        <w:t xml:space="preserve">. </w:t>
      </w:r>
    </w:p>
    <w:p w:rsidR="00AB0283" w:rsidRPr="00AB0283" w:rsidRDefault="00AB0283" w:rsidP="00AB0283">
      <w:pPr>
        <w:spacing w:line="360" w:lineRule="auto"/>
        <w:jc w:val="both"/>
        <w:rPr>
          <w:lang w:val="en-US"/>
        </w:rPr>
      </w:pPr>
      <w:r w:rsidRPr="00AB0283">
        <w:rPr>
          <w:lang w:val="en-US"/>
        </w:rPr>
        <w:t xml:space="preserve">In this paper focused on breast cancer, we will use a ranking launched recently by ESMO:  the ESMO Scale for Clinical </w:t>
      </w:r>
      <w:proofErr w:type="spellStart"/>
      <w:r w:rsidRPr="00AB0283">
        <w:rPr>
          <w:lang w:val="en-US"/>
        </w:rPr>
        <w:t>Actionability</w:t>
      </w:r>
      <w:proofErr w:type="spellEnd"/>
      <w:r w:rsidRPr="00AB0283">
        <w:rPr>
          <w:lang w:val="en-US"/>
        </w:rPr>
        <w:t xml:space="preserve"> of molecular Targets (ESCAT) (Table1) </w:t>
      </w:r>
      <w:r w:rsidRPr="00AB0283">
        <w:rPr>
          <w:rFonts w:ascii="Calibri" w:hAnsi="Calibri" w:cs="Calibri"/>
          <w:lang w:val="en-US"/>
        </w:rPr>
        <w:t>(9)</w:t>
      </w:r>
      <w:r w:rsidRPr="00AB0283">
        <w:rPr>
          <w:lang w:val="en-US"/>
        </w:rPr>
        <w:t>. This scale provides a framework to assign DNA alterations into tiers that reflect their clinical utility for selecting patients for treatment with targeted therapies. The scale uses the strength of evidence from clinical studies as the basis to assign tiers to a target.</w:t>
      </w:r>
    </w:p>
    <w:p w:rsidR="00AB0283" w:rsidRPr="00AB0283" w:rsidRDefault="00AB0283" w:rsidP="00AB0283">
      <w:pPr>
        <w:spacing w:line="360" w:lineRule="auto"/>
        <w:jc w:val="both"/>
        <w:rPr>
          <w:b/>
          <w:lang w:val="en-US"/>
        </w:rPr>
      </w:pPr>
      <w:r w:rsidRPr="00AB0283">
        <w:rPr>
          <w:b/>
          <w:lang w:val="en-US"/>
        </w:rPr>
        <w:t>Methods</w:t>
      </w:r>
    </w:p>
    <w:p w:rsidR="00AB0283" w:rsidRPr="00AB0283" w:rsidRDefault="00AB0283" w:rsidP="00AB0283">
      <w:pPr>
        <w:autoSpaceDE w:val="0"/>
        <w:autoSpaceDN w:val="0"/>
        <w:adjustRightInd w:val="0"/>
        <w:spacing w:after="0" w:line="360" w:lineRule="auto"/>
        <w:rPr>
          <w:rFonts w:cs="24ljtxc"/>
          <w:lang w:val="en-US"/>
        </w:rPr>
      </w:pPr>
      <w:r w:rsidRPr="00AB0283">
        <w:rPr>
          <w:lang w:val="en-US"/>
        </w:rPr>
        <w:t xml:space="preserve">First, we identified the recurrent drivers described in breast cancer (BC), reviewing the genomic datasets available end of 2017. In addition, we added recent FDA tissue-agnostic drug approvals. For early BC we reviewed The Cancer Genome Atlas (TCGA) </w:t>
      </w:r>
      <w:r w:rsidRPr="00AB0283">
        <w:rPr>
          <w:rFonts w:ascii="Calibri" w:hAnsi="Calibri" w:cs="Calibri"/>
          <w:lang w:val="en-US"/>
        </w:rPr>
        <w:t>(10)</w:t>
      </w:r>
      <w:r w:rsidRPr="00AB0283">
        <w:rPr>
          <w:lang w:val="en-US"/>
        </w:rPr>
        <w:t xml:space="preserve"> and the dataset of the International Cancer Genome Consortium (ICGC) </w:t>
      </w:r>
      <w:r w:rsidRPr="00AB0283">
        <w:rPr>
          <w:rFonts w:ascii="Calibri" w:hAnsi="Calibri" w:cs="Calibri"/>
          <w:lang w:val="en-US"/>
        </w:rPr>
        <w:t>(11)</w:t>
      </w:r>
      <w:r w:rsidRPr="00AB0283">
        <w:rPr>
          <w:lang w:val="en-US"/>
        </w:rPr>
        <w:t xml:space="preserve">; for </w:t>
      </w:r>
      <w:proofErr w:type="spellStart"/>
      <w:r w:rsidRPr="00AB0283">
        <w:rPr>
          <w:lang w:val="en-US"/>
        </w:rPr>
        <w:t>mBC</w:t>
      </w:r>
      <w:proofErr w:type="spellEnd"/>
      <w:r w:rsidRPr="00AB0283">
        <w:rPr>
          <w:lang w:val="en-US"/>
        </w:rPr>
        <w:t xml:space="preserve"> we reviewed the analysis of Lefebvre and colleagues </w:t>
      </w:r>
      <w:r w:rsidRPr="00AB0283">
        <w:rPr>
          <w:rFonts w:ascii="Calibri" w:hAnsi="Calibri" w:cs="Calibri"/>
          <w:lang w:val="en-US"/>
        </w:rPr>
        <w:t>(12)</w:t>
      </w:r>
      <w:r w:rsidRPr="00AB0283">
        <w:rPr>
          <w:lang w:val="en-US"/>
        </w:rPr>
        <w:t>, which performed whole-</w:t>
      </w:r>
      <w:proofErr w:type="spellStart"/>
      <w:r w:rsidRPr="00AB0283">
        <w:rPr>
          <w:lang w:val="en-US"/>
        </w:rPr>
        <w:t>exome</w:t>
      </w:r>
      <w:proofErr w:type="spellEnd"/>
      <w:r w:rsidRPr="00AB0283">
        <w:rPr>
          <w:lang w:val="en-US"/>
        </w:rPr>
        <w:t xml:space="preserve"> sequencing (WES) on 216 tumor-blood pairs from </w:t>
      </w:r>
      <w:proofErr w:type="spellStart"/>
      <w:r w:rsidRPr="00AB0283">
        <w:rPr>
          <w:lang w:val="en-US"/>
        </w:rPr>
        <w:t>mBC</w:t>
      </w:r>
      <w:proofErr w:type="spellEnd"/>
      <w:r w:rsidRPr="00AB0283">
        <w:rPr>
          <w:lang w:val="en-US"/>
        </w:rPr>
        <w:t xml:space="preserve"> patients included in molecular screening trials. This work of review resulted in a list of 40 genes, described as recurrent drivers in BC, which are listed in table 2. </w:t>
      </w:r>
      <w:r w:rsidRPr="00AB0283">
        <w:rPr>
          <w:rFonts w:cs="24ljtxc"/>
          <w:lang w:val="en-US"/>
        </w:rPr>
        <w:t xml:space="preserve">To assess the efficacy of drugs matched to genomic alterations, we searched for clinical trials in clinicaltrials.gov, </w:t>
      </w:r>
      <w:proofErr w:type="spellStart"/>
      <w:r w:rsidRPr="00AB0283">
        <w:rPr>
          <w:rFonts w:cs="24ljtxc"/>
          <w:lang w:val="en-US"/>
        </w:rPr>
        <w:t>pubmed</w:t>
      </w:r>
      <w:proofErr w:type="spellEnd"/>
      <w:r w:rsidRPr="00AB0283">
        <w:rPr>
          <w:rFonts w:cs="24ljtxc"/>
          <w:lang w:val="en-US"/>
        </w:rPr>
        <w:t xml:space="preserve"> and major scientific meetings (ASCO, ESMO, SABCS, AACR). When all trials were consistent, only one or two was reported in the paper as illustration. When trials where inconsistent, all trials were reported. The first authors (RC, FM) did the literature review and proposed a ranking to the panel which sent their suggestions. All panel members contributed to the ranking. </w:t>
      </w:r>
    </w:p>
    <w:p w:rsidR="00AB0283" w:rsidRPr="00AB0283" w:rsidRDefault="00AB0283" w:rsidP="00AB0283">
      <w:pPr>
        <w:spacing w:line="360" w:lineRule="auto"/>
        <w:jc w:val="both"/>
        <w:rPr>
          <w:lang w:val="en-US"/>
        </w:rPr>
      </w:pPr>
      <w:r w:rsidRPr="00AB0283">
        <w:rPr>
          <w:lang w:val="en-US"/>
        </w:rPr>
        <w:t xml:space="preserve">We graduated the </w:t>
      </w:r>
      <w:proofErr w:type="spellStart"/>
      <w:r w:rsidRPr="00AB0283">
        <w:rPr>
          <w:lang w:val="en-US"/>
        </w:rPr>
        <w:t>targetability</w:t>
      </w:r>
      <w:proofErr w:type="spellEnd"/>
      <w:r w:rsidRPr="00AB0283">
        <w:rPr>
          <w:lang w:val="en-US"/>
        </w:rPr>
        <w:t xml:space="preserve"> for the most studied genes, according to the ESCAT scale </w:t>
      </w:r>
      <w:r w:rsidRPr="00AB0283">
        <w:rPr>
          <w:rFonts w:ascii="Calibri" w:hAnsi="Calibri"/>
          <w:lang w:val="en-US"/>
        </w:rPr>
        <w:t>(9)</w:t>
      </w:r>
      <w:r w:rsidRPr="00AB0283">
        <w:rPr>
          <w:lang w:val="en-US"/>
        </w:rPr>
        <w:t>. This scale classifies the molecular targets into different tiers (I-V and X) based on the strength of evidence from clinical studies. One limitation of this classification is that only focus on DNA alterations.</w:t>
      </w:r>
    </w:p>
    <w:p w:rsidR="00AB0283" w:rsidRPr="00AB0283" w:rsidRDefault="00AB0283" w:rsidP="00AB0283">
      <w:pPr>
        <w:spacing w:line="360" w:lineRule="auto"/>
        <w:jc w:val="both"/>
        <w:rPr>
          <w:b/>
          <w:u w:val="single"/>
          <w:lang w:val="en-US"/>
        </w:rPr>
      </w:pPr>
      <w:r w:rsidRPr="00AB0283">
        <w:rPr>
          <w:b/>
          <w:u w:val="single"/>
          <w:lang w:val="en-US"/>
        </w:rPr>
        <w:lastRenderedPageBreak/>
        <w:t>Tier I</w:t>
      </w:r>
    </w:p>
    <w:p w:rsidR="00AB0283" w:rsidRPr="00AB0283" w:rsidRDefault="00AB0283" w:rsidP="00AB0283">
      <w:pPr>
        <w:spacing w:line="360" w:lineRule="auto"/>
        <w:jc w:val="both"/>
        <w:rPr>
          <w:lang w:val="en-US"/>
        </w:rPr>
      </w:pPr>
      <w:bookmarkStart w:id="0" w:name="_Hlk528520620"/>
      <w:r w:rsidRPr="00AB0283">
        <w:rPr>
          <w:lang w:val="en-US"/>
        </w:rPr>
        <w:t>Tier I, according to ESCAT classification, is when the alteration-drug match is associated with improved outcome in clinical trials so the access to the treatment should be considered sta</w:t>
      </w:r>
      <w:r w:rsidR="00221D53">
        <w:rPr>
          <w:lang w:val="en-US"/>
        </w:rPr>
        <w:t xml:space="preserve">ndard of care. Tier I includes </w:t>
      </w:r>
      <w:r w:rsidRPr="00AB0283">
        <w:rPr>
          <w:lang w:val="en-US"/>
        </w:rPr>
        <w:t>tier IA, IB and IC.</w:t>
      </w:r>
    </w:p>
    <w:bookmarkEnd w:id="0"/>
    <w:p w:rsidR="00AB0283" w:rsidRPr="00AB0283" w:rsidRDefault="00AB0283" w:rsidP="00AB0283">
      <w:pPr>
        <w:spacing w:line="360" w:lineRule="auto"/>
        <w:jc w:val="both"/>
        <w:rPr>
          <w:lang w:val="en-US"/>
        </w:rPr>
      </w:pPr>
      <w:r w:rsidRPr="00AB0283">
        <w:rPr>
          <w:i/>
          <w:lang w:val="en-US"/>
        </w:rPr>
        <w:t>Tier IA</w:t>
      </w:r>
      <w:r w:rsidRPr="00AB0283">
        <w:rPr>
          <w:lang w:val="en-US"/>
        </w:rPr>
        <w:t xml:space="preserve"> is based on prospective, randomized clinical trials that show the alteration-drug match in a specific tumor type results in a clinically meaningful improvement of a survival end point. </w:t>
      </w:r>
      <w:r w:rsidRPr="00AB0283">
        <w:rPr>
          <w:i/>
          <w:lang w:val="en-US"/>
        </w:rPr>
        <w:t>ERBB2</w:t>
      </w:r>
      <w:r w:rsidRPr="00AB0283">
        <w:rPr>
          <w:lang w:val="en-US"/>
        </w:rPr>
        <w:t xml:space="preserve"> amplification, </w:t>
      </w:r>
      <w:proofErr w:type="spellStart"/>
      <w:r w:rsidRPr="00AB0283">
        <w:rPr>
          <w:lang w:val="en-US"/>
        </w:rPr>
        <w:t>germline</w:t>
      </w:r>
      <w:proofErr w:type="spellEnd"/>
      <w:r w:rsidRPr="00AB0283">
        <w:rPr>
          <w:lang w:val="en-US"/>
        </w:rPr>
        <w:t xml:space="preserve"> </w:t>
      </w:r>
      <w:r w:rsidRPr="00AB0283">
        <w:rPr>
          <w:i/>
          <w:lang w:val="en-US"/>
        </w:rPr>
        <w:t>BRCA1/2</w:t>
      </w:r>
      <w:r w:rsidRPr="00AB0283">
        <w:rPr>
          <w:lang w:val="en-US"/>
        </w:rPr>
        <w:t xml:space="preserve"> mutations and </w:t>
      </w:r>
      <w:r w:rsidRPr="00AB0283">
        <w:rPr>
          <w:i/>
          <w:lang w:val="en-US"/>
        </w:rPr>
        <w:t xml:space="preserve">PIK3CA </w:t>
      </w:r>
      <w:r w:rsidRPr="00AB0283">
        <w:rPr>
          <w:lang w:val="en-US"/>
        </w:rPr>
        <w:t>mutations are classified at this l tier.</w:t>
      </w:r>
    </w:p>
    <w:p w:rsidR="00AB0283" w:rsidRPr="00AB0283" w:rsidRDefault="00AB0283" w:rsidP="00AB0283">
      <w:pPr>
        <w:spacing w:line="360" w:lineRule="auto"/>
        <w:jc w:val="both"/>
        <w:rPr>
          <w:lang w:val="en-US"/>
        </w:rPr>
      </w:pPr>
      <w:r w:rsidRPr="00AB0283">
        <w:rPr>
          <w:i/>
          <w:lang w:val="en-US"/>
        </w:rPr>
        <w:t>Tier IB</w:t>
      </w:r>
      <w:r w:rsidRPr="00AB0283">
        <w:rPr>
          <w:lang w:val="en-US"/>
        </w:rPr>
        <w:t xml:space="preserve"> is based on prospective, single arm clinical trials that show the alteration-drug match in a specific tumor type results in clinically meaningful benefit as defined by ESMO MCBS 1.1.</w:t>
      </w:r>
    </w:p>
    <w:p w:rsidR="00AB0283" w:rsidRPr="00AB0283" w:rsidRDefault="00AB0283" w:rsidP="00AB0283">
      <w:pPr>
        <w:spacing w:line="360" w:lineRule="auto"/>
        <w:jc w:val="both"/>
        <w:rPr>
          <w:lang w:val="en-US"/>
        </w:rPr>
      </w:pPr>
      <w:r w:rsidRPr="00AB0283">
        <w:rPr>
          <w:i/>
          <w:lang w:val="en-US"/>
        </w:rPr>
        <w:t xml:space="preserve">Tier IC </w:t>
      </w:r>
      <w:r w:rsidRPr="00AB0283">
        <w:rPr>
          <w:lang w:val="en-US"/>
        </w:rPr>
        <w:t xml:space="preserve">is based on clinical trials across multiple tumor types or basket clinical trials that show clinical benefit (ESMO MCBS 1.1) for the alteration-drug match, with similar benefit observed across the different tumor types. </w:t>
      </w:r>
      <w:r w:rsidRPr="00AB0283">
        <w:rPr>
          <w:i/>
          <w:lang w:val="en-US"/>
        </w:rPr>
        <w:t>NTRK</w:t>
      </w:r>
      <w:r w:rsidRPr="00AB0283">
        <w:rPr>
          <w:lang w:val="en-US"/>
        </w:rPr>
        <w:t xml:space="preserve"> translocations and microsatellite instability (MSI) are examples of this tier.</w:t>
      </w:r>
    </w:p>
    <w:p w:rsidR="00AB0283" w:rsidRPr="00AB0283" w:rsidRDefault="00AB0283" w:rsidP="00AB0283">
      <w:pPr>
        <w:spacing w:line="360" w:lineRule="auto"/>
        <w:jc w:val="both"/>
        <w:rPr>
          <w:lang w:val="en-US"/>
        </w:rPr>
      </w:pPr>
      <w:r w:rsidRPr="00AB0283">
        <w:rPr>
          <w:i/>
          <w:u w:val="single"/>
          <w:lang w:val="en-US"/>
        </w:rPr>
        <w:t xml:space="preserve">ERBB2 </w:t>
      </w:r>
      <w:r w:rsidRPr="00AB0283">
        <w:rPr>
          <w:u w:val="single"/>
          <w:lang w:val="en-US"/>
        </w:rPr>
        <w:t>amplification</w:t>
      </w:r>
      <w:r w:rsidRPr="00AB0283">
        <w:rPr>
          <w:lang w:val="en-US"/>
        </w:rPr>
        <w:t xml:space="preserve"> (IA)</w:t>
      </w:r>
    </w:p>
    <w:p w:rsidR="00AB0283" w:rsidRPr="00AB0283" w:rsidRDefault="00AB0283" w:rsidP="00AB0283">
      <w:pPr>
        <w:spacing w:line="360" w:lineRule="auto"/>
        <w:jc w:val="both"/>
        <w:rPr>
          <w:lang w:val="en-US"/>
        </w:rPr>
      </w:pPr>
      <w:r w:rsidRPr="00AB0283">
        <w:rPr>
          <w:i/>
          <w:lang w:val="en-US"/>
        </w:rPr>
        <w:t>ERBB2</w:t>
      </w:r>
      <w:r w:rsidR="001305E7">
        <w:rPr>
          <w:lang w:val="en-US"/>
        </w:rPr>
        <w:t xml:space="preserve"> amplification reaches </w:t>
      </w:r>
      <w:r w:rsidRPr="00AB0283">
        <w:rPr>
          <w:lang w:val="en-US"/>
        </w:rPr>
        <w:t xml:space="preserve">tier IA on the basis of randomized, prospective trials that result in overall survival (OS) and progression free survival (PFS) improvement in early BC and </w:t>
      </w:r>
      <w:proofErr w:type="spellStart"/>
      <w:r w:rsidRPr="00AB0283">
        <w:rPr>
          <w:lang w:val="en-US"/>
        </w:rPr>
        <w:t>mBC</w:t>
      </w:r>
      <w:proofErr w:type="spellEnd"/>
      <w:r w:rsidRPr="00AB0283">
        <w:rPr>
          <w:lang w:val="en-US"/>
        </w:rPr>
        <w:t xml:space="preserve"> patients harboring the </w:t>
      </w:r>
      <w:r w:rsidRPr="00AB0283">
        <w:rPr>
          <w:i/>
          <w:lang w:val="en-US"/>
        </w:rPr>
        <w:t>ERBB2</w:t>
      </w:r>
      <w:r w:rsidRPr="00AB0283">
        <w:rPr>
          <w:lang w:val="en-US"/>
        </w:rPr>
        <w:t xml:space="preserve"> amplification. The pooled analysis of NSABP-B31 and NCCTG N9831, two phase III trials comparing chemotherapy to </w:t>
      </w:r>
      <w:proofErr w:type="spellStart"/>
      <w:r w:rsidRPr="00AB0283">
        <w:rPr>
          <w:lang w:val="en-US"/>
        </w:rPr>
        <w:t>trastuzumab</w:t>
      </w:r>
      <w:proofErr w:type="spellEnd"/>
      <w:r w:rsidRPr="00AB0283">
        <w:rPr>
          <w:lang w:val="en-US"/>
        </w:rPr>
        <w:t xml:space="preserve"> + chemo in patients with HER2 amplified BC, showed a 12% absolute benefit on 3 year DFS in patients treated with </w:t>
      </w:r>
      <w:proofErr w:type="spellStart"/>
      <w:r w:rsidRPr="00AB0283">
        <w:rPr>
          <w:lang w:val="en-US"/>
        </w:rPr>
        <w:t>trastuzumab</w:t>
      </w:r>
      <w:proofErr w:type="spellEnd"/>
      <w:r w:rsidRPr="00AB0283">
        <w:rPr>
          <w:lang w:val="en-US"/>
        </w:rPr>
        <w:t xml:space="preserve"> </w:t>
      </w:r>
      <w:r w:rsidRPr="00AB0283">
        <w:rPr>
          <w:rFonts w:ascii="Calibri" w:hAnsi="Calibri"/>
          <w:lang w:val="en-US"/>
        </w:rPr>
        <w:t>(13)</w:t>
      </w:r>
      <w:r w:rsidRPr="00AB0283">
        <w:rPr>
          <w:lang w:val="en-US"/>
        </w:rPr>
        <w:t xml:space="preserve">. At the opposite, the NSABP B-47 trial testing </w:t>
      </w:r>
      <w:proofErr w:type="spellStart"/>
      <w:r w:rsidRPr="00AB0283">
        <w:rPr>
          <w:lang w:val="en-US"/>
        </w:rPr>
        <w:t>trastuzumab</w:t>
      </w:r>
      <w:proofErr w:type="spellEnd"/>
      <w:r w:rsidRPr="00AB0283">
        <w:rPr>
          <w:lang w:val="en-US"/>
        </w:rPr>
        <w:t xml:space="preserve"> in Her2-low BC did not detect a benefit in patients treated with </w:t>
      </w:r>
      <w:proofErr w:type="spellStart"/>
      <w:r w:rsidRPr="00AB0283">
        <w:rPr>
          <w:lang w:val="en-US"/>
        </w:rPr>
        <w:t>trastuzumab</w:t>
      </w:r>
      <w:proofErr w:type="spellEnd"/>
      <w:r w:rsidRPr="00AB0283">
        <w:rPr>
          <w:lang w:val="en-US"/>
        </w:rPr>
        <w:t xml:space="preserve"> (5 year DFS: 89.6% </w:t>
      </w:r>
      <w:proofErr w:type="spellStart"/>
      <w:r w:rsidRPr="00AB0283">
        <w:rPr>
          <w:i/>
          <w:lang w:val="en-US"/>
        </w:rPr>
        <w:t>vs</w:t>
      </w:r>
      <w:proofErr w:type="spellEnd"/>
      <w:r w:rsidRPr="00AB0283">
        <w:rPr>
          <w:lang w:val="en-US"/>
        </w:rPr>
        <w:t xml:space="preserve"> 89.2%; </w:t>
      </w:r>
      <w:r w:rsidRPr="00AB0283">
        <w:rPr>
          <w:rFonts w:cs="Arial"/>
          <w:shd w:val="clear" w:color="auto" w:fill="FFFFFF"/>
          <w:lang w:val="en-US"/>
        </w:rPr>
        <w:t>HR 0.98; 95% CI [0.77-1.26]; p=0.90)</w:t>
      </w:r>
      <w:r w:rsidRPr="00AB0283">
        <w:rPr>
          <w:lang w:val="en-US"/>
        </w:rPr>
        <w:t xml:space="preserve"> </w:t>
      </w:r>
      <w:r w:rsidRPr="00AB0283">
        <w:rPr>
          <w:rFonts w:ascii="Calibri" w:hAnsi="Calibri"/>
          <w:lang w:val="en-US"/>
        </w:rPr>
        <w:t>(14)</w:t>
      </w:r>
      <w:r w:rsidRPr="00AB0283">
        <w:rPr>
          <w:rFonts w:cs="Arial"/>
          <w:shd w:val="clear" w:color="auto" w:fill="FFFFFF"/>
          <w:lang w:val="en-US"/>
        </w:rPr>
        <w:t>.</w:t>
      </w:r>
      <w:r w:rsidRPr="00AB0283">
        <w:rPr>
          <w:lang w:val="en-US"/>
        </w:rPr>
        <w:t xml:space="preserve">  </w:t>
      </w:r>
    </w:p>
    <w:p w:rsidR="00AB0283" w:rsidRPr="00AB0283" w:rsidRDefault="00AB0283" w:rsidP="00AB0283">
      <w:pPr>
        <w:spacing w:line="360" w:lineRule="auto"/>
        <w:jc w:val="both"/>
        <w:rPr>
          <w:lang w:val="en-US"/>
        </w:rPr>
      </w:pPr>
      <w:r w:rsidRPr="00AB0283">
        <w:rPr>
          <w:lang w:val="en-US"/>
        </w:rPr>
        <w:t xml:space="preserve">Since </w:t>
      </w:r>
      <w:proofErr w:type="spellStart"/>
      <w:r w:rsidRPr="00AB0283">
        <w:rPr>
          <w:lang w:val="en-US"/>
        </w:rPr>
        <w:t>trastuzumab</w:t>
      </w:r>
      <w:proofErr w:type="spellEnd"/>
      <w:r w:rsidRPr="00AB0283">
        <w:rPr>
          <w:lang w:val="en-US"/>
        </w:rPr>
        <w:t xml:space="preserve"> could mediate its efficacy through ADCC and not by oncogene de-</w:t>
      </w:r>
      <w:proofErr w:type="spellStart"/>
      <w:r w:rsidRPr="00AB0283">
        <w:rPr>
          <w:lang w:val="en-US"/>
        </w:rPr>
        <w:t>addiciton</w:t>
      </w:r>
      <w:proofErr w:type="spellEnd"/>
      <w:r w:rsidRPr="00AB0283">
        <w:rPr>
          <w:lang w:val="en-US"/>
        </w:rPr>
        <w:t xml:space="preserve">, we looked at studies that evaluated tyrosine kinase inhibitors. A randomized trial compared </w:t>
      </w:r>
      <w:proofErr w:type="spellStart"/>
      <w:r w:rsidRPr="00AB0283">
        <w:rPr>
          <w:lang w:val="en-US"/>
        </w:rPr>
        <w:t>lapatinib</w:t>
      </w:r>
      <w:proofErr w:type="spellEnd"/>
      <w:r w:rsidRPr="00AB0283">
        <w:rPr>
          <w:lang w:val="en-US"/>
        </w:rPr>
        <w:t xml:space="preserve"> and paclitaxel </w:t>
      </w:r>
      <w:r w:rsidRPr="00AB0283">
        <w:rPr>
          <w:i/>
          <w:lang w:val="en-US"/>
        </w:rPr>
        <w:t>versus</w:t>
      </w:r>
      <w:r w:rsidRPr="00AB0283">
        <w:rPr>
          <w:lang w:val="en-US"/>
        </w:rPr>
        <w:t xml:space="preserve"> placebo and paclitaxel as first-line therapy for </w:t>
      </w:r>
      <w:proofErr w:type="spellStart"/>
      <w:r w:rsidRPr="00AB0283">
        <w:rPr>
          <w:lang w:val="en-US"/>
        </w:rPr>
        <w:t>mBC</w:t>
      </w:r>
      <w:proofErr w:type="spellEnd"/>
      <w:r w:rsidRPr="00AB0283">
        <w:rPr>
          <w:lang w:val="en-US"/>
        </w:rPr>
        <w:t xml:space="preserve">. Overall 580 patients were enrolled, with 15% of them harboring an </w:t>
      </w:r>
      <w:r w:rsidRPr="00AB0283">
        <w:rPr>
          <w:i/>
          <w:lang w:val="en-US"/>
        </w:rPr>
        <w:t>ERBB2</w:t>
      </w:r>
      <w:r w:rsidRPr="00AB0283">
        <w:rPr>
          <w:lang w:val="en-US"/>
        </w:rPr>
        <w:t xml:space="preserve"> amplified BC. The analysis in the HER2 positive subgroup reported a significantly longer time to progression (TTP) in the </w:t>
      </w:r>
      <w:proofErr w:type="spellStart"/>
      <w:r w:rsidRPr="00AB0283">
        <w:rPr>
          <w:lang w:val="en-US"/>
        </w:rPr>
        <w:t>lapatinib</w:t>
      </w:r>
      <w:proofErr w:type="spellEnd"/>
      <w:r w:rsidRPr="00AB0283">
        <w:rPr>
          <w:lang w:val="en-US"/>
        </w:rPr>
        <w:t xml:space="preserve"> arm, in comparison with the placebo arm (median 36.4 </w:t>
      </w:r>
      <w:proofErr w:type="spellStart"/>
      <w:r w:rsidRPr="00AB0283">
        <w:rPr>
          <w:i/>
          <w:lang w:val="en-US"/>
        </w:rPr>
        <w:t>vs</w:t>
      </w:r>
      <w:proofErr w:type="spellEnd"/>
      <w:r w:rsidRPr="00AB0283">
        <w:rPr>
          <w:lang w:val="en-US"/>
        </w:rPr>
        <w:t xml:space="preserve"> 25.1 weeks, respectively; HR 0.53; p=0.005). On the contrary, in the HER2 negative subgroup there was no difference in terms of TTP in the treatment arm with </w:t>
      </w:r>
      <w:proofErr w:type="spellStart"/>
      <w:r w:rsidRPr="00AB0283">
        <w:rPr>
          <w:lang w:val="en-US"/>
        </w:rPr>
        <w:t>lapatinib</w:t>
      </w:r>
      <w:proofErr w:type="spellEnd"/>
      <w:r w:rsidRPr="00AB0283">
        <w:rPr>
          <w:lang w:val="en-US"/>
        </w:rPr>
        <w:t xml:space="preserve"> compared with the treatment arm with placebo (median 25.1 </w:t>
      </w:r>
      <w:r w:rsidRPr="00AB0283">
        <w:rPr>
          <w:i/>
          <w:lang w:val="en-US"/>
        </w:rPr>
        <w:t>versus</w:t>
      </w:r>
      <w:r w:rsidRPr="00AB0283">
        <w:rPr>
          <w:lang w:val="en-US"/>
        </w:rPr>
        <w:t xml:space="preserve"> 24.0 weeks respectively; HR 1.05; p=0.6617) </w:t>
      </w:r>
      <w:r w:rsidRPr="00AB0283">
        <w:rPr>
          <w:rFonts w:ascii="Calibri" w:hAnsi="Calibri"/>
          <w:lang w:val="en-US"/>
        </w:rPr>
        <w:t>(15)</w:t>
      </w:r>
      <w:r w:rsidRPr="00AB0283">
        <w:rPr>
          <w:lang w:val="en-US"/>
        </w:rPr>
        <w:t xml:space="preserve"> . </w:t>
      </w:r>
    </w:p>
    <w:p w:rsidR="00AB0283" w:rsidRPr="00AB0283" w:rsidRDefault="00AB0283" w:rsidP="00AB0283">
      <w:pPr>
        <w:spacing w:line="360" w:lineRule="auto"/>
        <w:jc w:val="both"/>
        <w:rPr>
          <w:lang w:val="en-US"/>
        </w:rPr>
      </w:pPr>
      <w:r w:rsidRPr="00AB0283">
        <w:rPr>
          <w:lang w:val="en-US"/>
        </w:rPr>
        <w:lastRenderedPageBreak/>
        <w:t xml:space="preserve">Gene expression arrays suggest that tumors driven by </w:t>
      </w:r>
      <w:r w:rsidRPr="00AB0283">
        <w:rPr>
          <w:i/>
          <w:lang w:val="en-US"/>
        </w:rPr>
        <w:t xml:space="preserve">ERBB2 </w:t>
      </w:r>
      <w:r w:rsidRPr="00AB0283">
        <w:rPr>
          <w:lang w:val="en-US"/>
        </w:rPr>
        <w:t xml:space="preserve">amplifications are frequently Estrogen Receptor (ER) negative </w:t>
      </w:r>
      <w:r w:rsidRPr="00AB0283">
        <w:rPr>
          <w:rFonts w:ascii="Calibri" w:hAnsi="Calibri"/>
          <w:lang w:val="en-US"/>
        </w:rPr>
        <w:t>(16).</w:t>
      </w:r>
    </w:p>
    <w:p w:rsidR="00AB0283" w:rsidRPr="00AB0283" w:rsidRDefault="00AB0283" w:rsidP="00AB0283">
      <w:pPr>
        <w:spacing w:line="360" w:lineRule="auto"/>
        <w:jc w:val="both"/>
        <w:rPr>
          <w:lang w:val="en-US"/>
        </w:rPr>
      </w:pPr>
      <w:proofErr w:type="spellStart"/>
      <w:r w:rsidRPr="00AB0283">
        <w:rPr>
          <w:u w:val="single"/>
          <w:lang w:val="en-US"/>
        </w:rPr>
        <w:t>Germline</w:t>
      </w:r>
      <w:proofErr w:type="spellEnd"/>
      <w:r w:rsidRPr="00AB0283">
        <w:rPr>
          <w:u w:val="single"/>
          <w:lang w:val="en-US"/>
        </w:rPr>
        <w:t xml:space="preserve"> </w:t>
      </w:r>
      <w:r w:rsidRPr="00AB0283">
        <w:rPr>
          <w:i/>
          <w:u w:val="single"/>
          <w:lang w:val="en-US"/>
        </w:rPr>
        <w:t xml:space="preserve">BRCA 1/2 </w:t>
      </w:r>
      <w:r w:rsidRPr="00AB0283">
        <w:rPr>
          <w:u w:val="single"/>
          <w:lang w:val="en-US"/>
        </w:rPr>
        <w:t>mutations</w:t>
      </w:r>
      <w:r w:rsidRPr="00AB0283">
        <w:rPr>
          <w:lang w:val="en-US"/>
        </w:rPr>
        <w:t xml:space="preserve"> (IA)</w:t>
      </w:r>
    </w:p>
    <w:p w:rsidR="00AB0283" w:rsidRPr="00AB0283" w:rsidRDefault="00AB0283" w:rsidP="00AB0283">
      <w:pPr>
        <w:spacing w:line="360" w:lineRule="auto"/>
        <w:jc w:val="both"/>
        <w:rPr>
          <w:lang w:val="en-US"/>
        </w:rPr>
      </w:pPr>
      <w:r w:rsidRPr="00AB0283">
        <w:rPr>
          <w:lang w:val="en-US"/>
        </w:rPr>
        <w:t xml:space="preserve">In the randomized, controlled, phase III </w:t>
      </w:r>
      <w:proofErr w:type="spellStart"/>
      <w:r w:rsidRPr="00AB0283">
        <w:rPr>
          <w:lang w:val="en-US"/>
        </w:rPr>
        <w:t>OlympiAD</w:t>
      </w:r>
      <w:proofErr w:type="spellEnd"/>
      <w:r w:rsidRPr="00AB0283">
        <w:rPr>
          <w:lang w:val="en-US"/>
        </w:rPr>
        <w:t xml:space="preserve"> trial, patients with </w:t>
      </w:r>
      <w:proofErr w:type="spellStart"/>
      <w:r w:rsidRPr="00AB0283">
        <w:rPr>
          <w:lang w:val="en-US"/>
        </w:rPr>
        <w:t>germline</w:t>
      </w:r>
      <w:proofErr w:type="spellEnd"/>
      <w:r w:rsidRPr="00AB0283">
        <w:rPr>
          <w:lang w:val="en-US"/>
        </w:rPr>
        <w:t xml:space="preserve"> </w:t>
      </w:r>
      <w:r w:rsidRPr="00AB0283">
        <w:rPr>
          <w:i/>
          <w:lang w:val="en-US"/>
        </w:rPr>
        <w:t>BRCA 1/2</w:t>
      </w:r>
      <w:r w:rsidRPr="00AB0283">
        <w:rPr>
          <w:lang w:val="en-US"/>
        </w:rPr>
        <w:t xml:space="preserve"> mutations </w:t>
      </w:r>
      <w:proofErr w:type="spellStart"/>
      <w:r w:rsidRPr="00AB0283">
        <w:rPr>
          <w:lang w:val="en-US"/>
        </w:rPr>
        <w:t>mBC</w:t>
      </w:r>
      <w:proofErr w:type="spellEnd"/>
      <w:r w:rsidRPr="00AB0283">
        <w:rPr>
          <w:lang w:val="en-US"/>
        </w:rPr>
        <w:t xml:space="preserve"> were randomized to receive </w:t>
      </w:r>
      <w:proofErr w:type="spellStart"/>
      <w:r w:rsidRPr="00AB0283">
        <w:rPr>
          <w:lang w:val="en-US"/>
        </w:rPr>
        <w:t>olaparib</w:t>
      </w:r>
      <w:proofErr w:type="spellEnd"/>
      <w:r w:rsidRPr="00AB0283">
        <w:rPr>
          <w:lang w:val="en-US"/>
        </w:rPr>
        <w:t xml:space="preserve"> or standard therapy with single-agent chemotherapy of the physician’s choice. The results showed a median PFS significantly longer in the </w:t>
      </w:r>
      <w:proofErr w:type="spellStart"/>
      <w:r w:rsidRPr="00AB0283">
        <w:rPr>
          <w:lang w:val="en-US"/>
        </w:rPr>
        <w:t>olaparib</w:t>
      </w:r>
      <w:proofErr w:type="spellEnd"/>
      <w:r w:rsidRPr="00AB0283">
        <w:rPr>
          <w:lang w:val="en-US"/>
        </w:rPr>
        <w:t xml:space="preserve"> group than in the standard therapy group (7.0 </w:t>
      </w:r>
      <w:r w:rsidRPr="00AB0283">
        <w:rPr>
          <w:i/>
          <w:lang w:val="en-US"/>
        </w:rPr>
        <w:t>vs.</w:t>
      </w:r>
      <w:r w:rsidRPr="00AB0283">
        <w:rPr>
          <w:lang w:val="en-US"/>
        </w:rPr>
        <w:t xml:space="preserve"> 4.2 months; HR 0.58; p &lt;0.001). Moreover, the response rate was 59.9% in the </w:t>
      </w:r>
      <w:proofErr w:type="spellStart"/>
      <w:r w:rsidRPr="00AB0283">
        <w:rPr>
          <w:lang w:val="en-US"/>
        </w:rPr>
        <w:t>olaparib</w:t>
      </w:r>
      <w:proofErr w:type="spellEnd"/>
      <w:r w:rsidRPr="00AB0283">
        <w:rPr>
          <w:lang w:val="en-US"/>
        </w:rPr>
        <w:t xml:space="preserve"> group and 28.8% in the standard-therapy group </w:t>
      </w:r>
      <w:r w:rsidRPr="00AB0283">
        <w:rPr>
          <w:rFonts w:ascii="Calibri" w:hAnsi="Calibri"/>
          <w:lang w:val="en-US"/>
        </w:rPr>
        <w:t>(17)</w:t>
      </w:r>
      <w:r w:rsidRPr="00AB0283">
        <w:rPr>
          <w:lang w:val="en-US"/>
        </w:rPr>
        <w:t>.</w:t>
      </w:r>
    </w:p>
    <w:p w:rsidR="00AB0283" w:rsidRPr="00AB0283" w:rsidRDefault="00AB0283" w:rsidP="00AB0283">
      <w:pPr>
        <w:shd w:val="clear" w:color="auto" w:fill="FFFFFF" w:themeFill="background1"/>
        <w:spacing w:line="360" w:lineRule="auto"/>
        <w:jc w:val="both"/>
        <w:rPr>
          <w:lang w:val="en-US"/>
        </w:rPr>
      </w:pPr>
      <w:r w:rsidRPr="00AB0283">
        <w:rPr>
          <w:lang w:val="en-US"/>
        </w:rPr>
        <w:t xml:space="preserve">In the randomized, controlled, phase 3 EMBRACA, patients with </w:t>
      </w:r>
      <w:proofErr w:type="spellStart"/>
      <w:r w:rsidRPr="00AB0283">
        <w:rPr>
          <w:lang w:val="en-US"/>
        </w:rPr>
        <w:t>germline</w:t>
      </w:r>
      <w:proofErr w:type="spellEnd"/>
      <w:r w:rsidRPr="00AB0283">
        <w:rPr>
          <w:lang w:val="en-US"/>
        </w:rPr>
        <w:t xml:space="preserve"> </w:t>
      </w:r>
      <w:r w:rsidRPr="00AB0283">
        <w:rPr>
          <w:i/>
          <w:lang w:val="en-US"/>
        </w:rPr>
        <w:t>BRCA 1/2</w:t>
      </w:r>
      <w:r w:rsidRPr="00AB0283">
        <w:rPr>
          <w:lang w:val="en-US"/>
        </w:rPr>
        <w:t xml:space="preserve"> mutations and </w:t>
      </w:r>
      <w:proofErr w:type="spellStart"/>
      <w:r w:rsidRPr="00AB0283">
        <w:rPr>
          <w:lang w:val="en-US"/>
        </w:rPr>
        <w:t>mBC</w:t>
      </w:r>
      <w:proofErr w:type="spellEnd"/>
      <w:r w:rsidRPr="00AB0283">
        <w:rPr>
          <w:lang w:val="en-US"/>
        </w:rPr>
        <w:t xml:space="preserve"> were randomized to receive </w:t>
      </w:r>
      <w:proofErr w:type="spellStart"/>
      <w:r w:rsidRPr="00AB0283">
        <w:rPr>
          <w:lang w:val="en-US"/>
        </w:rPr>
        <w:t>talazoparib</w:t>
      </w:r>
      <w:proofErr w:type="spellEnd"/>
      <w:r w:rsidRPr="00AB0283">
        <w:rPr>
          <w:lang w:val="en-US"/>
        </w:rPr>
        <w:t xml:space="preserve"> 1 mg/day or standard therapy with single-agent chemotherapy of the physician’s choice. The median PFS was 8.6 months for patients in the </w:t>
      </w:r>
      <w:proofErr w:type="spellStart"/>
      <w:r w:rsidRPr="00AB0283">
        <w:rPr>
          <w:lang w:val="en-US"/>
        </w:rPr>
        <w:t>talazoparib</w:t>
      </w:r>
      <w:proofErr w:type="spellEnd"/>
      <w:r w:rsidRPr="00AB0283">
        <w:rPr>
          <w:lang w:val="en-US"/>
        </w:rPr>
        <w:t xml:space="preserve"> arm </w:t>
      </w:r>
      <w:proofErr w:type="spellStart"/>
      <w:r w:rsidRPr="00AB0283">
        <w:rPr>
          <w:lang w:val="en-US"/>
        </w:rPr>
        <w:t>vs</w:t>
      </w:r>
      <w:proofErr w:type="spellEnd"/>
      <w:r w:rsidRPr="00AB0283">
        <w:rPr>
          <w:lang w:val="en-US"/>
        </w:rPr>
        <w:t xml:space="preserve"> 5.6 months for those in the physician’s-choice arm (HR 0.54; p &lt;0.0001) </w:t>
      </w:r>
      <w:r w:rsidRPr="00AB0283">
        <w:rPr>
          <w:rFonts w:ascii="Calibri" w:hAnsi="Calibri"/>
          <w:lang w:val="en-US"/>
        </w:rPr>
        <w:t>(18)</w:t>
      </w:r>
      <w:r w:rsidRPr="00AB0283">
        <w:rPr>
          <w:lang w:val="en-US"/>
        </w:rPr>
        <w:t xml:space="preserve">. </w:t>
      </w:r>
    </w:p>
    <w:p w:rsidR="00AB0283" w:rsidRPr="00AB0283" w:rsidRDefault="00AB0283" w:rsidP="00AB0283">
      <w:pPr>
        <w:shd w:val="clear" w:color="auto" w:fill="FFFFFF" w:themeFill="background1"/>
        <w:spacing w:line="360" w:lineRule="auto"/>
        <w:jc w:val="both"/>
        <w:rPr>
          <w:lang w:val="en-US"/>
        </w:rPr>
      </w:pPr>
      <w:r w:rsidRPr="00AB0283">
        <w:rPr>
          <w:i/>
          <w:u w:val="single"/>
          <w:lang w:val="en-US"/>
        </w:rPr>
        <w:t>PIK3CA</w:t>
      </w:r>
      <w:r w:rsidRPr="00AB0283">
        <w:rPr>
          <w:u w:val="single"/>
          <w:lang w:val="en-US"/>
        </w:rPr>
        <w:t xml:space="preserve"> mutations</w:t>
      </w:r>
      <w:r w:rsidRPr="00AB0283">
        <w:rPr>
          <w:lang w:val="en-US"/>
        </w:rPr>
        <w:t xml:space="preserve"> (IA)</w:t>
      </w:r>
    </w:p>
    <w:p w:rsidR="00AB0283" w:rsidRPr="00AB0283" w:rsidRDefault="00AB0283" w:rsidP="00AB0283">
      <w:pPr>
        <w:shd w:val="clear" w:color="auto" w:fill="FFFFFF" w:themeFill="background1"/>
        <w:spacing w:line="360" w:lineRule="auto"/>
        <w:jc w:val="both"/>
        <w:rPr>
          <w:lang w:val="en-US"/>
        </w:rPr>
      </w:pPr>
      <w:r w:rsidRPr="00AB0283">
        <w:rPr>
          <w:rFonts w:cstheme="minorHAnsi"/>
          <w:shd w:val="clear" w:color="auto" w:fill="FFFFFF"/>
          <w:lang w:val="en-US"/>
        </w:rPr>
        <w:t xml:space="preserve">Approximately 40% of hormone receptor positive (HR+) </w:t>
      </w:r>
      <w:proofErr w:type="spellStart"/>
      <w:r w:rsidRPr="00AB0283">
        <w:rPr>
          <w:rFonts w:cstheme="minorHAnsi"/>
          <w:shd w:val="clear" w:color="auto" w:fill="FFFFFF"/>
          <w:lang w:val="en-US"/>
        </w:rPr>
        <w:t>mBC</w:t>
      </w:r>
      <w:proofErr w:type="spellEnd"/>
      <w:r w:rsidRPr="00AB0283">
        <w:rPr>
          <w:rFonts w:cstheme="minorHAnsi"/>
          <w:shd w:val="clear" w:color="auto" w:fill="FFFFFF"/>
          <w:lang w:val="en-US"/>
        </w:rPr>
        <w:t xml:space="preserve"> present mutations that activate </w:t>
      </w:r>
      <w:proofErr w:type="gramStart"/>
      <w:r w:rsidRPr="00AB0283">
        <w:rPr>
          <w:rFonts w:cstheme="minorHAnsi"/>
          <w:shd w:val="clear" w:color="auto" w:fill="FFFFFF"/>
          <w:lang w:val="en-US"/>
        </w:rPr>
        <w:t>the α</w:t>
      </w:r>
      <w:proofErr w:type="gramEnd"/>
      <w:r w:rsidRPr="00AB0283">
        <w:rPr>
          <w:rFonts w:cstheme="minorHAnsi"/>
          <w:shd w:val="clear" w:color="auto" w:fill="FFFFFF"/>
          <w:lang w:val="en-US"/>
        </w:rPr>
        <w:t xml:space="preserve"> isoform PI3K, called </w:t>
      </w:r>
      <w:r w:rsidRPr="00AB0283">
        <w:rPr>
          <w:rFonts w:cstheme="minorHAnsi"/>
          <w:i/>
          <w:shd w:val="clear" w:color="auto" w:fill="FFFFFF"/>
          <w:lang w:val="en-US"/>
        </w:rPr>
        <w:t>PIK3CA</w:t>
      </w:r>
      <w:r w:rsidRPr="00AB0283">
        <w:rPr>
          <w:rFonts w:cstheme="minorHAnsi"/>
          <w:shd w:val="clear" w:color="auto" w:fill="FFFFFF"/>
          <w:lang w:val="en-US"/>
        </w:rPr>
        <w:t xml:space="preserve"> mutations. </w:t>
      </w:r>
      <w:r w:rsidRPr="00AB0283">
        <w:rPr>
          <w:lang w:val="en-US"/>
        </w:rPr>
        <w:t xml:space="preserve">The data supporting the </w:t>
      </w:r>
      <w:proofErr w:type="spellStart"/>
      <w:r w:rsidRPr="00AB0283">
        <w:rPr>
          <w:lang w:val="en-US"/>
        </w:rPr>
        <w:t>targetability</w:t>
      </w:r>
      <w:proofErr w:type="spellEnd"/>
      <w:r w:rsidRPr="00AB0283">
        <w:rPr>
          <w:lang w:val="en-US"/>
        </w:rPr>
        <w:t xml:space="preserve"> of </w:t>
      </w:r>
      <w:r w:rsidRPr="00AB0283">
        <w:rPr>
          <w:i/>
          <w:lang w:val="en-US"/>
        </w:rPr>
        <w:t>PIK3CA</w:t>
      </w:r>
      <w:r w:rsidRPr="00AB0283">
        <w:rPr>
          <w:lang w:val="en-US"/>
        </w:rPr>
        <w:t xml:space="preserve"> mutations in </w:t>
      </w:r>
      <w:proofErr w:type="spellStart"/>
      <w:r w:rsidRPr="00AB0283">
        <w:rPr>
          <w:lang w:val="en-US"/>
        </w:rPr>
        <w:t>mBC</w:t>
      </w:r>
      <w:proofErr w:type="spellEnd"/>
      <w:r w:rsidRPr="00AB0283">
        <w:rPr>
          <w:lang w:val="en-US"/>
        </w:rPr>
        <w:t xml:space="preserve"> comes from the phase III randomized trial SOLAR-1. Patients were randomized to receive </w:t>
      </w:r>
      <w:proofErr w:type="spellStart"/>
      <w:r w:rsidRPr="00AB0283">
        <w:rPr>
          <w:lang w:val="en-US"/>
        </w:rPr>
        <w:t>alpelisib</w:t>
      </w:r>
      <w:proofErr w:type="spellEnd"/>
      <w:r w:rsidRPr="00AB0283">
        <w:rPr>
          <w:lang w:val="en-US"/>
        </w:rPr>
        <w:t xml:space="preserve"> 300 mg/day + </w:t>
      </w:r>
      <w:proofErr w:type="spellStart"/>
      <w:r w:rsidRPr="00AB0283">
        <w:rPr>
          <w:lang w:val="en-US"/>
        </w:rPr>
        <w:t>fulvestrant</w:t>
      </w:r>
      <w:proofErr w:type="spellEnd"/>
      <w:r w:rsidRPr="00AB0283">
        <w:rPr>
          <w:lang w:val="en-US"/>
        </w:rPr>
        <w:t xml:space="preserve"> 500 mg </w:t>
      </w:r>
      <w:proofErr w:type="spellStart"/>
      <w:r w:rsidRPr="00AB0283">
        <w:rPr>
          <w:i/>
          <w:lang w:val="en-US"/>
        </w:rPr>
        <w:t>vs</w:t>
      </w:r>
      <w:proofErr w:type="spellEnd"/>
      <w:r w:rsidRPr="00AB0283">
        <w:rPr>
          <w:lang w:val="en-US"/>
        </w:rPr>
        <w:t xml:space="preserve"> </w:t>
      </w:r>
      <w:proofErr w:type="spellStart"/>
      <w:r w:rsidRPr="00AB0283">
        <w:rPr>
          <w:lang w:val="en-US"/>
        </w:rPr>
        <w:t>fulvestrant</w:t>
      </w:r>
      <w:proofErr w:type="spellEnd"/>
      <w:r w:rsidRPr="00AB0283">
        <w:rPr>
          <w:lang w:val="en-US"/>
        </w:rPr>
        <w:t xml:space="preserve"> + placebo. They were assigned to two cohorts: </w:t>
      </w:r>
      <w:r w:rsidRPr="00AB0283">
        <w:rPr>
          <w:i/>
          <w:iCs/>
          <w:lang w:val="en-US"/>
        </w:rPr>
        <w:t xml:space="preserve">PIK3CA </w:t>
      </w:r>
      <w:r w:rsidRPr="00AB0283">
        <w:rPr>
          <w:lang w:val="en-US"/>
        </w:rPr>
        <w:t xml:space="preserve">mutant (n=341) </w:t>
      </w:r>
      <w:proofErr w:type="spellStart"/>
      <w:r w:rsidRPr="00AB0283">
        <w:rPr>
          <w:i/>
          <w:lang w:val="en-US"/>
        </w:rPr>
        <w:t>vs</w:t>
      </w:r>
      <w:proofErr w:type="spellEnd"/>
      <w:r w:rsidRPr="00AB0283">
        <w:rPr>
          <w:lang w:val="en-US"/>
        </w:rPr>
        <w:t xml:space="preserve"> </w:t>
      </w:r>
      <w:r w:rsidRPr="00AB0283">
        <w:rPr>
          <w:i/>
          <w:lang w:val="en-US"/>
        </w:rPr>
        <w:t>PIK3CA</w:t>
      </w:r>
      <w:r w:rsidRPr="00AB0283">
        <w:rPr>
          <w:lang w:val="en-US"/>
        </w:rPr>
        <w:t xml:space="preserve"> non-mutant (n=231). The median PFS in the </w:t>
      </w:r>
      <w:r w:rsidRPr="00AB0283">
        <w:rPr>
          <w:i/>
          <w:lang w:val="en-US"/>
        </w:rPr>
        <w:t>PIK3CA</w:t>
      </w:r>
      <w:r w:rsidRPr="00AB0283">
        <w:rPr>
          <w:lang w:val="en-US"/>
        </w:rPr>
        <w:t xml:space="preserve"> mutant cohort was 11 months for patients in the </w:t>
      </w:r>
      <w:proofErr w:type="spellStart"/>
      <w:r w:rsidRPr="00AB0283">
        <w:rPr>
          <w:lang w:val="en-US"/>
        </w:rPr>
        <w:t>alpelisib</w:t>
      </w:r>
      <w:proofErr w:type="spellEnd"/>
      <w:r w:rsidRPr="00AB0283">
        <w:rPr>
          <w:lang w:val="en-US"/>
        </w:rPr>
        <w:t xml:space="preserve"> arm </w:t>
      </w:r>
      <w:proofErr w:type="spellStart"/>
      <w:r w:rsidRPr="00AB0283">
        <w:rPr>
          <w:lang w:val="en-US"/>
        </w:rPr>
        <w:t>vs</w:t>
      </w:r>
      <w:proofErr w:type="spellEnd"/>
      <w:r w:rsidRPr="00AB0283">
        <w:rPr>
          <w:lang w:val="en-US"/>
        </w:rPr>
        <w:t xml:space="preserve"> 5.7 months in  placebo arm (HR:0.65, p=0.00065). </w:t>
      </w:r>
      <w:proofErr w:type="spellStart"/>
      <w:r w:rsidRPr="00AB0283">
        <w:rPr>
          <w:lang w:val="en-US"/>
        </w:rPr>
        <w:t>Alpelisib</w:t>
      </w:r>
      <w:proofErr w:type="spellEnd"/>
      <w:r w:rsidRPr="00AB0283">
        <w:rPr>
          <w:lang w:val="en-US"/>
        </w:rPr>
        <w:t xml:space="preserve"> did not improve PFS in the not mutant cohort </w:t>
      </w:r>
      <w:r w:rsidRPr="00AB0283">
        <w:rPr>
          <w:rFonts w:ascii="Calibri" w:hAnsi="Calibri"/>
          <w:lang w:val="en-US"/>
        </w:rPr>
        <w:t>(19)</w:t>
      </w:r>
      <w:r w:rsidRPr="00AB0283">
        <w:rPr>
          <w:lang w:val="en-US"/>
        </w:rPr>
        <w:t xml:space="preserve">. While </w:t>
      </w:r>
      <w:r w:rsidRPr="00AB0283">
        <w:rPr>
          <w:i/>
          <w:lang w:val="en-US"/>
        </w:rPr>
        <w:t>PIK3CA</w:t>
      </w:r>
      <w:r w:rsidRPr="00AB0283">
        <w:rPr>
          <w:lang w:val="en-US"/>
        </w:rPr>
        <w:t xml:space="preserve"> mutations predict efficacy of alpha-selective PI3K inhibitors, it does not predict sensitivity to </w:t>
      </w:r>
      <w:proofErr w:type="spellStart"/>
      <w:r w:rsidRPr="00AB0283">
        <w:rPr>
          <w:lang w:val="en-US"/>
        </w:rPr>
        <w:t>everolimus</w:t>
      </w:r>
      <w:proofErr w:type="spellEnd"/>
      <w:r w:rsidRPr="00AB0283">
        <w:rPr>
          <w:lang w:val="en-US"/>
        </w:rPr>
        <w:t xml:space="preserve"> </w:t>
      </w:r>
      <w:r w:rsidRPr="00AB0283">
        <w:rPr>
          <w:rFonts w:ascii="Calibri" w:hAnsi="Calibri"/>
          <w:lang w:val="en-US"/>
        </w:rPr>
        <w:t>(20)</w:t>
      </w:r>
      <w:r w:rsidRPr="00AB0283">
        <w:rPr>
          <w:lang w:val="en-US"/>
        </w:rPr>
        <w:t>.</w:t>
      </w:r>
    </w:p>
    <w:p w:rsidR="00AB0283" w:rsidRPr="00AB0283" w:rsidRDefault="00AB0283" w:rsidP="00AB0283">
      <w:pPr>
        <w:spacing w:line="360" w:lineRule="auto"/>
        <w:jc w:val="both"/>
        <w:rPr>
          <w:sz w:val="24"/>
          <w:szCs w:val="24"/>
          <w:lang w:val="en-US"/>
        </w:rPr>
      </w:pPr>
      <w:r w:rsidRPr="00AB0283">
        <w:rPr>
          <w:sz w:val="24"/>
          <w:szCs w:val="24"/>
          <w:u w:val="single"/>
          <w:lang w:val="en-US"/>
        </w:rPr>
        <w:t>Microsatellite instability (MSI)</w:t>
      </w:r>
      <w:r w:rsidRPr="00AB0283">
        <w:rPr>
          <w:sz w:val="24"/>
          <w:szCs w:val="24"/>
          <w:lang w:val="en-US"/>
        </w:rPr>
        <w:t xml:space="preserve"> (IC)</w:t>
      </w:r>
    </w:p>
    <w:p w:rsidR="00AB0283" w:rsidRPr="00AB0283" w:rsidRDefault="00AB0283" w:rsidP="00AB0283">
      <w:pPr>
        <w:spacing w:line="360" w:lineRule="auto"/>
        <w:jc w:val="both"/>
        <w:rPr>
          <w:i/>
          <w:u w:val="single"/>
          <w:lang w:val="en-US"/>
        </w:rPr>
      </w:pPr>
      <w:r w:rsidRPr="00AB0283">
        <w:rPr>
          <w:lang w:val="en-US"/>
        </w:rPr>
        <w:t xml:space="preserve">The incidence of MSI in breast cancer is around 1% </w:t>
      </w:r>
      <w:r w:rsidRPr="00AB0283">
        <w:rPr>
          <w:rFonts w:ascii="Calibri" w:hAnsi="Calibri"/>
          <w:lang w:val="en-US"/>
        </w:rPr>
        <w:t>(21)</w:t>
      </w:r>
      <w:r w:rsidRPr="00AB0283">
        <w:rPr>
          <w:lang w:val="en-US"/>
        </w:rPr>
        <w:t>. Mismatch repair-deficient tumors are more responsive to PD-1 blockade (</w:t>
      </w:r>
      <w:proofErr w:type="spellStart"/>
      <w:r w:rsidRPr="00AB0283">
        <w:rPr>
          <w:lang w:val="en-US"/>
        </w:rPr>
        <w:t>pembrolizumab</w:t>
      </w:r>
      <w:proofErr w:type="spellEnd"/>
      <w:r w:rsidRPr="00AB0283">
        <w:rPr>
          <w:lang w:val="en-US"/>
        </w:rPr>
        <w:t xml:space="preserve">) </w:t>
      </w:r>
      <w:r w:rsidRPr="00AB0283">
        <w:rPr>
          <w:rFonts w:ascii="Calibri" w:hAnsi="Calibri"/>
          <w:lang w:val="en-US"/>
        </w:rPr>
        <w:t>(22)</w:t>
      </w:r>
      <w:r w:rsidRPr="00AB0283">
        <w:rPr>
          <w:lang w:val="en-US"/>
        </w:rPr>
        <w:t xml:space="preserve">.The study that led to its approval in this setting is a trial of 149 patients (2 breast cancer) with MSI solid tumors, enrolled from five uncontrolled, open-label, multi-cohort, multi-center, single-arm trials. The overall response rate (ORR) was 39.6% (95% CI [31.7-47.9]). Both patients with BC had partial response (PR). The identification of MSI status was determined using polymerase chain reaction (PCR) tests or immunohistochemistry (IHC) </w:t>
      </w:r>
      <w:r w:rsidRPr="00AB0283">
        <w:rPr>
          <w:rFonts w:ascii="Calibri" w:hAnsi="Calibri"/>
          <w:lang w:val="en-US"/>
        </w:rPr>
        <w:t>(23)</w:t>
      </w:r>
      <w:r w:rsidRPr="00AB0283">
        <w:rPr>
          <w:lang w:val="en-US"/>
        </w:rPr>
        <w:t>. While methods of MSI detection using NGS are being developed; it is important to acknowledge that the current gold standard for detection is PCR and IHC.</w:t>
      </w:r>
    </w:p>
    <w:p w:rsidR="00AB0283" w:rsidRPr="00AB0283" w:rsidRDefault="00AB0283" w:rsidP="00AB0283">
      <w:pPr>
        <w:spacing w:line="360" w:lineRule="auto"/>
        <w:jc w:val="both"/>
        <w:rPr>
          <w:lang w:val="en-US"/>
        </w:rPr>
      </w:pPr>
      <w:r w:rsidRPr="00AB0283">
        <w:rPr>
          <w:i/>
          <w:u w:val="single"/>
          <w:lang w:val="en-US"/>
        </w:rPr>
        <w:lastRenderedPageBreak/>
        <w:t>NTRK</w:t>
      </w:r>
      <w:r w:rsidRPr="00AB0283">
        <w:rPr>
          <w:u w:val="single"/>
          <w:lang w:val="en-US"/>
        </w:rPr>
        <w:t xml:space="preserve"> translocations</w:t>
      </w:r>
      <w:r w:rsidRPr="00AB0283">
        <w:rPr>
          <w:lang w:val="en-US"/>
        </w:rPr>
        <w:t xml:space="preserve"> (IC)</w:t>
      </w:r>
    </w:p>
    <w:p w:rsidR="00AB0283" w:rsidRPr="00AB0283" w:rsidRDefault="00AB0283" w:rsidP="00AB0283">
      <w:pPr>
        <w:spacing w:line="360" w:lineRule="auto"/>
        <w:jc w:val="both"/>
        <w:rPr>
          <w:lang w:val="en-US"/>
        </w:rPr>
      </w:pPr>
      <w:proofErr w:type="spellStart"/>
      <w:r w:rsidRPr="00AB0283">
        <w:rPr>
          <w:lang w:val="en-US"/>
        </w:rPr>
        <w:t>Tropomyosin</w:t>
      </w:r>
      <w:proofErr w:type="spellEnd"/>
      <w:r w:rsidRPr="00AB0283">
        <w:rPr>
          <w:lang w:val="en-US"/>
        </w:rPr>
        <w:t xml:space="preserve"> receptor kinase (</w:t>
      </w:r>
      <w:proofErr w:type="spellStart"/>
      <w:r w:rsidRPr="00AB0283">
        <w:rPr>
          <w:lang w:val="en-US"/>
        </w:rPr>
        <w:t>Trk</w:t>
      </w:r>
      <w:proofErr w:type="spellEnd"/>
      <w:r w:rsidRPr="00AB0283">
        <w:rPr>
          <w:lang w:val="en-US"/>
        </w:rPr>
        <w:t xml:space="preserve">) family is composed by 3 </w:t>
      </w:r>
      <w:proofErr w:type="spellStart"/>
      <w:r w:rsidRPr="00AB0283">
        <w:rPr>
          <w:lang w:val="en-US"/>
        </w:rPr>
        <w:t>transmembrane</w:t>
      </w:r>
      <w:proofErr w:type="spellEnd"/>
      <w:r w:rsidRPr="00AB0283">
        <w:rPr>
          <w:lang w:val="en-US"/>
        </w:rPr>
        <w:t xml:space="preserve"> proteins (</w:t>
      </w:r>
      <w:proofErr w:type="spellStart"/>
      <w:r w:rsidRPr="00AB0283">
        <w:rPr>
          <w:lang w:val="en-US"/>
        </w:rPr>
        <w:t>TrkA</w:t>
      </w:r>
      <w:proofErr w:type="spellEnd"/>
      <w:r w:rsidRPr="00AB0283">
        <w:rPr>
          <w:lang w:val="en-US"/>
        </w:rPr>
        <w:t xml:space="preserve">, </w:t>
      </w:r>
      <w:proofErr w:type="spellStart"/>
      <w:r w:rsidRPr="00AB0283">
        <w:rPr>
          <w:lang w:val="en-US"/>
        </w:rPr>
        <w:t>TrkB</w:t>
      </w:r>
      <w:proofErr w:type="spellEnd"/>
      <w:r w:rsidRPr="00AB0283">
        <w:rPr>
          <w:lang w:val="en-US"/>
        </w:rPr>
        <w:t xml:space="preserve"> and </w:t>
      </w:r>
      <w:proofErr w:type="spellStart"/>
      <w:r w:rsidRPr="00AB0283">
        <w:rPr>
          <w:lang w:val="en-US"/>
        </w:rPr>
        <w:t>TrkC</w:t>
      </w:r>
      <w:proofErr w:type="spellEnd"/>
      <w:r w:rsidRPr="00AB0283">
        <w:rPr>
          <w:lang w:val="en-US"/>
        </w:rPr>
        <w:t xml:space="preserve">) that are encoded by the </w:t>
      </w:r>
      <w:r w:rsidRPr="00AB0283">
        <w:rPr>
          <w:i/>
          <w:lang w:val="en-US"/>
        </w:rPr>
        <w:t>NTRK1</w:t>
      </w:r>
      <w:r w:rsidRPr="00AB0283">
        <w:rPr>
          <w:lang w:val="en-US"/>
        </w:rPr>
        <w:t xml:space="preserve">, </w:t>
      </w:r>
      <w:r w:rsidRPr="00AB0283">
        <w:rPr>
          <w:i/>
          <w:lang w:val="en-US"/>
        </w:rPr>
        <w:t>NTRK2</w:t>
      </w:r>
      <w:r w:rsidRPr="00AB0283">
        <w:rPr>
          <w:lang w:val="en-US"/>
        </w:rPr>
        <w:t xml:space="preserve"> and </w:t>
      </w:r>
      <w:r w:rsidRPr="00AB0283">
        <w:rPr>
          <w:i/>
          <w:lang w:val="en-US"/>
        </w:rPr>
        <w:t>NTRK3</w:t>
      </w:r>
      <w:r w:rsidRPr="00AB0283">
        <w:rPr>
          <w:lang w:val="en-US"/>
        </w:rPr>
        <w:t xml:space="preserve"> genes, respectively. Fusion genes, resulting from chromosomal alterations involving </w:t>
      </w:r>
      <w:r w:rsidRPr="00AB0283">
        <w:rPr>
          <w:i/>
          <w:lang w:val="en-US"/>
        </w:rPr>
        <w:t>NTRK</w:t>
      </w:r>
      <w:r w:rsidRPr="00AB0283">
        <w:rPr>
          <w:lang w:val="en-US"/>
        </w:rPr>
        <w:t xml:space="preserve"> genes, lead to transcription of chimeric </w:t>
      </w:r>
      <w:proofErr w:type="spellStart"/>
      <w:r w:rsidRPr="00AB0283">
        <w:rPr>
          <w:lang w:val="en-US"/>
        </w:rPr>
        <w:t>Trk</w:t>
      </w:r>
      <w:proofErr w:type="spellEnd"/>
      <w:r w:rsidRPr="00AB0283">
        <w:rPr>
          <w:lang w:val="en-US"/>
        </w:rPr>
        <w:t xml:space="preserve"> proteins with constitutively activated or overexpressed kinase function conferring oncogenic potential (24).</w:t>
      </w:r>
    </w:p>
    <w:p w:rsidR="00AB0283" w:rsidRPr="00AB0283" w:rsidRDefault="00AB0283" w:rsidP="00AB0283">
      <w:pPr>
        <w:spacing w:line="360" w:lineRule="auto"/>
        <w:jc w:val="both"/>
        <w:rPr>
          <w:lang w:val="en-US"/>
        </w:rPr>
      </w:pPr>
      <w:proofErr w:type="spellStart"/>
      <w:r w:rsidRPr="00AB0283">
        <w:rPr>
          <w:lang w:val="en-US"/>
        </w:rPr>
        <w:t>Larotrectinib</w:t>
      </w:r>
      <w:proofErr w:type="spellEnd"/>
      <w:r w:rsidRPr="00AB0283">
        <w:rPr>
          <w:lang w:val="en-US"/>
        </w:rPr>
        <w:t>, a selective small-molecule pan-</w:t>
      </w:r>
      <w:proofErr w:type="spellStart"/>
      <w:r w:rsidRPr="00AB0283">
        <w:rPr>
          <w:lang w:val="en-US"/>
        </w:rPr>
        <w:t>Trk</w:t>
      </w:r>
      <w:proofErr w:type="spellEnd"/>
      <w:r w:rsidRPr="00AB0283">
        <w:rPr>
          <w:lang w:val="en-US"/>
        </w:rPr>
        <w:t xml:space="preserve"> inhibitor, demonstrated efficacy in the LOXO-101 trial. A total of 55 patients were enrolled and treated with </w:t>
      </w:r>
      <w:proofErr w:type="spellStart"/>
      <w:r w:rsidRPr="00AB0283">
        <w:rPr>
          <w:lang w:val="en-US"/>
        </w:rPr>
        <w:t>larotrectinib</w:t>
      </w:r>
      <w:proofErr w:type="spellEnd"/>
      <w:r w:rsidRPr="00AB0283">
        <w:rPr>
          <w:lang w:val="en-US"/>
        </w:rPr>
        <w:t xml:space="preserve">, including one patient with breast cancer (2%). The ORR was 75% (95% CI [61–85]). At 1 year, 71% of the responses were ongoing and 55% of the patients remained progression-free. The median duration of response and the median PFS had not been reached </w:t>
      </w:r>
      <w:r w:rsidRPr="00AB0283">
        <w:rPr>
          <w:rFonts w:ascii="Calibri" w:hAnsi="Calibri"/>
          <w:lang w:val="en-US"/>
        </w:rPr>
        <w:t>(25)</w:t>
      </w:r>
      <w:r w:rsidRPr="00AB0283">
        <w:rPr>
          <w:lang w:val="en-US"/>
        </w:rPr>
        <w:t>.</w:t>
      </w:r>
    </w:p>
    <w:p w:rsidR="00AB0283" w:rsidRPr="00AB0283" w:rsidRDefault="00AB0283" w:rsidP="00AB0283">
      <w:pPr>
        <w:spacing w:line="360" w:lineRule="auto"/>
        <w:jc w:val="both"/>
        <w:rPr>
          <w:b/>
          <w:u w:val="single"/>
          <w:lang w:val="en-US"/>
        </w:rPr>
      </w:pPr>
      <w:r w:rsidRPr="00AB0283">
        <w:rPr>
          <w:b/>
          <w:u w:val="single"/>
          <w:lang w:val="en-US"/>
        </w:rPr>
        <w:t>Tier II</w:t>
      </w:r>
    </w:p>
    <w:p w:rsidR="00AB0283" w:rsidRPr="00AB0283" w:rsidRDefault="00AB0283" w:rsidP="00AB0283">
      <w:pPr>
        <w:spacing w:line="360" w:lineRule="auto"/>
        <w:jc w:val="both"/>
        <w:rPr>
          <w:lang w:val="en-US"/>
        </w:rPr>
      </w:pPr>
      <w:r w:rsidRPr="00AB0283">
        <w:rPr>
          <w:lang w:val="en-US"/>
        </w:rPr>
        <w:t xml:space="preserve">Tier II is defined by the existence of antitumor activity associated with the matched alteration-drug, but without information about the magnitude of benefit because lack of prospective outcome data. Tier II includes tier IIA and IIB. Patients who present tier II alterations should have access to drugs in the context of prospective trials, or more optimally in the context of access programs. </w:t>
      </w:r>
    </w:p>
    <w:p w:rsidR="00AB0283" w:rsidRPr="00AB0283" w:rsidRDefault="00AB0283" w:rsidP="00AB0283">
      <w:pPr>
        <w:spacing w:line="360" w:lineRule="auto"/>
        <w:jc w:val="both"/>
        <w:rPr>
          <w:lang w:val="en-US"/>
        </w:rPr>
      </w:pPr>
      <w:r w:rsidRPr="00AB0283">
        <w:rPr>
          <w:i/>
          <w:lang w:val="en-US"/>
        </w:rPr>
        <w:t>Tier IIA</w:t>
      </w:r>
      <w:r w:rsidRPr="00AB0283">
        <w:rPr>
          <w:lang w:val="en-US"/>
        </w:rPr>
        <w:t xml:space="preserve"> is based on retrospective studies of prospective trials showing that patients presenting the alteration in the tumor of interest derive a benefit from the matched drug. </w:t>
      </w:r>
      <w:r w:rsidRPr="00AB0283">
        <w:rPr>
          <w:i/>
          <w:lang w:val="en-US"/>
        </w:rPr>
        <w:t xml:space="preserve">PTEN </w:t>
      </w:r>
      <w:r w:rsidRPr="00AB0283">
        <w:rPr>
          <w:lang w:val="en-US"/>
        </w:rPr>
        <w:t xml:space="preserve">loss and </w:t>
      </w:r>
      <w:r w:rsidRPr="00AB0283">
        <w:rPr>
          <w:i/>
          <w:lang w:val="en-US"/>
        </w:rPr>
        <w:t>ESR1</w:t>
      </w:r>
      <w:r w:rsidRPr="00AB0283">
        <w:rPr>
          <w:lang w:val="en-US"/>
        </w:rPr>
        <w:t xml:space="preserve"> mutations are classified at this tier.</w:t>
      </w:r>
    </w:p>
    <w:p w:rsidR="00AB0283" w:rsidRPr="00AB0283" w:rsidRDefault="00AB0283" w:rsidP="00AB0283">
      <w:pPr>
        <w:spacing w:line="360" w:lineRule="auto"/>
        <w:jc w:val="both"/>
        <w:rPr>
          <w:lang w:val="en-US"/>
        </w:rPr>
      </w:pPr>
      <w:r w:rsidRPr="00AB0283">
        <w:rPr>
          <w:i/>
          <w:lang w:val="en-US"/>
        </w:rPr>
        <w:t>Tier IIB</w:t>
      </w:r>
      <w:r w:rsidRPr="00AB0283">
        <w:rPr>
          <w:lang w:val="en-US"/>
        </w:rPr>
        <w:t xml:space="preserve"> is based on prospective clinical trial(s) showing objective responses in patients presenting the alteration, but without conclusive data on outcome. </w:t>
      </w:r>
      <w:r w:rsidRPr="00AB0283">
        <w:rPr>
          <w:i/>
          <w:lang w:val="en-US"/>
        </w:rPr>
        <w:t>AKT1</w:t>
      </w:r>
      <w:r w:rsidRPr="00AB0283">
        <w:rPr>
          <w:lang w:val="en-US"/>
        </w:rPr>
        <w:t xml:space="preserve"> mutations and </w:t>
      </w:r>
      <w:r w:rsidRPr="00AB0283">
        <w:rPr>
          <w:i/>
          <w:lang w:val="en-US"/>
        </w:rPr>
        <w:t>ERBB2</w:t>
      </w:r>
      <w:r w:rsidRPr="00AB0283">
        <w:rPr>
          <w:lang w:val="en-US"/>
        </w:rPr>
        <w:t xml:space="preserve"> mutations are classified at this tier.</w:t>
      </w:r>
    </w:p>
    <w:p w:rsidR="00AB0283" w:rsidRPr="00AB0283" w:rsidRDefault="00AB0283" w:rsidP="00AB0283">
      <w:pPr>
        <w:spacing w:line="360" w:lineRule="auto"/>
        <w:jc w:val="both"/>
        <w:rPr>
          <w:u w:val="single"/>
          <w:lang w:val="en-US"/>
        </w:rPr>
      </w:pPr>
      <w:r w:rsidRPr="00AB0283">
        <w:rPr>
          <w:lang w:val="en-US"/>
        </w:rPr>
        <w:t xml:space="preserve">Table 3 reports the list of genomic alterations that, according to ESCAT scale of </w:t>
      </w:r>
      <w:proofErr w:type="spellStart"/>
      <w:r w:rsidRPr="00AB0283">
        <w:rPr>
          <w:lang w:val="en-US"/>
        </w:rPr>
        <w:t>targetability</w:t>
      </w:r>
      <w:proofErr w:type="spellEnd"/>
      <w:r w:rsidRPr="00AB0283">
        <w:rPr>
          <w:lang w:val="en-US"/>
        </w:rPr>
        <w:t>, reach the tier I and II.</w:t>
      </w:r>
    </w:p>
    <w:p w:rsidR="00AB0283" w:rsidRPr="00AB0283" w:rsidRDefault="00AB0283" w:rsidP="00AB0283">
      <w:pPr>
        <w:spacing w:line="360" w:lineRule="auto"/>
        <w:jc w:val="both"/>
        <w:rPr>
          <w:lang w:val="en-US"/>
        </w:rPr>
      </w:pPr>
      <w:r w:rsidRPr="00AB0283">
        <w:rPr>
          <w:i/>
          <w:u w:val="single"/>
          <w:lang w:val="en-US"/>
        </w:rPr>
        <w:t>ESR1</w:t>
      </w:r>
      <w:r w:rsidRPr="00AB0283">
        <w:rPr>
          <w:u w:val="single"/>
          <w:lang w:val="en-US"/>
        </w:rPr>
        <w:t xml:space="preserve"> mutations </w:t>
      </w:r>
      <w:r w:rsidRPr="00AB0283">
        <w:rPr>
          <w:lang w:val="en-US"/>
        </w:rPr>
        <w:t>(IIA)</w:t>
      </w:r>
    </w:p>
    <w:p w:rsidR="00AB0283" w:rsidRPr="00AB0283" w:rsidRDefault="00AB0283" w:rsidP="00AB0283">
      <w:pPr>
        <w:spacing w:line="360" w:lineRule="auto"/>
        <w:jc w:val="both"/>
        <w:rPr>
          <w:lang w:val="en-US"/>
        </w:rPr>
      </w:pPr>
      <w:r w:rsidRPr="00AB0283">
        <w:rPr>
          <w:lang w:val="en-US"/>
        </w:rPr>
        <w:t xml:space="preserve">It is known that resistance to hormonal therapies develops through a variety of mechanisms, including acquisition of </w:t>
      </w:r>
      <w:r w:rsidRPr="00AB0283">
        <w:rPr>
          <w:i/>
          <w:lang w:val="en-US"/>
        </w:rPr>
        <w:t>ESR1</w:t>
      </w:r>
      <w:r w:rsidRPr="00AB0283">
        <w:rPr>
          <w:lang w:val="en-US"/>
        </w:rPr>
        <w:t xml:space="preserve"> mutations resulting in ligand-independent constitutive ER activity. These mutations have a high prevalence in </w:t>
      </w:r>
      <w:proofErr w:type="spellStart"/>
      <w:r w:rsidRPr="00AB0283">
        <w:rPr>
          <w:lang w:val="en-US"/>
        </w:rPr>
        <w:t>mBC</w:t>
      </w:r>
      <w:proofErr w:type="spellEnd"/>
      <w:r w:rsidRPr="00AB0283">
        <w:rPr>
          <w:lang w:val="en-US"/>
        </w:rPr>
        <w:t xml:space="preserve"> previously treated with aromatase inhibitors (AIs). </w:t>
      </w:r>
      <w:proofErr w:type="spellStart"/>
      <w:r w:rsidRPr="00AB0283">
        <w:rPr>
          <w:lang w:val="en-US"/>
        </w:rPr>
        <w:t>Fribbens</w:t>
      </w:r>
      <w:proofErr w:type="spellEnd"/>
      <w:r w:rsidRPr="00AB0283">
        <w:rPr>
          <w:lang w:val="en-US"/>
        </w:rPr>
        <w:t xml:space="preserve"> and </w:t>
      </w:r>
      <w:proofErr w:type="spellStart"/>
      <w:r w:rsidRPr="00AB0283">
        <w:rPr>
          <w:lang w:val="en-US"/>
        </w:rPr>
        <w:t>collegues</w:t>
      </w:r>
      <w:proofErr w:type="spellEnd"/>
      <w:r w:rsidRPr="00AB0283">
        <w:rPr>
          <w:lang w:val="en-US"/>
        </w:rPr>
        <w:t xml:space="preserve"> </w:t>
      </w:r>
      <w:r w:rsidRPr="00AB0283">
        <w:rPr>
          <w:rFonts w:ascii="Calibri" w:hAnsi="Calibri"/>
          <w:lang w:val="en-US"/>
        </w:rPr>
        <w:t>(26)</w:t>
      </w:r>
      <w:r w:rsidRPr="00AB0283">
        <w:rPr>
          <w:lang w:val="en-US"/>
        </w:rPr>
        <w:t xml:space="preserve"> developed a prospective-retrospective analysis of two phase III randomiz</w:t>
      </w:r>
      <w:r w:rsidR="0056777D">
        <w:rPr>
          <w:lang w:val="en-US"/>
        </w:rPr>
        <w:t>ed trials (</w:t>
      </w:r>
      <w:proofErr w:type="spellStart"/>
      <w:r w:rsidR="0056777D">
        <w:rPr>
          <w:lang w:val="en-US"/>
        </w:rPr>
        <w:t>SoFEA</w:t>
      </w:r>
      <w:proofErr w:type="spellEnd"/>
      <w:r w:rsidR="0056777D">
        <w:rPr>
          <w:lang w:val="en-US"/>
        </w:rPr>
        <w:t xml:space="preserve"> and PALOMA 3) </w:t>
      </w:r>
      <w:r w:rsidRPr="00AB0283">
        <w:rPr>
          <w:lang w:val="en-US"/>
        </w:rPr>
        <w:t xml:space="preserve">where they evaluated the impact of </w:t>
      </w:r>
      <w:r w:rsidRPr="00AB0283">
        <w:rPr>
          <w:i/>
          <w:lang w:val="en-US"/>
        </w:rPr>
        <w:t xml:space="preserve">ESR1 </w:t>
      </w:r>
      <w:r w:rsidRPr="00AB0283">
        <w:rPr>
          <w:lang w:val="en-US"/>
        </w:rPr>
        <w:t xml:space="preserve">mutations on sensitivity to standard therapies. In </w:t>
      </w:r>
      <w:proofErr w:type="spellStart"/>
      <w:r w:rsidRPr="00AB0283">
        <w:rPr>
          <w:lang w:val="en-US"/>
        </w:rPr>
        <w:t>SoFEA</w:t>
      </w:r>
      <w:proofErr w:type="spellEnd"/>
      <w:r w:rsidRPr="00AB0283">
        <w:rPr>
          <w:lang w:val="en-US"/>
        </w:rPr>
        <w:t xml:space="preserve"> trial, for patients with </w:t>
      </w:r>
      <w:r w:rsidRPr="00AB0283">
        <w:rPr>
          <w:i/>
          <w:lang w:val="en-US"/>
        </w:rPr>
        <w:t>ESR1</w:t>
      </w:r>
      <w:r w:rsidRPr="00AB0283">
        <w:rPr>
          <w:lang w:val="en-US"/>
        </w:rPr>
        <w:t xml:space="preserve"> mutant </w:t>
      </w:r>
      <w:proofErr w:type="spellStart"/>
      <w:r w:rsidRPr="00AB0283">
        <w:rPr>
          <w:lang w:val="en-US"/>
        </w:rPr>
        <w:t>ctDNA</w:t>
      </w:r>
      <w:proofErr w:type="spellEnd"/>
      <w:r w:rsidRPr="00AB0283">
        <w:rPr>
          <w:lang w:val="en-US"/>
        </w:rPr>
        <w:t xml:space="preserve">, the median PFS </w:t>
      </w:r>
      <w:r w:rsidRPr="00AB0283">
        <w:rPr>
          <w:lang w:val="en-US"/>
        </w:rPr>
        <w:lastRenderedPageBreak/>
        <w:t xml:space="preserve">was 2.6 months (95% CI [2.4-6.2]) for patients given </w:t>
      </w:r>
      <w:proofErr w:type="spellStart"/>
      <w:r w:rsidRPr="00AB0283">
        <w:rPr>
          <w:lang w:val="en-US"/>
        </w:rPr>
        <w:t>exemestane</w:t>
      </w:r>
      <w:proofErr w:type="spellEnd"/>
      <w:r w:rsidRPr="00AB0283">
        <w:rPr>
          <w:lang w:val="en-US"/>
        </w:rPr>
        <w:t xml:space="preserve"> and 5.7 months (95% CI [3.0-8.5]) for those given </w:t>
      </w:r>
      <w:proofErr w:type="spellStart"/>
      <w:r w:rsidRPr="00AB0283">
        <w:rPr>
          <w:lang w:val="en-US"/>
        </w:rPr>
        <w:t>fulvestrant</w:t>
      </w:r>
      <w:proofErr w:type="spellEnd"/>
      <w:r w:rsidRPr="00AB0283">
        <w:rPr>
          <w:lang w:val="en-US"/>
        </w:rPr>
        <w:t xml:space="preserve"> (HR 0.52; 95% CI [0.30-0.92]; p=0.02). At the opposite, patients with wild-type </w:t>
      </w:r>
      <w:r w:rsidRPr="00AB0283">
        <w:rPr>
          <w:i/>
          <w:lang w:val="en-US"/>
        </w:rPr>
        <w:t>ESR1</w:t>
      </w:r>
      <w:r w:rsidRPr="00AB0283">
        <w:rPr>
          <w:lang w:val="en-US"/>
        </w:rPr>
        <w:t xml:space="preserve"> had a median PFS of 8.0 months (95% CI [3.0-11.5]) when given </w:t>
      </w:r>
      <w:proofErr w:type="spellStart"/>
      <w:r w:rsidRPr="00AB0283">
        <w:rPr>
          <w:lang w:val="en-US"/>
        </w:rPr>
        <w:t>exemestane</w:t>
      </w:r>
      <w:proofErr w:type="spellEnd"/>
      <w:r w:rsidRPr="00AB0283">
        <w:rPr>
          <w:lang w:val="en-US"/>
        </w:rPr>
        <w:t xml:space="preserve"> and a median PFS of 5.4 months (95% CI [3.7-8.1]) when given </w:t>
      </w:r>
      <w:proofErr w:type="spellStart"/>
      <w:r w:rsidRPr="00AB0283">
        <w:rPr>
          <w:lang w:val="en-US"/>
        </w:rPr>
        <w:t>fulvestrant</w:t>
      </w:r>
      <w:proofErr w:type="spellEnd"/>
      <w:r w:rsidRPr="00AB0283">
        <w:rPr>
          <w:lang w:val="en-US"/>
        </w:rPr>
        <w:t xml:space="preserve"> (HR 1.07; 95% CI [0.68-1.67]; p=0.77). The interaction test between treatment allocation and </w:t>
      </w:r>
      <w:r w:rsidRPr="00AB0283">
        <w:rPr>
          <w:i/>
          <w:lang w:val="en-US"/>
        </w:rPr>
        <w:t>ESR1</w:t>
      </w:r>
      <w:r w:rsidRPr="00AB0283">
        <w:rPr>
          <w:lang w:val="en-US"/>
        </w:rPr>
        <w:t xml:space="preserve"> mutation status was p=0.07. In PALOMA 3 trial, </w:t>
      </w:r>
      <w:r w:rsidRPr="00AB0283">
        <w:rPr>
          <w:i/>
          <w:lang w:val="en-US"/>
        </w:rPr>
        <w:t>ESR1</w:t>
      </w:r>
      <w:r w:rsidRPr="00AB0283">
        <w:rPr>
          <w:lang w:val="en-US"/>
        </w:rPr>
        <w:t xml:space="preserve"> mutation was not predictive of efficacy of </w:t>
      </w:r>
      <w:proofErr w:type="spellStart"/>
      <w:r w:rsidRPr="00AB0283">
        <w:rPr>
          <w:lang w:val="en-US"/>
        </w:rPr>
        <w:t>palbociclib</w:t>
      </w:r>
      <w:proofErr w:type="spellEnd"/>
      <w:r w:rsidRPr="00AB0283">
        <w:rPr>
          <w:lang w:val="en-US"/>
        </w:rPr>
        <w:t xml:space="preserve"> (interaction test; p=0.74).</w:t>
      </w:r>
    </w:p>
    <w:p w:rsidR="00AB0283" w:rsidRPr="00AB0283" w:rsidRDefault="00AB0283" w:rsidP="00AB0283">
      <w:pPr>
        <w:spacing w:line="360" w:lineRule="auto"/>
        <w:jc w:val="both"/>
        <w:rPr>
          <w:lang w:val="en-US"/>
        </w:rPr>
      </w:pPr>
      <w:r w:rsidRPr="00AB0283">
        <w:rPr>
          <w:lang w:val="en-US"/>
        </w:rPr>
        <w:t>Some could argue that</w:t>
      </w:r>
      <w:r w:rsidRPr="00AB0283">
        <w:rPr>
          <w:i/>
          <w:lang w:val="en-US"/>
        </w:rPr>
        <w:t xml:space="preserve"> ESR1</w:t>
      </w:r>
      <w:r w:rsidRPr="00AB0283">
        <w:rPr>
          <w:lang w:val="en-US"/>
        </w:rPr>
        <w:t xml:space="preserve"> mutations do not meet the criteria of targetable alterations since they define a resistant genotype, rather than predicting sensitivity to targeted agents. Nevertheless, considering the incidence and the relevance of the alteration, the panel has preferred to keep it into the ranking. </w:t>
      </w:r>
    </w:p>
    <w:p w:rsidR="00AB0283" w:rsidRPr="00AB0283" w:rsidRDefault="00AB0283" w:rsidP="00AB0283">
      <w:pPr>
        <w:spacing w:line="360" w:lineRule="auto"/>
        <w:jc w:val="both"/>
        <w:rPr>
          <w:lang w:val="en-US"/>
        </w:rPr>
      </w:pPr>
      <w:r w:rsidRPr="00AB0283">
        <w:rPr>
          <w:i/>
          <w:u w:val="single"/>
          <w:lang w:val="en-US"/>
        </w:rPr>
        <w:t>PTEN</w:t>
      </w:r>
      <w:r w:rsidRPr="00AB0283">
        <w:rPr>
          <w:u w:val="single"/>
          <w:lang w:val="en-US"/>
        </w:rPr>
        <w:t xml:space="preserve"> loss</w:t>
      </w:r>
      <w:r w:rsidRPr="00AB0283">
        <w:rPr>
          <w:lang w:val="en-US"/>
        </w:rPr>
        <w:t xml:space="preserve"> (IIA)</w:t>
      </w:r>
    </w:p>
    <w:p w:rsidR="00AB0283" w:rsidRPr="00AB0283" w:rsidRDefault="00AB0283" w:rsidP="00AB0283">
      <w:pPr>
        <w:spacing w:line="360" w:lineRule="auto"/>
        <w:jc w:val="both"/>
        <w:rPr>
          <w:lang w:val="en-US"/>
        </w:rPr>
      </w:pPr>
      <w:r w:rsidRPr="00AB0283">
        <w:rPr>
          <w:lang w:val="en-US"/>
        </w:rPr>
        <w:t xml:space="preserve">Loss of </w:t>
      </w:r>
      <w:r w:rsidRPr="00AB0283">
        <w:rPr>
          <w:i/>
          <w:lang w:val="en-US"/>
        </w:rPr>
        <w:t>PTEN</w:t>
      </w:r>
      <w:r w:rsidRPr="00AB0283">
        <w:rPr>
          <w:lang w:val="en-US"/>
        </w:rPr>
        <w:t xml:space="preserve"> function, through mutational inactivation, homozygous deletion or down-regulation of expression, results in activation of AKT-</w:t>
      </w:r>
      <w:proofErr w:type="spellStart"/>
      <w:r w:rsidRPr="00AB0283">
        <w:rPr>
          <w:lang w:val="en-US"/>
        </w:rPr>
        <w:t>mTOR</w:t>
      </w:r>
      <w:proofErr w:type="spellEnd"/>
      <w:r w:rsidRPr="00AB0283">
        <w:rPr>
          <w:lang w:val="en-US"/>
        </w:rPr>
        <w:t xml:space="preserve"> signaling. This is a common finding in triple negative BC (TNBC). AKT inhibitors could block the cell signaling mediated by </w:t>
      </w:r>
      <w:r w:rsidRPr="00AB0283">
        <w:rPr>
          <w:i/>
          <w:lang w:val="en-US"/>
        </w:rPr>
        <w:t>PTEN</w:t>
      </w:r>
      <w:r w:rsidRPr="00AB0283">
        <w:rPr>
          <w:lang w:val="en-US"/>
        </w:rPr>
        <w:t xml:space="preserve"> loss.</w:t>
      </w:r>
    </w:p>
    <w:p w:rsidR="00AB0283" w:rsidRPr="00AB0283" w:rsidRDefault="00AB0283" w:rsidP="00AB0283">
      <w:pPr>
        <w:spacing w:line="360" w:lineRule="auto"/>
        <w:jc w:val="both"/>
        <w:rPr>
          <w:lang w:val="en-US"/>
        </w:rPr>
      </w:pPr>
      <w:r w:rsidRPr="00AB0283">
        <w:rPr>
          <w:lang w:val="en-US"/>
        </w:rPr>
        <w:t xml:space="preserve">In a phase II randomized trial </w:t>
      </w:r>
      <w:proofErr w:type="spellStart"/>
      <w:r w:rsidRPr="00AB0283">
        <w:rPr>
          <w:lang w:val="en-US"/>
        </w:rPr>
        <w:t>Schmid</w:t>
      </w:r>
      <w:proofErr w:type="spellEnd"/>
      <w:r w:rsidRPr="00AB0283">
        <w:rPr>
          <w:lang w:val="en-US"/>
        </w:rPr>
        <w:t xml:space="preserve"> and colleagues </w:t>
      </w:r>
      <w:r w:rsidRPr="00AB0283">
        <w:rPr>
          <w:rFonts w:ascii="Calibri" w:hAnsi="Calibri"/>
          <w:lang w:val="en-US"/>
        </w:rPr>
        <w:t>(27)</w:t>
      </w:r>
      <w:r w:rsidRPr="00AB0283">
        <w:rPr>
          <w:lang w:val="en-US"/>
        </w:rPr>
        <w:t xml:space="preserve"> evaluated </w:t>
      </w:r>
      <w:proofErr w:type="spellStart"/>
      <w:r w:rsidRPr="00AB0283">
        <w:rPr>
          <w:lang w:val="en-US"/>
        </w:rPr>
        <w:t>capivasertib</w:t>
      </w:r>
      <w:proofErr w:type="spellEnd"/>
      <w:r w:rsidRPr="00AB0283">
        <w:rPr>
          <w:lang w:val="en-US"/>
        </w:rPr>
        <w:t xml:space="preserve"> (AZD5363), a small molecule AKT inhibitor. Overall 140 patients with untreated triple negative </w:t>
      </w:r>
      <w:proofErr w:type="spellStart"/>
      <w:r w:rsidRPr="00AB0283">
        <w:rPr>
          <w:lang w:val="en-US"/>
        </w:rPr>
        <w:t>mBC</w:t>
      </w:r>
      <w:proofErr w:type="spellEnd"/>
      <w:r w:rsidRPr="00AB0283">
        <w:rPr>
          <w:lang w:val="en-US"/>
        </w:rPr>
        <w:t xml:space="preserve"> were randomized to receive paclitaxel plus </w:t>
      </w:r>
      <w:proofErr w:type="spellStart"/>
      <w:r w:rsidRPr="00AB0283">
        <w:rPr>
          <w:lang w:val="en-US"/>
        </w:rPr>
        <w:t>capivasertib</w:t>
      </w:r>
      <w:proofErr w:type="spellEnd"/>
      <w:r w:rsidRPr="00AB0283">
        <w:rPr>
          <w:lang w:val="en-US"/>
        </w:rPr>
        <w:t xml:space="preserve"> 400 mg orally twice daily (n=70) or paclitaxel plus placebo (=70). In the overall population median PFS was 5.9 months in the </w:t>
      </w:r>
      <w:proofErr w:type="spellStart"/>
      <w:r w:rsidRPr="00AB0283">
        <w:rPr>
          <w:lang w:val="en-US"/>
        </w:rPr>
        <w:t>capivasertib</w:t>
      </w:r>
      <w:proofErr w:type="spellEnd"/>
      <w:r w:rsidRPr="00AB0283">
        <w:rPr>
          <w:lang w:val="en-US"/>
        </w:rPr>
        <w:t xml:space="preserve"> arm vs. 4.2 months in the placebo arm (HR:0.74 95% CI [0.50-1.08]; p=0.06). A retrospective analysis showed a significant improvement of median PFS in the subgroup of patients presenting </w:t>
      </w:r>
      <w:r w:rsidRPr="00AB0283">
        <w:rPr>
          <w:i/>
          <w:lang w:val="en-US"/>
        </w:rPr>
        <w:t xml:space="preserve">PIK3CA/AKT1/PTEN </w:t>
      </w:r>
      <w:r w:rsidRPr="00AB0283">
        <w:rPr>
          <w:lang w:val="en-US"/>
        </w:rPr>
        <w:t xml:space="preserve">alterations (n=28); in this group the median PFS was 9.3 months in the </w:t>
      </w:r>
      <w:proofErr w:type="spellStart"/>
      <w:r w:rsidRPr="00AB0283">
        <w:rPr>
          <w:lang w:val="en-US"/>
        </w:rPr>
        <w:t>capivasertib</w:t>
      </w:r>
      <w:proofErr w:type="spellEnd"/>
      <w:r w:rsidRPr="00AB0283">
        <w:rPr>
          <w:lang w:val="en-US"/>
        </w:rPr>
        <w:t xml:space="preserve"> arm vs. 3.7 months in the placebo arm (HR 0.30; 95% CI [0.11-0.79]; p=0.01) while in the </w:t>
      </w:r>
      <w:r w:rsidRPr="00AB0283">
        <w:rPr>
          <w:i/>
          <w:lang w:val="en-US"/>
        </w:rPr>
        <w:t>PIK3CA/AKT1/PTEN</w:t>
      </w:r>
      <w:r w:rsidRPr="00AB0283">
        <w:rPr>
          <w:lang w:val="en-US"/>
        </w:rPr>
        <w:t xml:space="preserve"> no altered patients the median PFS was 5.3 months in the </w:t>
      </w:r>
      <w:proofErr w:type="spellStart"/>
      <w:r w:rsidRPr="00AB0283">
        <w:rPr>
          <w:lang w:val="en-US"/>
        </w:rPr>
        <w:t>capivasertib</w:t>
      </w:r>
      <w:proofErr w:type="spellEnd"/>
      <w:r w:rsidRPr="00AB0283">
        <w:rPr>
          <w:lang w:val="en-US"/>
        </w:rPr>
        <w:t xml:space="preserve"> arm vs. 4.4 in the placebo arm (HR 1.13;  95% CI [0.70-1.82]; p=0.61).</w:t>
      </w:r>
    </w:p>
    <w:p w:rsidR="00AB0283" w:rsidRPr="00AB0283" w:rsidRDefault="00AB0283" w:rsidP="00AB0283">
      <w:pPr>
        <w:spacing w:line="360" w:lineRule="auto"/>
        <w:jc w:val="both"/>
        <w:rPr>
          <w:lang w:val="en-US"/>
        </w:rPr>
      </w:pPr>
      <w:r w:rsidRPr="00AB0283">
        <w:rPr>
          <w:i/>
          <w:u w:val="single"/>
          <w:lang w:val="en-US"/>
        </w:rPr>
        <w:t>AKT1</w:t>
      </w:r>
      <w:r w:rsidRPr="00AB0283">
        <w:rPr>
          <w:u w:val="single"/>
          <w:lang w:val="en-US"/>
        </w:rPr>
        <w:t xml:space="preserve"> mutations</w:t>
      </w:r>
      <w:r w:rsidRPr="00AB0283">
        <w:rPr>
          <w:lang w:val="en-US"/>
        </w:rPr>
        <w:t xml:space="preserve"> (IIB)</w:t>
      </w:r>
    </w:p>
    <w:p w:rsidR="00AB0283" w:rsidRPr="00AB0283" w:rsidRDefault="00AB0283" w:rsidP="00AB0283">
      <w:pPr>
        <w:spacing w:line="360" w:lineRule="auto"/>
        <w:jc w:val="both"/>
        <w:rPr>
          <w:lang w:val="en-US"/>
        </w:rPr>
      </w:pPr>
      <w:r w:rsidRPr="00AB0283">
        <w:rPr>
          <w:lang w:val="en-US"/>
        </w:rPr>
        <w:t xml:space="preserve">Preliminary evidence about the </w:t>
      </w:r>
      <w:proofErr w:type="spellStart"/>
      <w:r w:rsidRPr="00AB0283">
        <w:rPr>
          <w:lang w:val="en-US"/>
        </w:rPr>
        <w:t>targetability</w:t>
      </w:r>
      <w:proofErr w:type="spellEnd"/>
      <w:r w:rsidRPr="00AB0283">
        <w:rPr>
          <w:lang w:val="en-US"/>
        </w:rPr>
        <w:t xml:space="preserve"> of </w:t>
      </w:r>
      <w:r w:rsidRPr="00AB0283">
        <w:rPr>
          <w:i/>
          <w:lang w:val="en-US"/>
        </w:rPr>
        <w:t>AKT1</w:t>
      </w:r>
      <w:r w:rsidRPr="00AB0283">
        <w:rPr>
          <w:lang w:val="en-US"/>
        </w:rPr>
        <w:t xml:space="preserve"> mutations comes from a phase 1 multi-histology basket study, in which the drug AZD5363, a pan-AKT kinase inhibitor, was tested in a cohort of 58 patients with solid cancers. 20 BC patients enrolled harbored hot spot </w:t>
      </w:r>
      <w:r w:rsidRPr="00AB0283">
        <w:rPr>
          <w:i/>
          <w:lang w:val="en-US"/>
        </w:rPr>
        <w:t>AKT1 E17K</w:t>
      </w:r>
      <w:r w:rsidRPr="00AB0283">
        <w:rPr>
          <w:lang w:val="en-US"/>
        </w:rPr>
        <w:t xml:space="preserve">–mutant tumor. The response rate was 19% and median PFS was 5.5 months (95% CI [2.9-6.9 months]) </w:t>
      </w:r>
      <w:r w:rsidRPr="00AB0283">
        <w:rPr>
          <w:rFonts w:ascii="Calibri" w:hAnsi="Calibri"/>
          <w:lang w:val="en-US"/>
        </w:rPr>
        <w:t>(28)</w:t>
      </w:r>
      <w:r w:rsidRPr="00AB0283">
        <w:rPr>
          <w:lang w:val="en-US"/>
        </w:rPr>
        <w:t xml:space="preserve">. In a phase I of AZD5363 that included patients with </w:t>
      </w:r>
      <w:r w:rsidRPr="00AB0283">
        <w:rPr>
          <w:i/>
          <w:lang w:val="en-US"/>
        </w:rPr>
        <w:t>PIK3CA</w:t>
      </w:r>
      <w:r w:rsidRPr="00AB0283">
        <w:rPr>
          <w:lang w:val="en-US"/>
        </w:rPr>
        <w:t xml:space="preserve"> mutation, without enrichment on </w:t>
      </w:r>
      <w:r w:rsidRPr="00AB0283">
        <w:rPr>
          <w:i/>
          <w:lang w:val="en-US"/>
        </w:rPr>
        <w:t xml:space="preserve">AKT1 </w:t>
      </w:r>
      <w:r w:rsidRPr="00AB0283">
        <w:rPr>
          <w:lang w:val="en-US"/>
        </w:rPr>
        <w:t>mutations (n=54), the partial response was 5.6%</w:t>
      </w:r>
      <w:r w:rsidRPr="00AB0283">
        <w:rPr>
          <w:color w:val="000000" w:themeColor="text1"/>
          <w:lang w:val="en-US"/>
        </w:rPr>
        <w:t xml:space="preserve"> </w:t>
      </w:r>
      <w:r w:rsidRPr="00AB0283">
        <w:rPr>
          <w:rFonts w:cs="Times New Roman"/>
          <w:color w:val="000000" w:themeColor="text1"/>
          <w:lang w:val="en-US"/>
        </w:rPr>
        <w:t>of which 1 response was in the ER+ breast cancer cohort (29).</w:t>
      </w:r>
    </w:p>
    <w:p w:rsidR="00AB0283" w:rsidRPr="00AB0283" w:rsidRDefault="00AB0283" w:rsidP="00AB0283">
      <w:pPr>
        <w:spacing w:line="360" w:lineRule="auto"/>
        <w:jc w:val="both"/>
        <w:rPr>
          <w:lang w:val="en-US"/>
        </w:rPr>
      </w:pPr>
      <w:r w:rsidRPr="00AB0283">
        <w:rPr>
          <w:i/>
          <w:u w:val="single"/>
          <w:lang w:val="en-US"/>
        </w:rPr>
        <w:lastRenderedPageBreak/>
        <w:t>ERBB2</w:t>
      </w:r>
      <w:r w:rsidRPr="00AB0283">
        <w:rPr>
          <w:u w:val="single"/>
          <w:lang w:val="en-US"/>
        </w:rPr>
        <w:t xml:space="preserve"> mutations </w:t>
      </w:r>
      <w:r w:rsidRPr="00AB0283">
        <w:rPr>
          <w:lang w:val="en-US"/>
        </w:rPr>
        <w:t>(IIB)</w:t>
      </w:r>
    </w:p>
    <w:p w:rsidR="00AB0283" w:rsidRPr="00AB0283" w:rsidRDefault="00AB0283" w:rsidP="00AB0283">
      <w:pPr>
        <w:spacing w:line="360" w:lineRule="auto"/>
        <w:jc w:val="both"/>
        <w:rPr>
          <w:lang w:val="en-US"/>
        </w:rPr>
      </w:pPr>
      <w:r w:rsidRPr="00AB0283">
        <w:rPr>
          <w:lang w:val="en-US"/>
        </w:rPr>
        <w:t xml:space="preserve">In the multi-histology, phase 2, basket trial SUMMIT, the activity of </w:t>
      </w:r>
      <w:proofErr w:type="spellStart"/>
      <w:r w:rsidRPr="00AB0283">
        <w:rPr>
          <w:lang w:val="en-US"/>
        </w:rPr>
        <w:t>neratinib</w:t>
      </w:r>
      <w:proofErr w:type="spellEnd"/>
      <w:r w:rsidRPr="00AB0283">
        <w:rPr>
          <w:lang w:val="en-US"/>
        </w:rPr>
        <w:t xml:space="preserve">, an irreversible pan-HER tyrosine kinase inhibitor, was tested in patients affected by solid tumors with somatic </w:t>
      </w:r>
      <w:r w:rsidRPr="00AB0283">
        <w:rPr>
          <w:i/>
          <w:lang w:val="en-US"/>
        </w:rPr>
        <w:t>ERBB2/3</w:t>
      </w:r>
      <w:r w:rsidRPr="00AB0283">
        <w:rPr>
          <w:lang w:val="en-US"/>
        </w:rPr>
        <w:t xml:space="preserve"> mutations. Breast cancer was the second most frequent tumor type, with 25 patients representing the 17.7% of the whole cohort In the </w:t>
      </w:r>
      <w:r w:rsidRPr="00AB0283">
        <w:rPr>
          <w:i/>
          <w:lang w:val="en-US"/>
        </w:rPr>
        <w:t>ERBB2</w:t>
      </w:r>
      <w:r w:rsidRPr="00AB0283">
        <w:rPr>
          <w:lang w:val="en-US"/>
        </w:rPr>
        <w:t xml:space="preserve">-mutant BC cohort, a single-agent activity for </w:t>
      </w:r>
      <w:proofErr w:type="spellStart"/>
      <w:r w:rsidRPr="00AB0283">
        <w:rPr>
          <w:lang w:val="en-US"/>
        </w:rPr>
        <w:t>neratinib</w:t>
      </w:r>
      <w:proofErr w:type="spellEnd"/>
      <w:r w:rsidRPr="00AB0283">
        <w:rPr>
          <w:lang w:val="en-US"/>
        </w:rPr>
        <w:t xml:space="preserve"> was observed, with an ORR of 24%, clinical benefit rate of 40% and median PFS of 3.5 months </w:t>
      </w:r>
      <w:r w:rsidRPr="00AB0283">
        <w:rPr>
          <w:rFonts w:ascii="Calibri" w:hAnsi="Calibri"/>
          <w:lang w:val="en-US"/>
        </w:rPr>
        <w:t>(30)</w:t>
      </w:r>
      <w:r w:rsidRPr="00AB0283">
        <w:rPr>
          <w:lang w:val="en-US"/>
        </w:rPr>
        <w:t>.</w:t>
      </w:r>
    </w:p>
    <w:p w:rsidR="00AB0283" w:rsidRPr="00AB0283" w:rsidRDefault="00AB0283" w:rsidP="00AB0283">
      <w:pPr>
        <w:spacing w:line="360" w:lineRule="auto"/>
        <w:jc w:val="both"/>
        <w:rPr>
          <w:lang w:val="en-US"/>
        </w:rPr>
      </w:pPr>
      <w:r w:rsidRPr="00AB0283">
        <w:rPr>
          <w:lang w:val="en-US"/>
        </w:rPr>
        <w:t xml:space="preserve">In another single-arm phase 2 trial, focused only on </w:t>
      </w:r>
      <w:proofErr w:type="spellStart"/>
      <w:r w:rsidRPr="00AB0283">
        <w:rPr>
          <w:lang w:val="en-US"/>
        </w:rPr>
        <w:t>mBC</w:t>
      </w:r>
      <w:proofErr w:type="spellEnd"/>
      <w:r w:rsidRPr="00AB0283">
        <w:rPr>
          <w:lang w:val="en-US"/>
        </w:rPr>
        <w:t xml:space="preserve">, 22 patients were found to present a somatic </w:t>
      </w:r>
      <w:r w:rsidRPr="00AB0283">
        <w:rPr>
          <w:i/>
          <w:lang w:val="en-US"/>
        </w:rPr>
        <w:t>ERBB2</w:t>
      </w:r>
      <w:r w:rsidRPr="00AB0283">
        <w:rPr>
          <w:lang w:val="en-US"/>
        </w:rPr>
        <w:t xml:space="preserve"> mutation without amplification. Among them, 16 patients received </w:t>
      </w:r>
      <w:proofErr w:type="spellStart"/>
      <w:r w:rsidRPr="00AB0283">
        <w:rPr>
          <w:lang w:val="en-US"/>
        </w:rPr>
        <w:t>neratinib</w:t>
      </w:r>
      <w:proofErr w:type="spellEnd"/>
      <w:r w:rsidRPr="00AB0283">
        <w:rPr>
          <w:lang w:val="en-US"/>
        </w:rPr>
        <w:t xml:space="preserve"> 240 mg daily. The clinical benefit rate was 31% (90% CI [13%-55%]), including one complete response (CR), one PR, and three stable disease (SD) ≥24 weeks. Median PFS was 16 weeks (90% CI [8–31]) </w:t>
      </w:r>
      <w:r w:rsidRPr="00AB0283">
        <w:rPr>
          <w:rFonts w:ascii="Calibri" w:hAnsi="Calibri"/>
          <w:lang w:val="en-US"/>
        </w:rPr>
        <w:t>(31)</w:t>
      </w:r>
      <w:r w:rsidRPr="00AB0283">
        <w:rPr>
          <w:lang w:val="en-US"/>
        </w:rPr>
        <w:t>. On the negative control arm (</w:t>
      </w:r>
      <w:r w:rsidRPr="00AB0283">
        <w:rPr>
          <w:i/>
          <w:lang w:val="en-US"/>
        </w:rPr>
        <w:t>ERBB3</w:t>
      </w:r>
      <w:r w:rsidRPr="00AB0283">
        <w:rPr>
          <w:lang w:val="en-US"/>
        </w:rPr>
        <w:t xml:space="preserve">-mutant, </w:t>
      </w:r>
      <w:r w:rsidRPr="00AB0283">
        <w:rPr>
          <w:i/>
          <w:lang w:val="en-US"/>
        </w:rPr>
        <w:t>ERBB2</w:t>
      </w:r>
      <w:r w:rsidRPr="00AB0283">
        <w:rPr>
          <w:lang w:val="en-US"/>
        </w:rPr>
        <w:t>-wildtype)</w:t>
      </w:r>
      <w:proofErr w:type="gramStart"/>
      <w:r w:rsidRPr="00AB0283">
        <w:rPr>
          <w:lang w:val="en-US"/>
        </w:rPr>
        <w:t>,</w:t>
      </w:r>
      <w:proofErr w:type="gramEnd"/>
      <w:r w:rsidRPr="00AB0283">
        <w:rPr>
          <w:lang w:val="en-US"/>
        </w:rPr>
        <w:t xml:space="preserve"> there was no response to the drug. Therefore we assigned </w:t>
      </w:r>
      <w:r w:rsidRPr="00AB0283">
        <w:rPr>
          <w:i/>
          <w:lang w:val="en-US"/>
        </w:rPr>
        <w:t>ERBB2</w:t>
      </w:r>
      <w:r w:rsidRPr="00AB0283">
        <w:rPr>
          <w:lang w:val="en-US"/>
        </w:rPr>
        <w:t xml:space="preserve"> mutations to tier IIB.</w:t>
      </w:r>
    </w:p>
    <w:p w:rsidR="00AB0283" w:rsidRPr="00AB0283" w:rsidRDefault="00AB0283" w:rsidP="00AB0283">
      <w:pPr>
        <w:spacing w:line="360" w:lineRule="auto"/>
        <w:jc w:val="both"/>
        <w:rPr>
          <w:b/>
          <w:sz w:val="24"/>
          <w:szCs w:val="24"/>
          <w:u w:val="single"/>
          <w:lang w:val="en-US"/>
        </w:rPr>
      </w:pPr>
      <w:r w:rsidRPr="00AB0283">
        <w:rPr>
          <w:b/>
          <w:sz w:val="24"/>
          <w:szCs w:val="24"/>
          <w:u w:val="single"/>
          <w:lang w:val="en-US"/>
        </w:rPr>
        <w:t xml:space="preserve">Tier III </w:t>
      </w:r>
    </w:p>
    <w:p w:rsidR="00AB0283" w:rsidRPr="00AB0283" w:rsidRDefault="00AB0283" w:rsidP="00AB0283">
      <w:pPr>
        <w:spacing w:line="360" w:lineRule="auto"/>
        <w:jc w:val="both"/>
        <w:rPr>
          <w:lang w:val="en-US"/>
        </w:rPr>
      </w:pPr>
      <w:r w:rsidRPr="00AB0283">
        <w:rPr>
          <w:lang w:val="en-US"/>
        </w:rPr>
        <w:t xml:space="preserve">Tier III, according to ESCAT classification, is defined by a matched drug-alteration that led to clinical benefit in another tumor type or by alterations on genes that belong to the same families </w:t>
      </w:r>
      <w:proofErr w:type="gramStart"/>
      <w:r w:rsidRPr="00AB0283">
        <w:rPr>
          <w:lang w:val="en-US"/>
        </w:rPr>
        <w:t>of  tier</w:t>
      </w:r>
      <w:proofErr w:type="gramEnd"/>
      <w:r w:rsidRPr="00AB0283">
        <w:rPr>
          <w:lang w:val="en-US"/>
        </w:rPr>
        <w:t xml:space="preserve"> I genes. Ti</w:t>
      </w:r>
      <w:r w:rsidR="00084F35">
        <w:rPr>
          <w:lang w:val="en-US"/>
        </w:rPr>
        <w:t xml:space="preserve">ers III includes tier IIIA and </w:t>
      </w:r>
      <w:r w:rsidRPr="00AB0283">
        <w:rPr>
          <w:lang w:val="en-US"/>
        </w:rPr>
        <w:t>tier IIIB.</w:t>
      </w:r>
    </w:p>
    <w:p w:rsidR="00AB0283" w:rsidRPr="00AB0283" w:rsidRDefault="00AB0283" w:rsidP="00AB0283">
      <w:pPr>
        <w:spacing w:line="360" w:lineRule="auto"/>
        <w:jc w:val="both"/>
        <w:rPr>
          <w:lang w:val="en-US"/>
        </w:rPr>
      </w:pPr>
      <w:r w:rsidRPr="00AB0283">
        <w:rPr>
          <w:i/>
          <w:lang w:val="en-US"/>
        </w:rPr>
        <w:t>Tier IIIA</w:t>
      </w:r>
      <w:r w:rsidRPr="00AB0283">
        <w:rPr>
          <w:lang w:val="en-US"/>
        </w:rPr>
        <w:t xml:space="preserve"> targets include alterations that define a patient population with proven benefit from a targeting agent in a specific tumor type that is not the tumor of interest. These clinical scenarios are an ideal setting for prospective studies. Somatic </w:t>
      </w:r>
      <w:r w:rsidRPr="00AB0283">
        <w:rPr>
          <w:i/>
          <w:lang w:val="en-US"/>
        </w:rPr>
        <w:t>BRCA1/2</w:t>
      </w:r>
      <w:r w:rsidRPr="00AB0283">
        <w:rPr>
          <w:lang w:val="en-US"/>
        </w:rPr>
        <w:t xml:space="preserve"> mutations and </w:t>
      </w:r>
      <w:r w:rsidRPr="00AB0283">
        <w:rPr>
          <w:i/>
          <w:lang w:val="en-US"/>
        </w:rPr>
        <w:t>MDM2</w:t>
      </w:r>
      <w:r w:rsidRPr="00AB0283">
        <w:rPr>
          <w:lang w:val="en-US"/>
        </w:rPr>
        <w:t xml:space="preserve"> amplification are classified at this tier.</w:t>
      </w:r>
    </w:p>
    <w:p w:rsidR="00AB0283" w:rsidRPr="00AB0283" w:rsidRDefault="00AB0283" w:rsidP="00AB0283">
      <w:pPr>
        <w:spacing w:line="360" w:lineRule="auto"/>
        <w:jc w:val="both"/>
        <w:rPr>
          <w:lang w:val="en-US"/>
        </w:rPr>
      </w:pPr>
      <w:r w:rsidRPr="00AB0283">
        <w:rPr>
          <w:lang w:val="en-US"/>
        </w:rPr>
        <w:t xml:space="preserve">A tier </w:t>
      </w:r>
      <w:r w:rsidRPr="00AB0283">
        <w:rPr>
          <w:i/>
          <w:lang w:val="en-US"/>
        </w:rPr>
        <w:t>IIIB</w:t>
      </w:r>
      <w:r w:rsidRPr="00AB0283">
        <w:rPr>
          <w:lang w:val="en-US"/>
        </w:rPr>
        <w:t xml:space="preserve"> alteration has a similar predicted functional impact as a tier I abnormality in the same gene or pathway, but does not have supportive clinical data. </w:t>
      </w:r>
      <w:r w:rsidRPr="00AB0283">
        <w:rPr>
          <w:i/>
          <w:lang w:val="en-US"/>
        </w:rPr>
        <w:t>ERBB3</w:t>
      </w:r>
      <w:r w:rsidRPr="00AB0283">
        <w:rPr>
          <w:lang w:val="en-US"/>
        </w:rPr>
        <w:t xml:space="preserve"> mutations are classified at this tier.</w:t>
      </w:r>
    </w:p>
    <w:p w:rsidR="00AB0283" w:rsidRPr="00AB0283" w:rsidRDefault="00AB0283" w:rsidP="00AB0283">
      <w:pPr>
        <w:spacing w:line="360" w:lineRule="auto"/>
        <w:jc w:val="both"/>
        <w:rPr>
          <w:lang w:val="en-US"/>
        </w:rPr>
      </w:pPr>
      <w:r w:rsidRPr="00AB0283">
        <w:rPr>
          <w:lang w:val="en-US"/>
        </w:rPr>
        <w:t xml:space="preserve">The table 4 reports the gene alterations ranked III by the panel. </w:t>
      </w:r>
    </w:p>
    <w:p w:rsidR="00AB0283" w:rsidRPr="00AB0283" w:rsidRDefault="00AB0283" w:rsidP="00AB0283">
      <w:pPr>
        <w:spacing w:line="360" w:lineRule="auto"/>
        <w:jc w:val="both"/>
        <w:rPr>
          <w:lang w:val="en-US"/>
        </w:rPr>
      </w:pPr>
      <w:r w:rsidRPr="00AB0283">
        <w:rPr>
          <w:u w:val="single"/>
          <w:lang w:val="en-US"/>
        </w:rPr>
        <w:t xml:space="preserve">Somatic </w:t>
      </w:r>
      <w:r w:rsidRPr="00AB0283">
        <w:rPr>
          <w:i/>
          <w:u w:val="single"/>
          <w:lang w:val="en-US"/>
        </w:rPr>
        <w:t>BRCA 1/2</w:t>
      </w:r>
      <w:r w:rsidRPr="00AB0283">
        <w:rPr>
          <w:u w:val="single"/>
          <w:lang w:val="en-US"/>
        </w:rPr>
        <w:t xml:space="preserve"> mutations</w:t>
      </w:r>
      <w:r w:rsidRPr="00AB0283">
        <w:rPr>
          <w:lang w:val="en-US"/>
        </w:rPr>
        <w:t xml:space="preserve"> (IIIA)</w:t>
      </w:r>
    </w:p>
    <w:p w:rsidR="00AB0283" w:rsidRPr="00AB0283" w:rsidRDefault="00AB0283" w:rsidP="00AB0283">
      <w:pPr>
        <w:spacing w:line="360" w:lineRule="auto"/>
        <w:rPr>
          <w:rFonts w:eastAsia="Times New Roman" w:cs="Times New Roman"/>
          <w:lang w:val="en-US" w:eastAsia="fr-FR"/>
        </w:rPr>
      </w:pPr>
      <w:r w:rsidRPr="00AB0283">
        <w:rPr>
          <w:rFonts w:eastAsia="Times New Roman" w:cs="Times New Roman"/>
          <w:lang w:val="en-US" w:eastAsia="fr-FR"/>
        </w:rPr>
        <w:t xml:space="preserve">Over 5% of all cancers present a bi-allelic pathogenic alteration in homologous recombination (HR)-related genes, with 25% and 10% of ovarian and breast cancers, respectively, having this pathway altered </w:t>
      </w:r>
      <w:r w:rsidRPr="00AB0283">
        <w:rPr>
          <w:rFonts w:ascii="Calibri" w:hAnsi="Calibri"/>
          <w:lang w:val="en-US"/>
        </w:rPr>
        <w:t>(32)</w:t>
      </w:r>
      <w:r w:rsidRPr="00AB0283">
        <w:rPr>
          <w:rFonts w:eastAsia="Times New Roman" w:cs="Times New Roman"/>
          <w:lang w:val="en-US" w:eastAsia="fr-FR"/>
        </w:rPr>
        <w:t xml:space="preserve">. </w:t>
      </w:r>
    </w:p>
    <w:p w:rsidR="00AB0283" w:rsidRPr="00AB0283" w:rsidRDefault="00AB0283" w:rsidP="00AB0283">
      <w:pPr>
        <w:spacing w:line="360" w:lineRule="auto"/>
        <w:rPr>
          <w:i/>
          <w:u w:val="single"/>
          <w:lang w:val="en-US"/>
        </w:rPr>
      </w:pPr>
      <w:r w:rsidRPr="00AB0283">
        <w:rPr>
          <w:lang w:val="en-US"/>
        </w:rPr>
        <w:t xml:space="preserve">Somatic </w:t>
      </w:r>
      <w:r w:rsidRPr="00AB0283">
        <w:rPr>
          <w:i/>
          <w:lang w:val="en-US"/>
        </w:rPr>
        <w:t>BRCA 1/2</w:t>
      </w:r>
      <w:r w:rsidRPr="00AB0283">
        <w:rPr>
          <w:lang w:val="en-US"/>
        </w:rPr>
        <w:t xml:space="preserve"> mutations are ranked tier IIIA because of very little data in BC, while a substantial evidence of efficacy of  PARP-inhibitors exists in metastatic ovarian cancer. In December 2016, FDA approved the PARP-inhibitor </w:t>
      </w:r>
      <w:proofErr w:type="spellStart"/>
      <w:r w:rsidRPr="00AB0283">
        <w:rPr>
          <w:lang w:val="en-US"/>
        </w:rPr>
        <w:t>rucaparib</w:t>
      </w:r>
      <w:proofErr w:type="spellEnd"/>
      <w:r w:rsidRPr="00AB0283">
        <w:rPr>
          <w:lang w:val="en-US"/>
        </w:rPr>
        <w:t xml:space="preserve"> as </w:t>
      </w:r>
      <w:proofErr w:type="spellStart"/>
      <w:r w:rsidRPr="00AB0283">
        <w:rPr>
          <w:lang w:val="en-US"/>
        </w:rPr>
        <w:t>monotherapy</w:t>
      </w:r>
      <w:proofErr w:type="spellEnd"/>
      <w:r w:rsidRPr="00AB0283">
        <w:rPr>
          <w:lang w:val="en-US"/>
        </w:rPr>
        <w:t xml:space="preserve"> for patients with advanced ovarian cancer </w:t>
      </w:r>
      <w:r w:rsidRPr="00AB0283">
        <w:rPr>
          <w:lang w:val="en-US"/>
        </w:rPr>
        <w:lastRenderedPageBreak/>
        <w:t xml:space="preserve">and deleterious </w:t>
      </w:r>
      <w:proofErr w:type="spellStart"/>
      <w:r w:rsidRPr="00AB0283">
        <w:rPr>
          <w:lang w:val="en-US"/>
        </w:rPr>
        <w:t>germline</w:t>
      </w:r>
      <w:proofErr w:type="spellEnd"/>
      <w:r w:rsidRPr="00AB0283">
        <w:rPr>
          <w:lang w:val="en-US"/>
        </w:rPr>
        <w:t xml:space="preserve"> and/or somatic </w:t>
      </w:r>
      <w:r w:rsidRPr="00AB0283">
        <w:rPr>
          <w:i/>
          <w:lang w:val="en-US"/>
        </w:rPr>
        <w:t xml:space="preserve">BRCA </w:t>
      </w:r>
      <w:r w:rsidRPr="00AB0283">
        <w:rPr>
          <w:lang w:val="en-US"/>
        </w:rPr>
        <w:t xml:space="preserve">mutations. Approval was based on efficacy data from a pooled analysis of two single-arm, multi-center trials (ARIEL2 and Study 10) reporting an ORR of 54%, a median duration of response of 9.2 months and a median PFS of 10.0 months for treatment with </w:t>
      </w:r>
      <w:proofErr w:type="spellStart"/>
      <w:r w:rsidRPr="00AB0283">
        <w:rPr>
          <w:lang w:val="en-US"/>
        </w:rPr>
        <w:t>rucaparib</w:t>
      </w:r>
      <w:proofErr w:type="spellEnd"/>
      <w:r w:rsidRPr="00AB0283">
        <w:rPr>
          <w:lang w:val="en-US"/>
        </w:rPr>
        <w:t xml:space="preserve"> </w:t>
      </w:r>
      <w:r w:rsidRPr="00AB0283">
        <w:rPr>
          <w:rFonts w:ascii="Calibri" w:hAnsi="Calibri"/>
          <w:lang w:val="en-US"/>
        </w:rPr>
        <w:t>(33)</w:t>
      </w:r>
      <w:r w:rsidRPr="00AB0283">
        <w:rPr>
          <w:lang w:val="en-US"/>
        </w:rPr>
        <w:t xml:space="preserve">. Data still need to be generated in metastatic breast cancer. </w:t>
      </w:r>
    </w:p>
    <w:p w:rsidR="00AB0283" w:rsidRPr="00AB0283" w:rsidRDefault="00AB0283" w:rsidP="00AB0283">
      <w:pPr>
        <w:spacing w:line="360" w:lineRule="auto"/>
        <w:rPr>
          <w:lang w:val="en-US"/>
        </w:rPr>
      </w:pPr>
      <w:r w:rsidRPr="00AB0283">
        <w:rPr>
          <w:i/>
          <w:u w:val="single"/>
          <w:lang w:val="en-US"/>
        </w:rPr>
        <w:t>MDM2</w:t>
      </w:r>
      <w:r w:rsidRPr="00AB0283">
        <w:rPr>
          <w:u w:val="single"/>
          <w:lang w:val="en-US"/>
        </w:rPr>
        <w:t xml:space="preserve"> amplifications </w:t>
      </w:r>
      <w:r w:rsidRPr="00AB0283">
        <w:rPr>
          <w:lang w:val="en-US"/>
        </w:rPr>
        <w:t>(IIIA)</w:t>
      </w:r>
    </w:p>
    <w:p w:rsidR="00AB0283" w:rsidRPr="00AB0283" w:rsidRDefault="00AB0283" w:rsidP="00AB0283">
      <w:pPr>
        <w:spacing w:line="360" w:lineRule="auto"/>
        <w:rPr>
          <w:lang w:val="en-US"/>
        </w:rPr>
      </w:pPr>
      <w:r w:rsidRPr="00AB0283">
        <w:rPr>
          <w:lang w:val="en-US"/>
        </w:rPr>
        <w:t>The murine double minute 2 (</w:t>
      </w:r>
      <w:r w:rsidRPr="00AB0283">
        <w:rPr>
          <w:i/>
          <w:lang w:val="en-US"/>
        </w:rPr>
        <w:t>MDM2</w:t>
      </w:r>
      <w:r w:rsidRPr="00AB0283">
        <w:rPr>
          <w:lang w:val="en-US"/>
        </w:rPr>
        <w:t xml:space="preserve">) is involved in the negative regulation of p53 and itself serves as an oncogene. </w:t>
      </w:r>
      <w:r w:rsidRPr="00AB0283">
        <w:rPr>
          <w:i/>
          <w:lang w:val="en-US"/>
        </w:rPr>
        <w:t xml:space="preserve">MDM2 </w:t>
      </w:r>
      <w:r w:rsidRPr="00AB0283">
        <w:rPr>
          <w:lang w:val="en-US"/>
        </w:rPr>
        <w:t xml:space="preserve">is amplified or overexpressed in 40% to 60% of </w:t>
      </w:r>
      <w:proofErr w:type="spellStart"/>
      <w:r w:rsidRPr="00AB0283">
        <w:rPr>
          <w:lang w:val="en-US"/>
        </w:rPr>
        <w:t>liposarcomas</w:t>
      </w:r>
      <w:proofErr w:type="spellEnd"/>
      <w:r w:rsidRPr="00AB0283">
        <w:rPr>
          <w:lang w:val="en-US"/>
        </w:rPr>
        <w:t xml:space="preserve">. Six patients with a </w:t>
      </w:r>
      <w:r w:rsidRPr="00AB0283">
        <w:rPr>
          <w:i/>
          <w:lang w:val="en-US"/>
        </w:rPr>
        <w:t>MDM2</w:t>
      </w:r>
      <w:r w:rsidRPr="00AB0283">
        <w:rPr>
          <w:lang w:val="en-US"/>
        </w:rPr>
        <w:t xml:space="preserve">-amplified </w:t>
      </w:r>
      <w:proofErr w:type="spellStart"/>
      <w:r w:rsidRPr="00AB0283">
        <w:rPr>
          <w:lang w:val="en-US"/>
        </w:rPr>
        <w:t>liposarcoma</w:t>
      </w:r>
      <w:proofErr w:type="spellEnd"/>
      <w:r w:rsidRPr="00AB0283">
        <w:rPr>
          <w:lang w:val="en-US"/>
        </w:rPr>
        <w:t xml:space="preserve"> were enrolled in a phase 1 trial testing a MDM2 inhibitor. There was a partial response in three patients and stable disease in two patients (15.7 months and 4.7 months) </w:t>
      </w:r>
      <w:r w:rsidRPr="00AB0283">
        <w:rPr>
          <w:rFonts w:ascii="Calibri" w:hAnsi="Calibri"/>
          <w:lang w:val="en-US"/>
        </w:rPr>
        <w:t>(34)</w:t>
      </w:r>
      <w:r w:rsidRPr="00AB0283">
        <w:rPr>
          <w:lang w:val="en-US"/>
        </w:rPr>
        <w:t>.</w:t>
      </w:r>
    </w:p>
    <w:p w:rsidR="00AB0283" w:rsidRPr="00AB0283" w:rsidRDefault="00AB0283" w:rsidP="00AB0283">
      <w:pPr>
        <w:spacing w:line="360" w:lineRule="auto"/>
        <w:jc w:val="both"/>
        <w:rPr>
          <w:lang w:val="en-US"/>
        </w:rPr>
      </w:pPr>
      <w:r w:rsidRPr="00AB0283">
        <w:rPr>
          <w:i/>
          <w:u w:val="single"/>
          <w:lang w:val="en-US"/>
        </w:rPr>
        <w:t>ERBB3</w:t>
      </w:r>
      <w:r w:rsidRPr="00AB0283">
        <w:rPr>
          <w:u w:val="single"/>
          <w:lang w:val="en-US"/>
        </w:rPr>
        <w:t xml:space="preserve"> mutations </w:t>
      </w:r>
      <w:r w:rsidRPr="00AB0283">
        <w:rPr>
          <w:lang w:val="en-US"/>
        </w:rPr>
        <w:t>(IIIB)</w:t>
      </w:r>
    </w:p>
    <w:p w:rsidR="00AB0283" w:rsidRPr="00AB0283" w:rsidRDefault="00AB0283" w:rsidP="00AB0283">
      <w:pPr>
        <w:spacing w:line="360" w:lineRule="auto"/>
        <w:jc w:val="both"/>
        <w:rPr>
          <w:lang w:val="en-US"/>
        </w:rPr>
      </w:pPr>
      <w:r w:rsidRPr="00AB0283">
        <w:rPr>
          <w:lang w:val="en-US"/>
        </w:rPr>
        <w:t>On the MOSCATO 01 trial, overall 12 patients (less than 2%) with different diseases (one invasive lobular BC) harbored an</w:t>
      </w:r>
      <w:r w:rsidRPr="00AB0283">
        <w:rPr>
          <w:i/>
          <w:lang w:val="en-US"/>
        </w:rPr>
        <w:t xml:space="preserve"> ERBB3 </w:t>
      </w:r>
      <w:r w:rsidRPr="00AB0283">
        <w:rPr>
          <w:lang w:val="en-US"/>
        </w:rPr>
        <w:t>mutation and 7 of them received HER3 partners' inhibitors (</w:t>
      </w:r>
      <w:proofErr w:type="spellStart"/>
      <w:r w:rsidRPr="00AB0283">
        <w:rPr>
          <w:lang w:val="en-US"/>
        </w:rPr>
        <w:t>trastuzumab</w:t>
      </w:r>
      <w:proofErr w:type="spellEnd"/>
      <w:r w:rsidRPr="00AB0283">
        <w:rPr>
          <w:lang w:val="en-US"/>
        </w:rPr>
        <w:t xml:space="preserve"> and/or </w:t>
      </w:r>
      <w:proofErr w:type="spellStart"/>
      <w:r w:rsidRPr="00AB0283">
        <w:rPr>
          <w:lang w:val="en-US"/>
        </w:rPr>
        <w:t>lapatinib</w:t>
      </w:r>
      <w:proofErr w:type="spellEnd"/>
      <w:r w:rsidRPr="00AB0283">
        <w:rPr>
          <w:lang w:val="en-US"/>
        </w:rPr>
        <w:t xml:space="preserve"> or </w:t>
      </w:r>
      <w:proofErr w:type="spellStart"/>
      <w:r w:rsidRPr="00AB0283">
        <w:rPr>
          <w:lang w:val="en-US"/>
        </w:rPr>
        <w:t>afatinib</w:t>
      </w:r>
      <w:proofErr w:type="spellEnd"/>
      <w:r w:rsidRPr="00AB0283">
        <w:rPr>
          <w:lang w:val="en-US"/>
        </w:rPr>
        <w:t>); 4 patients received other molecularly targeted agents (</w:t>
      </w:r>
      <w:proofErr w:type="spellStart"/>
      <w:r w:rsidRPr="00AB0283">
        <w:rPr>
          <w:lang w:val="en-US"/>
        </w:rPr>
        <w:t>mTOR</w:t>
      </w:r>
      <w:proofErr w:type="spellEnd"/>
      <w:r w:rsidRPr="00AB0283">
        <w:rPr>
          <w:lang w:val="en-US"/>
        </w:rPr>
        <w:t xml:space="preserve">, PI3K or NOTCH inhibitors). Authors reported two partial responses. Out of 6 patients with SD, the breast cancer patient had 504 days on </w:t>
      </w:r>
      <w:proofErr w:type="spellStart"/>
      <w:r w:rsidRPr="00AB0283">
        <w:rPr>
          <w:lang w:val="en-US"/>
        </w:rPr>
        <w:t>capecitabine</w:t>
      </w:r>
      <w:proofErr w:type="spellEnd"/>
      <w:r w:rsidRPr="00AB0283">
        <w:rPr>
          <w:lang w:val="en-US"/>
        </w:rPr>
        <w:t xml:space="preserve"> + </w:t>
      </w:r>
      <w:proofErr w:type="spellStart"/>
      <w:r w:rsidRPr="00AB0283">
        <w:rPr>
          <w:lang w:val="en-US"/>
        </w:rPr>
        <w:t>lapatinib</w:t>
      </w:r>
      <w:proofErr w:type="spellEnd"/>
      <w:r w:rsidRPr="00AB0283">
        <w:rPr>
          <w:lang w:val="en-US"/>
        </w:rPr>
        <w:t xml:space="preserve"> association, and the lung squamous cell carcinoma patient had 420 days on </w:t>
      </w:r>
      <w:proofErr w:type="spellStart"/>
      <w:r w:rsidRPr="00AB0283">
        <w:rPr>
          <w:lang w:val="en-US"/>
        </w:rPr>
        <w:t>afatinib</w:t>
      </w:r>
      <w:proofErr w:type="spellEnd"/>
      <w:r w:rsidRPr="00AB0283">
        <w:rPr>
          <w:lang w:val="en-US"/>
        </w:rPr>
        <w:t xml:space="preserve"> </w:t>
      </w:r>
      <w:r w:rsidRPr="00AB0283">
        <w:rPr>
          <w:rFonts w:ascii="Calibri" w:hAnsi="Calibri"/>
          <w:lang w:val="en-US"/>
        </w:rPr>
        <w:t>(35)</w:t>
      </w:r>
      <w:r w:rsidRPr="00AB0283">
        <w:rPr>
          <w:lang w:val="en-US"/>
        </w:rPr>
        <w:t xml:space="preserve">. On the contrary, no drug’s activity was observed in the </w:t>
      </w:r>
      <w:r w:rsidRPr="00AB0283">
        <w:rPr>
          <w:i/>
          <w:lang w:val="en-US"/>
        </w:rPr>
        <w:t>ERRB3</w:t>
      </w:r>
      <w:r w:rsidRPr="00AB0283">
        <w:rPr>
          <w:lang w:val="en-US"/>
        </w:rPr>
        <w:t xml:space="preserve">-mutant cohort in the SUMMIT trial (n=16) </w:t>
      </w:r>
      <w:r w:rsidRPr="00AB0283">
        <w:rPr>
          <w:rFonts w:ascii="Calibri" w:hAnsi="Calibri"/>
          <w:lang w:val="en-US"/>
        </w:rPr>
        <w:t>(30)</w:t>
      </w:r>
      <w:r w:rsidRPr="00AB0283">
        <w:rPr>
          <w:lang w:val="en-US"/>
        </w:rPr>
        <w:t>.</w:t>
      </w:r>
    </w:p>
    <w:p w:rsidR="00AB0283" w:rsidRPr="00AB0283" w:rsidRDefault="00AB0283" w:rsidP="00AB0283">
      <w:pPr>
        <w:spacing w:before="240" w:line="360" w:lineRule="auto"/>
        <w:jc w:val="both"/>
        <w:rPr>
          <w:lang w:val="en-US"/>
        </w:rPr>
      </w:pPr>
      <w:r w:rsidRPr="00AB0283">
        <w:rPr>
          <w:lang w:val="en-US"/>
        </w:rPr>
        <w:t xml:space="preserve">While there is no consistent clinical data confirming the </w:t>
      </w:r>
      <w:proofErr w:type="spellStart"/>
      <w:r w:rsidRPr="00AB0283">
        <w:rPr>
          <w:lang w:val="en-US"/>
        </w:rPr>
        <w:t>targetability</w:t>
      </w:r>
      <w:proofErr w:type="spellEnd"/>
      <w:r w:rsidRPr="00AB0283">
        <w:rPr>
          <w:lang w:val="en-US"/>
        </w:rPr>
        <w:t xml:space="preserve"> of </w:t>
      </w:r>
      <w:r w:rsidRPr="00AB0283">
        <w:rPr>
          <w:i/>
          <w:lang w:val="en-US"/>
        </w:rPr>
        <w:t>ERBB3</w:t>
      </w:r>
      <w:r w:rsidRPr="00AB0283">
        <w:rPr>
          <w:lang w:val="en-US"/>
        </w:rPr>
        <w:t xml:space="preserve"> mutations, its similarity to Her2 and preliminary evidence observed in MOSCATO-01 suggest this target </w:t>
      </w:r>
      <w:proofErr w:type="gramStart"/>
      <w:r w:rsidRPr="00AB0283">
        <w:rPr>
          <w:lang w:val="en-US"/>
        </w:rPr>
        <w:t>is  tier</w:t>
      </w:r>
      <w:proofErr w:type="gramEnd"/>
      <w:r w:rsidRPr="00AB0283">
        <w:rPr>
          <w:lang w:val="en-US"/>
        </w:rPr>
        <w:t xml:space="preserve"> IIIB.</w:t>
      </w:r>
    </w:p>
    <w:p w:rsidR="00AB0283" w:rsidRPr="00AB0283" w:rsidRDefault="00AB0283" w:rsidP="00AB0283">
      <w:pPr>
        <w:spacing w:line="360" w:lineRule="auto"/>
        <w:jc w:val="both"/>
        <w:rPr>
          <w:b/>
          <w:sz w:val="24"/>
          <w:szCs w:val="24"/>
          <w:u w:val="single"/>
          <w:lang w:val="en-US"/>
        </w:rPr>
      </w:pPr>
      <w:r w:rsidRPr="00AB0283">
        <w:rPr>
          <w:b/>
          <w:sz w:val="24"/>
          <w:szCs w:val="24"/>
          <w:u w:val="single"/>
          <w:lang w:val="en-US"/>
        </w:rPr>
        <w:t>Tier IV</w:t>
      </w:r>
    </w:p>
    <w:p w:rsidR="00AB0283" w:rsidRPr="00AB0283" w:rsidRDefault="00AB0283" w:rsidP="00AB0283">
      <w:pPr>
        <w:spacing w:line="360" w:lineRule="auto"/>
        <w:jc w:val="both"/>
        <w:rPr>
          <w:lang w:val="en-US"/>
        </w:rPr>
      </w:pPr>
      <w:r w:rsidRPr="00AB0283">
        <w:rPr>
          <w:lang w:val="en-US"/>
        </w:rPr>
        <w:t xml:space="preserve">Lastly tier IV is defined by pre-clinical evidence of </w:t>
      </w:r>
      <w:proofErr w:type="spellStart"/>
      <w:r w:rsidRPr="00AB0283">
        <w:rPr>
          <w:lang w:val="en-US"/>
        </w:rPr>
        <w:t>actionability</w:t>
      </w:r>
      <w:proofErr w:type="spellEnd"/>
      <w:r w:rsidRPr="00AB0283">
        <w:rPr>
          <w:lang w:val="en-US"/>
        </w:rPr>
        <w:t xml:space="preserve"> for an alteration-drug match, without clinical data. This tier is divided </w:t>
      </w:r>
      <w:proofErr w:type="gramStart"/>
      <w:r w:rsidRPr="00AB0283">
        <w:rPr>
          <w:lang w:val="en-US"/>
        </w:rPr>
        <w:t>in  tier</w:t>
      </w:r>
      <w:proofErr w:type="gramEnd"/>
      <w:r w:rsidRPr="00AB0283">
        <w:rPr>
          <w:lang w:val="en-US"/>
        </w:rPr>
        <w:t xml:space="preserve"> IVA and IVB. These targets are hypothetical and are best considered as qualifying evidence for future clinical testing. They may also be appropriate for enrichment of patients in early phase clinical trials. This category contains a very large number of putative markers proposal based on laboratory evidence, but space limitations preclude discuss them. They are mentioned in table 4.</w:t>
      </w:r>
    </w:p>
    <w:p w:rsidR="00AB0283" w:rsidRPr="00AB0283" w:rsidRDefault="00AB0283" w:rsidP="00AB0283">
      <w:pPr>
        <w:spacing w:line="360" w:lineRule="auto"/>
        <w:jc w:val="both"/>
        <w:rPr>
          <w:lang w:val="en-US"/>
        </w:rPr>
      </w:pPr>
      <w:r w:rsidRPr="00AB0283">
        <w:rPr>
          <w:i/>
          <w:lang w:val="en-US"/>
        </w:rPr>
        <w:t>Tier IVA</w:t>
      </w:r>
      <w:r w:rsidRPr="00AB0283">
        <w:rPr>
          <w:lang w:val="en-US"/>
        </w:rPr>
        <w:t xml:space="preserve"> evidence that the alteration influences drug sensitivity in preclinical </w:t>
      </w:r>
      <w:r w:rsidRPr="00AB0283">
        <w:rPr>
          <w:i/>
          <w:lang w:val="en-US"/>
        </w:rPr>
        <w:t>in vitro</w:t>
      </w:r>
      <w:r w:rsidRPr="00AB0283">
        <w:rPr>
          <w:lang w:val="en-US"/>
        </w:rPr>
        <w:t xml:space="preserve"> or </w:t>
      </w:r>
      <w:r w:rsidRPr="00AB0283">
        <w:rPr>
          <w:i/>
          <w:lang w:val="en-US"/>
        </w:rPr>
        <w:t>in vivo</w:t>
      </w:r>
      <w:r w:rsidRPr="00AB0283">
        <w:rPr>
          <w:lang w:val="en-US"/>
        </w:rPr>
        <w:t xml:space="preserve"> cancer models.</w:t>
      </w:r>
    </w:p>
    <w:p w:rsidR="00AB0283" w:rsidRPr="00AB0283" w:rsidRDefault="00AB0283" w:rsidP="00AB0283">
      <w:pPr>
        <w:spacing w:line="360" w:lineRule="auto"/>
        <w:jc w:val="both"/>
        <w:rPr>
          <w:lang w:val="en-US"/>
        </w:rPr>
      </w:pPr>
      <w:r w:rsidRPr="00AB0283">
        <w:rPr>
          <w:lang w:val="en-US"/>
        </w:rPr>
        <w:t xml:space="preserve">At tier </w:t>
      </w:r>
      <w:r w:rsidRPr="00AB0283">
        <w:rPr>
          <w:i/>
          <w:lang w:val="en-US"/>
        </w:rPr>
        <w:t>IVB</w:t>
      </w:r>
      <w:r w:rsidRPr="00AB0283">
        <w:rPr>
          <w:lang w:val="en-US"/>
        </w:rPr>
        <w:t xml:space="preserve"> the </w:t>
      </w:r>
      <w:proofErr w:type="spellStart"/>
      <w:r w:rsidRPr="00AB0283">
        <w:rPr>
          <w:lang w:val="en-US"/>
        </w:rPr>
        <w:t>actionability</w:t>
      </w:r>
      <w:proofErr w:type="spellEnd"/>
      <w:r w:rsidRPr="00AB0283">
        <w:rPr>
          <w:lang w:val="en-US"/>
        </w:rPr>
        <w:t xml:space="preserve"> is based </w:t>
      </w:r>
      <w:r w:rsidRPr="00AB0283">
        <w:rPr>
          <w:i/>
          <w:lang w:val="en-US"/>
        </w:rPr>
        <w:t xml:space="preserve">in </w:t>
      </w:r>
      <w:proofErr w:type="spellStart"/>
      <w:r w:rsidRPr="00AB0283">
        <w:rPr>
          <w:i/>
          <w:lang w:val="en-US"/>
        </w:rPr>
        <w:t>silico</w:t>
      </w:r>
      <w:proofErr w:type="spellEnd"/>
      <w:r w:rsidRPr="00AB0283">
        <w:rPr>
          <w:i/>
          <w:lang w:val="en-US"/>
        </w:rPr>
        <w:t xml:space="preserve"> </w:t>
      </w:r>
      <w:proofErr w:type="spellStart"/>
      <w:r w:rsidRPr="00AB0283">
        <w:rPr>
          <w:lang w:val="en-US"/>
        </w:rPr>
        <w:t>bioinformatic</w:t>
      </w:r>
      <w:proofErr w:type="spellEnd"/>
      <w:r w:rsidRPr="00AB0283">
        <w:rPr>
          <w:lang w:val="en-US"/>
        </w:rPr>
        <w:t xml:space="preserve"> predictions.</w:t>
      </w:r>
    </w:p>
    <w:p w:rsidR="00AB0283" w:rsidRPr="00AB0283" w:rsidRDefault="00AB0283" w:rsidP="00AB0283">
      <w:pPr>
        <w:spacing w:line="360" w:lineRule="auto"/>
        <w:jc w:val="both"/>
        <w:rPr>
          <w:lang w:val="en-US"/>
        </w:rPr>
      </w:pPr>
      <w:r w:rsidRPr="00AB0283">
        <w:rPr>
          <w:b/>
          <w:u w:val="single"/>
          <w:lang w:val="en-US"/>
        </w:rPr>
        <w:lastRenderedPageBreak/>
        <w:t>Tier X</w:t>
      </w:r>
    </w:p>
    <w:p w:rsidR="00AB0283" w:rsidRPr="00AB0283" w:rsidRDefault="00AB0283" w:rsidP="00AB0283">
      <w:pPr>
        <w:spacing w:line="360" w:lineRule="auto"/>
        <w:jc w:val="both"/>
        <w:rPr>
          <w:lang w:val="en-US"/>
        </w:rPr>
      </w:pPr>
      <w:r w:rsidRPr="00AB0283">
        <w:rPr>
          <w:lang w:val="en-US"/>
        </w:rPr>
        <w:t xml:space="preserve">Tier X is defined by an alteration for which clinical data indicate that it’s not actionable. These alterations should not be taken into account for clinical decisions. </w:t>
      </w:r>
      <w:r w:rsidRPr="00AB0283">
        <w:rPr>
          <w:i/>
          <w:lang w:val="en-US"/>
        </w:rPr>
        <w:t>CCND1</w:t>
      </w:r>
      <w:r w:rsidRPr="00AB0283">
        <w:rPr>
          <w:lang w:val="en-US"/>
        </w:rPr>
        <w:t xml:space="preserve"> and </w:t>
      </w:r>
      <w:r w:rsidRPr="00AB0283">
        <w:rPr>
          <w:i/>
          <w:lang w:val="en-US"/>
        </w:rPr>
        <w:t xml:space="preserve">FGFR1 </w:t>
      </w:r>
      <w:r w:rsidRPr="00AB0283">
        <w:rPr>
          <w:lang w:val="en-US"/>
        </w:rPr>
        <w:t>amplifications belong to this class. It must be acknowledge that this tier is defined based on data obtained with currently available therapies and using currently available technologies. Some of these alterations could move to other tiers when better drugs or technologies will be available.</w:t>
      </w:r>
    </w:p>
    <w:p w:rsidR="00AB0283" w:rsidRPr="00AB0283" w:rsidRDefault="00AB0283" w:rsidP="00AB0283">
      <w:pPr>
        <w:spacing w:line="360" w:lineRule="auto"/>
        <w:jc w:val="both"/>
        <w:rPr>
          <w:lang w:val="en-US"/>
        </w:rPr>
      </w:pPr>
      <w:r w:rsidRPr="00AB0283">
        <w:rPr>
          <w:i/>
          <w:u w:val="single"/>
          <w:lang w:val="en-US"/>
        </w:rPr>
        <w:t>CCND1</w:t>
      </w:r>
      <w:r w:rsidRPr="00AB0283">
        <w:rPr>
          <w:u w:val="single"/>
          <w:lang w:val="en-US"/>
        </w:rPr>
        <w:t xml:space="preserve"> amplification</w:t>
      </w:r>
      <w:r w:rsidRPr="00AB0283">
        <w:rPr>
          <w:lang w:val="en-US"/>
        </w:rPr>
        <w:t xml:space="preserve"> (X)</w:t>
      </w:r>
    </w:p>
    <w:p w:rsidR="00AB0283" w:rsidRPr="00AB0283" w:rsidRDefault="00AB0283" w:rsidP="00AB0283">
      <w:pPr>
        <w:spacing w:line="360" w:lineRule="auto"/>
        <w:jc w:val="both"/>
        <w:rPr>
          <w:lang w:val="en-US"/>
        </w:rPr>
      </w:pPr>
      <w:r w:rsidRPr="00AB0283">
        <w:rPr>
          <w:lang w:val="en-US"/>
        </w:rPr>
        <w:t xml:space="preserve">In the PALOMA-1/TRIO-18 study, patients with </w:t>
      </w:r>
      <w:r w:rsidRPr="00AB0283">
        <w:rPr>
          <w:i/>
          <w:lang w:val="en-US"/>
        </w:rPr>
        <w:t>CCND1</w:t>
      </w:r>
      <w:r w:rsidRPr="00AB0283">
        <w:rPr>
          <w:lang w:val="en-US"/>
        </w:rPr>
        <w:t xml:space="preserve"> amplification did not derive more benefit than the population without amplification </w:t>
      </w:r>
      <w:r w:rsidRPr="00AB0283">
        <w:rPr>
          <w:rFonts w:ascii="Calibri" w:hAnsi="Calibri"/>
          <w:lang w:val="en-US"/>
        </w:rPr>
        <w:t>(36)</w:t>
      </w:r>
      <w:r w:rsidRPr="00AB0283">
        <w:rPr>
          <w:lang w:val="en-US"/>
        </w:rPr>
        <w:t xml:space="preserve">. The phase 3 PALOMA-2 </w:t>
      </w:r>
      <w:r w:rsidRPr="00AB0283">
        <w:rPr>
          <w:rFonts w:ascii="Calibri" w:hAnsi="Calibri"/>
          <w:lang w:val="en-US"/>
        </w:rPr>
        <w:t>(37)</w:t>
      </w:r>
      <w:r w:rsidRPr="00AB0283">
        <w:rPr>
          <w:lang w:val="en-US"/>
        </w:rPr>
        <w:t xml:space="preserve"> and MONALEESA-2 </w:t>
      </w:r>
      <w:r w:rsidRPr="00AB0283">
        <w:rPr>
          <w:rFonts w:ascii="Calibri" w:hAnsi="Calibri"/>
          <w:lang w:val="en-US"/>
        </w:rPr>
        <w:t>(38)</w:t>
      </w:r>
      <w:r w:rsidRPr="00AB0283">
        <w:rPr>
          <w:lang w:val="en-US"/>
        </w:rPr>
        <w:t xml:space="preserve"> trials (</w:t>
      </w:r>
      <w:proofErr w:type="spellStart"/>
      <w:r w:rsidRPr="00AB0283">
        <w:rPr>
          <w:lang w:val="en-US"/>
        </w:rPr>
        <w:t>palbociclib</w:t>
      </w:r>
      <w:proofErr w:type="spellEnd"/>
      <w:r w:rsidRPr="00AB0283">
        <w:rPr>
          <w:lang w:val="en-US"/>
        </w:rPr>
        <w:t xml:space="preserve"> + </w:t>
      </w:r>
      <w:proofErr w:type="spellStart"/>
      <w:r w:rsidRPr="00AB0283">
        <w:rPr>
          <w:lang w:val="en-US"/>
        </w:rPr>
        <w:t>letrozole</w:t>
      </w:r>
      <w:proofErr w:type="spellEnd"/>
      <w:r w:rsidRPr="00AB0283">
        <w:rPr>
          <w:lang w:val="en-US"/>
        </w:rPr>
        <w:t xml:space="preserve"> and </w:t>
      </w:r>
      <w:proofErr w:type="spellStart"/>
      <w:r w:rsidRPr="00AB0283">
        <w:rPr>
          <w:lang w:val="en-US"/>
        </w:rPr>
        <w:t>ribociclib</w:t>
      </w:r>
      <w:proofErr w:type="spellEnd"/>
      <w:r w:rsidRPr="00AB0283">
        <w:rPr>
          <w:lang w:val="en-US"/>
        </w:rPr>
        <w:t xml:space="preserve"> + </w:t>
      </w:r>
      <w:proofErr w:type="spellStart"/>
      <w:r w:rsidRPr="00AB0283">
        <w:rPr>
          <w:lang w:val="en-US"/>
        </w:rPr>
        <w:t>letrozole</w:t>
      </w:r>
      <w:proofErr w:type="spellEnd"/>
      <w:r w:rsidRPr="00AB0283">
        <w:rPr>
          <w:lang w:val="en-US"/>
        </w:rPr>
        <w:t xml:space="preserve"> respectively) also reported no differential benefit for the CDK4/6 inhibitors in </w:t>
      </w:r>
      <w:r w:rsidRPr="00AB0283">
        <w:rPr>
          <w:i/>
          <w:lang w:val="en-US"/>
        </w:rPr>
        <w:t xml:space="preserve">CCND1 </w:t>
      </w:r>
      <w:r w:rsidRPr="00AB0283">
        <w:rPr>
          <w:lang w:val="en-US"/>
        </w:rPr>
        <w:t>amplified tumors.</w:t>
      </w:r>
    </w:p>
    <w:p w:rsidR="00AB0283" w:rsidRPr="00AB0283" w:rsidRDefault="00AB0283" w:rsidP="00AB0283">
      <w:pPr>
        <w:spacing w:line="360" w:lineRule="auto"/>
        <w:jc w:val="both"/>
        <w:rPr>
          <w:lang w:val="en-US"/>
        </w:rPr>
      </w:pPr>
      <w:r w:rsidRPr="00AB0283">
        <w:rPr>
          <w:i/>
          <w:u w:val="single"/>
          <w:lang w:val="en-US"/>
        </w:rPr>
        <w:t xml:space="preserve">FGFR1 </w:t>
      </w:r>
      <w:r w:rsidRPr="00AB0283">
        <w:rPr>
          <w:u w:val="single"/>
          <w:lang w:val="en-US"/>
        </w:rPr>
        <w:t>amplification</w:t>
      </w:r>
      <w:r w:rsidRPr="00AB0283">
        <w:rPr>
          <w:lang w:val="en-US"/>
        </w:rPr>
        <w:t xml:space="preserve"> (X)</w:t>
      </w:r>
    </w:p>
    <w:p w:rsidR="00AB0283" w:rsidRPr="00AB0283" w:rsidRDefault="00AB0283" w:rsidP="00AB0283">
      <w:pPr>
        <w:spacing w:line="360" w:lineRule="auto"/>
        <w:jc w:val="both"/>
        <w:rPr>
          <w:lang w:val="en-US"/>
        </w:rPr>
      </w:pPr>
      <w:r w:rsidRPr="00AB0283">
        <w:rPr>
          <w:i/>
          <w:lang w:val="en-US"/>
        </w:rPr>
        <w:t>FGFR1</w:t>
      </w:r>
      <w:r w:rsidRPr="00AB0283">
        <w:rPr>
          <w:lang w:val="en-US"/>
        </w:rPr>
        <w:t xml:space="preserve"> is amplified in around 15% of luminal breast cancers In a phase I study with patients with advanced solid tumors harboring alterations in fibroblast growth factor receptors (FGFRs), among the 43 patients with BC treated with BGJ398, 10 had a best response of SD and no response was observed.  The authors concluded that the lack of objective responses and the limited disease control in BC patients challenge the idea that </w:t>
      </w:r>
      <w:r w:rsidRPr="00AB0283">
        <w:rPr>
          <w:i/>
          <w:lang w:val="en-US"/>
        </w:rPr>
        <w:t>FGFR</w:t>
      </w:r>
      <w:r w:rsidRPr="00AB0283">
        <w:rPr>
          <w:lang w:val="en-US"/>
        </w:rPr>
        <w:t xml:space="preserve"> amplifications could be a driver alteration in this disease. It is still unclear whether alternative or additional biomarkers would better predict responders, or whether FGFR signaling is less essential for tumor growth in BC </w:t>
      </w:r>
      <w:r w:rsidRPr="00AB0283">
        <w:rPr>
          <w:rFonts w:ascii="Calibri" w:hAnsi="Calibri"/>
          <w:lang w:val="en-US"/>
        </w:rPr>
        <w:t>(39)</w:t>
      </w:r>
      <w:r w:rsidRPr="00AB0283">
        <w:rPr>
          <w:lang w:val="en-US"/>
        </w:rPr>
        <w:t>.</w:t>
      </w:r>
    </w:p>
    <w:p w:rsidR="00AB0283" w:rsidRPr="00AB0283" w:rsidRDefault="00AB0283" w:rsidP="00AB0283">
      <w:pPr>
        <w:spacing w:line="360" w:lineRule="auto"/>
        <w:jc w:val="both"/>
        <w:rPr>
          <w:lang w:val="en-US"/>
        </w:rPr>
      </w:pPr>
      <w:r w:rsidRPr="00AB0283">
        <w:rPr>
          <w:lang w:val="en-US"/>
        </w:rPr>
        <w:t xml:space="preserve">The safety and preliminary efficacy of </w:t>
      </w:r>
      <w:proofErr w:type="spellStart"/>
      <w:r w:rsidRPr="00AB0283">
        <w:rPr>
          <w:lang w:val="en-US"/>
        </w:rPr>
        <w:t>lucitanib</w:t>
      </w:r>
      <w:proofErr w:type="spellEnd"/>
      <w:r w:rsidRPr="00AB0283">
        <w:rPr>
          <w:lang w:val="en-US"/>
        </w:rPr>
        <w:t xml:space="preserve"> (an oral inhibitor of FGFR1 and FGFR2) have been investigated in an open-label phase I/</w:t>
      </w:r>
      <w:proofErr w:type="spellStart"/>
      <w:r w:rsidRPr="00AB0283">
        <w:rPr>
          <w:lang w:val="en-US"/>
        </w:rPr>
        <w:t>IIa</w:t>
      </w:r>
      <w:proofErr w:type="spellEnd"/>
      <w:r w:rsidRPr="00AB0283">
        <w:rPr>
          <w:lang w:val="en-US"/>
        </w:rPr>
        <w:t xml:space="preserve"> study in patients with advanced solid tumors </w:t>
      </w:r>
      <w:r w:rsidRPr="00AB0283">
        <w:rPr>
          <w:rFonts w:ascii="Calibri" w:hAnsi="Calibri"/>
          <w:lang w:val="en-US"/>
        </w:rPr>
        <w:t>(40)</w:t>
      </w:r>
      <w:r w:rsidRPr="00AB0283">
        <w:rPr>
          <w:lang w:val="en-US"/>
        </w:rPr>
        <w:t xml:space="preserve"> and others FGFR-inhibitors as </w:t>
      </w:r>
      <w:proofErr w:type="spellStart"/>
      <w:r w:rsidRPr="00AB0283">
        <w:rPr>
          <w:lang w:val="en-US"/>
        </w:rPr>
        <w:t>dovitinib</w:t>
      </w:r>
      <w:proofErr w:type="spellEnd"/>
      <w:r w:rsidRPr="00AB0283">
        <w:rPr>
          <w:lang w:val="en-US"/>
        </w:rPr>
        <w:t xml:space="preserve"> and AZD4547 are currently investigated in clinical trials </w:t>
      </w:r>
      <w:r w:rsidRPr="00AB0283">
        <w:rPr>
          <w:rFonts w:ascii="Calibri" w:hAnsi="Calibri"/>
          <w:lang w:val="en-US"/>
        </w:rPr>
        <w:t>(41,42)</w:t>
      </w:r>
      <w:r w:rsidRPr="00AB0283">
        <w:rPr>
          <w:lang w:val="en-US"/>
        </w:rPr>
        <w:t>.</w:t>
      </w:r>
    </w:p>
    <w:p w:rsidR="00AB0283" w:rsidRPr="00AB0283" w:rsidRDefault="00AB0283" w:rsidP="00AB0283">
      <w:pPr>
        <w:spacing w:line="360" w:lineRule="auto"/>
        <w:jc w:val="both"/>
        <w:rPr>
          <w:b/>
          <w:sz w:val="24"/>
          <w:szCs w:val="24"/>
          <w:lang w:val="en-US"/>
        </w:rPr>
      </w:pPr>
      <w:r w:rsidRPr="00AB0283">
        <w:rPr>
          <w:b/>
          <w:sz w:val="24"/>
          <w:szCs w:val="24"/>
          <w:lang w:val="en-US"/>
        </w:rPr>
        <w:t>Conclusions</w:t>
      </w:r>
    </w:p>
    <w:p w:rsidR="00AB0283" w:rsidRPr="00AB0283" w:rsidRDefault="00AB0283" w:rsidP="00AB0283">
      <w:pPr>
        <w:spacing w:line="360" w:lineRule="auto"/>
        <w:jc w:val="both"/>
        <w:rPr>
          <w:lang w:val="en-US"/>
        </w:rPr>
      </w:pPr>
      <w:r w:rsidRPr="00AB0283">
        <w:rPr>
          <w:lang w:val="en-US"/>
        </w:rPr>
        <w:t xml:space="preserve">Our work aimed at ranking genomic alterations observed in breast cancer in order to help the oncologist to prioritize drugs when receiving results of </w:t>
      </w:r>
      <w:proofErr w:type="spellStart"/>
      <w:r w:rsidRPr="00AB0283">
        <w:rPr>
          <w:lang w:val="en-US"/>
        </w:rPr>
        <w:t>multigene</w:t>
      </w:r>
      <w:proofErr w:type="spellEnd"/>
      <w:r w:rsidRPr="00AB0283">
        <w:rPr>
          <w:lang w:val="en-US"/>
        </w:rPr>
        <w:t xml:space="preserve"> sequencing. We found six gene alterations that met criteria for being ranked Level </w:t>
      </w:r>
      <w:proofErr w:type="gramStart"/>
      <w:r w:rsidRPr="00AB0283">
        <w:rPr>
          <w:lang w:val="en-US"/>
        </w:rPr>
        <w:t>I,</w:t>
      </w:r>
      <w:proofErr w:type="gramEnd"/>
      <w:r w:rsidRPr="00AB0283">
        <w:rPr>
          <w:lang w:val="en-US"/>
        </w:rPr>
        <w:t xml:space="preserve"> and four alterations ranked Level II, suggesting that </w:t>
      </w:r>
      <w:proofErr w:type="spellStart"/>
      <w:r w:rsidRPr="00AB0283">
        <w:rPr>
          <w:lang w:val="en-US"/>
        </w:rPr>
        <w:t>multigene</w:t>
      </w:r>
      <w:proofErr w:type="spellEnd"/>
      <w:r w:rsidRPr="00AB0283">
        <w:rPr>
          <w:lang w:val="en-US"/>
        </w:rPr>
        <w:t xml:space="preserve"> sequencing could provide benefit to patients pending optimal drug access. </w:t>
      </w:r>
    </w:p>
    <w:p w:rsidR="00AB0283" w:rsidRPr="00AB0283" w:rsidRDefault="00AB0283" w:rsidP="00AB0283">
      <w:pPr>
        <w:spacing w:line="360" w:lineRule="auto"/>
        <w:jc w:val="both"/>
        <w:rPr>
          <w:lang w:val="en-US"/>
        </w:rPr>
      </w:pPr>
      <w:r w:rsidRPr="00AB0283">
        <w:rPr>
          <w:lang w:val="en-US"/>
        </w:rPr>
        <w:t xml:space="preserve">More work has to be done to keep up-to-date this classification, and it is planned to update this ranking on an annual basis. It is imperative that the scientific community shares all results, even and </w:t>
      </w:r>
      <w:r w:rsidRPr="00AB0283">
        <w:rPr>
          <w:lang w:val="en-US"/>
        </w:rPr>
        <w:lastRenderedPageBreak/>
        <w:t>especially the negative ones, in order to improve knowledge in precision and personalized cancer medicine.</w:t>
      </w:r>
    </w:p>
    <w:p w:rsidR="00FB4CBC" w:rsidRPr="0066313B" w:rsidRDefault="00FB4CBC" w:rsidP="00FB4CBC">
      <w:pPr>
        <w:spacing w:line="360" w:lineRule="auto"/>
        <w:jc w:val="both"/>
        <w:rPr>
          <w:lang w:val="en-US"/>
        </w:rPr>
      </w:pPr>
      <w:r w:rsidRPr="0066313B">
        <w:rPr>
          <w:lang w:val="en-US"/>
        </w:rPr>
        <w:t xml:space="preserve">Funding </w:t>
      </w:r>
      <w:proofErr w:type="gramStart"/>
      <w:r w:rsidRPr="0066313B">
        <w:rPr>
          <w:lang w:val="en-US"/>
        </w:rPr>
        <w:t>None</w:t>
      </w:r>
      <w:proofErr w:type="gramEnd"/>
      <w:r w:rsidRPr="0066313B">
        <w:rPr>
          <w:lang w:val="en-US"/>
        </w:rPr>
        <w:t xml:space="preserve"> declared.</w:t>
      </w:r>
    </w:p>
    <w:p w:rsidR="00FB4CBC" w:rsidRDefault="00FB4CBC" w:rsidP="00FB4CBC">
      <w:pPr>
        <w:spacing w:line="360" w:lineRule="auto"/>
        <w:jc w:val="both"/>
        <w:rPr>
          <w:lang w:val="en-US"/>
        </w:rPr>
      </w:pPr>
      <w:r w:rsidRPr="0066313B">
        <w:rPr>
          <w:lang w:val="en-US"/>
        </w:rPr>
        <w:t xml:space="preserve">Disclosures </w:t>
      </w:r>
    </w:p>
    <w:p w:rsidR="00FB4CBC" w:rsidRDefault="00FB4CBC" w:rsidP="00FB4CBC">
      <w:pPr>
        <w:spacing w:line="360" w:lineRule="auto"/>
        <w:jc w:val="both"/>
        <w:rPr>
          <w:lang w:val="en-US"/>
        </w:rPr>
      </w:pPr>
      <w:r w:rsidRPr="0066313B">
        <w:rPr>
          <w:lang w:val="en-US"/>
        </w:rPr>
        <w:t xml:space="preserve">T. </w:t>
      </w:r>
      <w:proofErr w:type="spellStart"/>
      <w:r w:rsidRPr="0066313B">
        <w:rPr>
          <w:lang w:val="en-US"/>
        </w:rPr>
        <w:t>Bachelot</w:t>
      </w:r>
      <w:proofErr w:type="spellEnd"/>
      <w:r w:rsidRPr="0066313B">
        <w:rPr>
          <w:lang w:val="en-US"/>
        </w:rPr>
        <w:t xml:space="preserve"> reports grants, personal fees and non-financial support from Roche; grants, personal fees and non-financial support from Novartis; grants and personal fees from AstraZeneca, outside the submitted work. </w:t>
      </w:r>
    </w:p>
    <w:p w:rsidR="00FB4CBC" w:rsidRDefault="00FB4CBC" w:rsidP="00FB4CBC">
      <w:pPr>
        <w:spacing w:line="360" w:lineRule="auto"/>
        <w:jc w:val="both"/>
        <w:rPr>
          <w:lang w:val="en-US"/>
        </w:rPr>
      </w:pPr>
      <w:r w:rsidRPr="0066313B">
        <w:rPr>
          <w:lang w:val="en-US"/>
        </w:rPr>
        <w:t xml:space="preserve">P. L. </w:t>
      </w:r>
      <w:proofErr w:type="spellStart"/>
      <w:r w:rsidRPr="0066313B">
        <w:rPr>
          <w:lang w:val="en-US"/>
        </w:rPr>
        <w:t>Bedard</w:t>
      </w:r>
      <w:proofErr w:type="spellEnd"/>
      <w:r w:rsidRPr="0066313B">
        <w:rPr>
          <w:lang w:val="en-US"/>
        </w:rPr>
        <w:t xml:space="preserve"> reports research funding for his Institution by Bristol-Myers Squibb, </w:t>
      </w:r>
      <w:proofErr w:type="spellStart"/>
      <w:r w:rsidRPr="0066313B">
        <w:rPr>
          <w:lang w:val="en-US"/>
        </w:rPr>
        <w:t>Sanofi</w:t>
      </w:r>
      <w:proofErr w:type="spellEnd"/>
      <w:r w:rsidRPr="0066313B">
        <w:rPr>
          <w:lang w:val="en-US"/>
        </w:rPr>
        <w:t xml:space="preserve">, AstraZeneca, Genentech/Roche, SERVIER, GlaxoSmithKline, Novartis, </w:t>
      </w:r>
      <w:proofErr w:type="spellStart"/>
      <w:r w:rsidRPr="0066313B">
        <w:rPr>
          <w:lang w:val="en-US"/>
        </w:rPr>
        <w:t>SignalChem</w:t>
      </w:r>
      <w:proofErr w:type="spellEnd"/>
      <w:r w:rsidRPr="0066313B">
        <w:rPr>
          <w:lang w:val="en-US"/>
        </w:rPr>
        <w:t xml:space="preserve">, PTC Therapeutics, Cascadian Therapeutics, </w:t>
      </w:r>
      <w:proofErr w:type="spellStart"/>
      <w:r w:rsidRPr="0066313B">
        <w:rPr>
          <w:lang w:val="en-US"/>
        </w:rPr>
        <w:t>Nektar</w:t>
      </w:r>
      <w:proofErr w:type="spellEnd"/>
      <w:r w:rsidRPr="0066313B">
        <w:rPr>
          <w:lang w:val="en-US"/>
        </w:rPr>
        <w:t xml:space="preserve">, </w:t>
      </w:r>
      <w:proofErr w:type="gramStart"/>
      <w:r w:rsidRPr="0066313B">
        <w:rPr>
          <w:lang w:val="en-US"/>
        </w:rPr>
        <w:t>Merck</w:t>
      </w:r>
      <w:proofErr w:type="gramEnd"/>
      <w:r w:rsidRPr="0066313B">
        <w:rPr>
          <w:lang w:val="en-US"/>
        </w:rPr>
        <w:t xml:space="preserve"> </w:t>
      </w:r>
    </w:p>
    <w:p w:rsidR="00FB4CBC" w:rsidRDefault="00FB4CBC" w:rsidP="00FB4CBC">
      <w:pPr>
        <w:spacing w:line="360" w:lineRule="auto"/>
        <w:jc w:val="both"/>
        <w:rPr>
          <w:lang w:val="en-US"/>
        </w:rPr>
      </w:pPr>
      <w:r w:rsidRPr="0066313B">
        <w:rPr>
          <w:lang w:val="en-US"/>
        </w:rPr>
        <w:t xml:space="preserve">J. Cortes reports honoraria from Roche, Novartis, Eisai, </w:t>
      </w:r>
      <w:proofErr w:type="spellStart"/>
      <w:r w:rsidRPr="0066313B">
        <w:rPr>
          <w:lang w:val="en-US"/>
        </w:rPr>
        <w:t>Celgene</w:t>
      </w:r>
      <w:proofErr w:type="spellEnd"/>
      <w:r w:rsidRPr="0066313B">
        <w:rPr>
          <w:lang w:val="en-US"/>
        </w:rPr>
        <w:t xml:space="preserve">, Pfizer and consulting/advisor for Roche, </w:t>
      </w:r>
      <w:proofErr w:type="spellStart"/>
      <w:r w:rsidRPr="0066313B">
        <w:rPr>
          <w:lang w:val="en-US"/>
        </w:rPr>
        <w:t>Celgene</w:t>
      </w:r>
      <w:proofErr w:type="spellEnd"/>
      <w:r w:rsidRPr="0066313B">
        <w:rPr>
          <w:lang w:val="en-US"/>
        </w:rPr>
        <w:t xml:space="preserve">, </w:t>
      </w:r>
      <w:proofErr w:type="spellStart"/>
      <w:proofErr w:type="gramStart"/>
      <w:r w:rsidRPr="0066313B">
        <w:rPr>
          <w:lang w:val="en-US"/>
        </w:rPr>
        <w:t>Aztrazeneca</w:t>
      </w:r>
      <w:proofErr w:type="spellEnd"/>
      <w:r w:rsidRPr="0066313B">
        <w:rPr>
          <w:lang w:val="en-US"/>
        </w:rPr>
        <w:t xml:space="preserve"> ,</w:t>
      </w:r>
      <w:proofErr w:type="gramEnd"/>
      <w:r w:rsidRPr="0066313B">
        <w:rPr>
          <w:lang w:val="en-US"/>
        </w:rPr>
        <w:t xml:space="preserve"> </w:t>
      </w:r>
      <w:proofErr w:type="spellStart"/>
      <w:r w:rsidRPr="0066313B">
        <w:rPr>
          <w:lang w:val="en-US"/>
        </w:rPr>
        <w:t>Cellestia</w:t>
      </w:r>
      <w:proofErr w:type="spellEnd"/>
      <w:r w:rsidRPr="0066313B">
        <w:rPr>
          <w:lang w:val="en-US"/>
        </w:rPr>
        <w:t xml:space="preserve"> Biotech, </w:t>
      </w:r>
      <w:proofErr w:type="spellStart"/>
      <w:r w:rsidRPr="0066313B">
        <w:rPr>
          <w:lang w:val="en-US"/>
        </w:rPr>
        <w:t>Biothera</w:t>
      </w:r>
      <w:proofErr w:type="spellEnd"/>
      <w:r w:rsidRPr="0066313B">
        <w:rPr>
          <w:lang w:val="en-US"/>
        </w:rPr>
        <w:t xml:space="preserve">, </w:t>
      </w:r>
      <w:proofErr w:type="spellStart"/>
      <w:r w:rsidRPr="0066313B">
        <w:rPr>
          <w:lang w:val="en-US"/>
        </w:rPr>
        <w:t>Merus</w:t>
      </w:r>
      <w:proofErr w:type="spellEnd"/>
      <w:r w:rsidRPr="0066313B">
        <w:rPr>
          <w:lang w:val="en-US"/>
        </w:rPr>
        <w:t xml:space="preserve">. </w:t>
      </w:r>
    </w:p>
    <w:p w:rsidR="00FB4CBC" w:rsidRDefault="00FB4CBC" w:rsidP="00FB4CBC">
      <w:pPr>
        <w:spacing w:line="360" w:lineRule="auto"/>
        <w:jc w:val="both"/>
        <w:rPr>
          <w:lang w:val="en-US"/>
        </w:rPr>
      </w:pPr>
      <w:r w:rsidRPr="0066313B">
        <w:rPr>
          <w:lang w:val="en-US"/>
        </w:rPr>
        <w:t xml:space="preserve">D. M. Hyman reports research funding from AstraZeneca, Puma Biotechnology, </w:t>
      </w:r>
      <w:proofErr w:type="spellStart"/>
      <w:r w:rsidRPr="0066313B">
        <w:rPr>
          <w:lang w:val="en-US"/>
        </w:rPr>
        <w:t>Loxo</w:t>
      </w:r>
      <w:proofErr w:type="spellEnd"/>
      <w:r w:rsidRPr="0066313B">
        <w:rPr>
          <w:lang w:val="en-US"/>
        </w:rPr>
        <w:t xml:space="preserve"> and consulting or advisory role for </w:t>
      </w:r>
      <w:proofErr w:type="spellStart"/>
      <w:r w:rsidRPr="0066313B">
        <w:rPr>
          <w:lang w:val="en-US"/>
        </w:rPr>
        <w:t>Atara</w:t>
      </w:r>
      <w:proofErr w:type="spellEnd"/>
      <w:r w:rsidRPr="0066313B">
        <w:rPr>
          <w:lang w:val="en-US"/>
        </w:rPr>
        <w:t xml:space="preserve"> </w:t>
      </w:r>
      <w:proofErr w:type="spellStart"/>
      <w:r w:rsidRPr="0066313B">
        <w:rPr>
          <w:lang w:val="en-US"/>
        </w:rPr>
        <w:t>Biotheapeutics</w:t>
      </w:r>
      <w:proofErr w:type="spellEnd"/>
      <w:r w:rsidRPr="0066313B">
        <w:rPr>
          <w:lang w:val="en-US"/>
        </w:rPr>
        <w:t xml:space="preserve">, Chugai </w:t>
      </w:r>
      <w:proofErr w:type="spellStart"/>
      <w:r w:rsidRPr="0066313B">
        <w:rPr>
          <w:lang w:val="en-US"/>
        </w:rPr>
        <w:t>Pharma</w:t>
      </w:r>
      <w:proofErr w:type="spellEnd"/>
      <w:r w:rsidRPr="0066313B">
        <w:rPr>
          <w:lang w:val="en-US"/>
        </w:rPr>
        <w:t xml:space="preserve">, </w:t>
      </w:r>
      <w:proofErr w:type="spellStart"/>
      <w:r w:rsidRPr="0066313B">
        <w:rPr>
          <w:lang w:val="en-US"/>
        </w:rPr>
        <w:t>CytomX</w:t>
      </w:r>
      <w:proofErr w:type="spellEnd"/>
      <w:r w:rsidRPr="0066313B">
        <w:rPr>
          <w:lang w:val="en-US"/>
        </w:rPr>
        <w:t xml:space="preserve"> Therapeutics, </w:t>
      </w:r>
      <w:proofErr w:type="spellStart"/>
      <w:r w:rsidRPr="0066313B">
        <w:rPr>
          <w:lang w:val="en-US"/>
        </w:rPr>
        <w:t>Boehringer</w:t>
      </w:r>
      <w:proofErr w:type="spellEnd"/>
      <w:r w:rsidRPr="0066313B">
        <w:rPr>
          <w:lang w:val="en-US"/>
        </w:rPr>
        <w:t xml:space="preserve"> </w:t>
      </w:r>
      <w:proofErr w:type="spellStart"/>
      <w:r w:rsidRPr="0066313B">
        <w:rPr>
          <w:lang w:val="en-US"/>
        </w:rPr>
        <w:t>Ingelheim</w:t>
      </w:r>
      <w:proofErr w:type="spellEnd"/>
      <w:r w:rsidRPr="0066313B">
        <w:rPr>
          <w:lang w:val="en-US"/>
        </w:rPr>
        <w:t xml:space="preserve">, AstraZeneca, Pfizer, Bayer, </w:t>
      </w:r>
      <w:proofErr w:type="spellStart"/>
      <w:r w:rsidRPr="0066313B">
        <w:rPr>
          <w:lang w:val="en-US"/>
        </w:rPr>
        <w:t>Debiopharm</w:t>
      </w:r>
      <w:proofErr w:type="spellEnd"/>
      <w:r w:rsidRPr="0066313B">
        <w:rPr>
          <w:lang w:val="en-US"/>
        </w:rPr>
        <w:t xml:space="preserve"> Group, </w:t>
      </w:r>
      <w:proofErr w:type="spellStart"/>
      <w:r w:rsidRPr="0066313B">
        <w:rPr>
          <w:lang w:val="en-US"/>
        </w:rPr>
        <w:t>ArQule</w:t>
      </w:r>
      <w:proofErr w:type="spellEnd"/>
      <w:r w:rsidRPr="0066313B">
        <w:rPr>
          <w:lang w:val="en-US"/>
        </w:rPr>
        <w:t xml:space="preserve">, </w:t>
      </w:r>
      <w:proofErr w:type="gramStart"/>
      <w:r w:rsidRPr="0066313B">
        <w:rPr>
          <w:lang w:val="en-US"/>
        </w:rPr>
        <w:t>Genentech</w:t>
      </w:r>
      <w:proofErr w:type="gramEnd"/>
      <w:r w:rsidRPr="0066313B">
        <w:rPr>
          <w:lang w:val="en-US"/>
        </w:rPr>
        <w:t xml:space="preserve">. </w:t>
      </w:r>
    </w:p>
    <w:p w:rsidR="00FB4CBC" w:rsidRDefault="00FB4CBC" w:rsidP="00FB4CBC">
      <w:pPr>
        <w:spacing w:line="360" w:lineRule="auto"/>
        <w:jc w:val="both"/>
        <w:rPr>
          <w:lang w:val="en-US"/>
        </w:rPr>
      </w:pPr>
      <w:r w:rsidRPr="0066313B">
        <w:rPr>
          <w:lang w:val="en-US"/>
        </w:rPr>
        <w:t xml:space="preserve">D. </w:t>
      </w:r>
      <w:proofErr w:type="spellStart"/>
      <w:r w:rsidRPr="0066313B">
        <w:rPr>
          <w:lang w:val="en-US"/>
        </w:rPr>
        <w:t>Juric</w:t>
      </w:r>
      <w:proofErr w:type="spellEnd"/>
      <w:r w:rsidRPr="0066313B">
        <w:rPr>
          <w:lang w:val="en-US"/>
        </w:rPr>
        <w:t xml:space="preserve"> reports advisor/board membership receiving consulting fees from Novartis, Genentech, EMD </w:t>
      </w:r>
      <w:proofErr w:type="spellStart"/>
      <w:r w:rsidRPr="0066313B">
        <w:rPr>
          <w:lang w:val="en-US"/>
        </w:rPr>
        <w:t>Serono</w:t>
      </w:r>
      <w:proofErr w:type="spellEnd"/>
      <w:r w:rsidRPr="0066313B">
        <w:rPr>
          <w:lang w:val="en-US"/>
        </w:rPr>
        <w:t xml:space="preserve"> and Eisai. </w:t>
      </w:r>
    </w:p>
    <w:p w:rsidR="00FB4CBC" w:rsidRDefault="00FB4CBC" w:rsidP="00FB4CBC">
      <w:pPr>
        <w:spacing w:line="360" w:lineRule="auto"/>
        <w:jc w:val="both"/>
        <w:rPr>
          <w:lang w:val="en-US"/>
        </w:rPr>
      </w:pPr>
      <w:r w:rsidRPr="0066313B">
        <w:rPr>
          <w:lang w:val="en-US"/>
        </w:rPr>
        <w:t xml:space="preserve">I. </w:t>
      </w:r>
      <w:proofErr w:type="spellStart"/>
      <w:r w:rsidRPr="0066313B">
        <w:rPr>
          <w:lang w:val="en-US"/>
        </w:rPr>
        <w:t>Krop</w:t>
      </w:r>
      <w:proofErr w:type="spellEnd"/>
      <w:r w:rsidRPr="0066313B">
        <w:rPr>
          <w:lang w:val="en-US"/>
        </w:rPr>
        <w:t xml:space="preserve"> reports research support and consulting for Genentech/Roche and consulting for Daiichi/Sankyo. </w:t>
      </w:r>
    </w:p>
    <w:p w:rsidR="00FB4CBC" w:rsidRDefault="00FB4CBC" w:rsidP="00FB4CBC">
      <w:pPr>
        <w:spacing w:line="360" w:lineRule="auto"/>
        <w:jc w:val="both"/>
        <w:rPr>
          <w:lang w:val="en-US"/>
        </w:rPr>
      </w:pPr>
      <w:r w:rsidRPr="0066313B">
        <w:rPr>
          <w:lang w:val="en-US"/>
        </w:rPr>
        <w:t xml:space="preserve">C. </w:t>
      </w:r>
      <w:proofErr w:type="spellStart"/>
      <w:r w:rsidRPr="0066313B">
        <w:rPr>
          <w:lang w:val="en-US"/>
        </w:rPr>
        <w:t>Saura</w:t>
      </w:r>
      <w:proofErr w:type="spellEnd"/>
      <w:r w:rsidRPr="0066313B">
        <w:rPr>
          <w:lang w:val="en-US"/>
        </w:rPr>
        <w:t xml:space="preserve"> reports advisory role/consultant for Puma Biotechnology, Pfizer, Roche/Genentech and research funding from AstraZeneca and Genentech/Roche to her Institution (VHIO-</w:t>
      </w:r>
      <w:proofErr w:type="spellStart"/>
      <w:r w:rsidRPr="0066313B">
        <w:rPr>
          <w:lang w:val="en-US"/>
        </w:rPr>
        <w:t>Vall</w:t>
      </w:r>
      <w:proofErr w:type="spellEnd"/>
      <w:r w:rsidRPr="0066313B">
        <w:rPr>
          <w:lang w:val="en-US"/>
        </w:rPr>
        <w:t xml:space="preserve"> </w:t>
      </w:r>
      <w:proofErr w:type="spellStart"/>
      <w:r w:rsidRPr="0066313B">
        <w:rPr>
          <w:lang w:val="en-US"/>
        </w:rPr>
        <w:t>d’Hebron</w:t>
      </w:r>
      <w:proofErr w:type="spellEnd"/>
      <w:r w:rsidRPr="0066313B">
        <w:rPr>
          <w:lang w:val="en-US"/>
        </w:rPr>
        <w:t xml:space="preserve"> University Hospital). </w:t>
      </w:r>
    </w:p>
    <w:p w:rsidR="00FB4CBC" w:rsidRDefault="00FB4CBC" w:rsidP="00FB4CBC">
      <w:pPr>
        <w:spacing w:line="360" w:lineRule="auto"/>
        <w:jc w:val="both"/>
        <w:rPr>
          <w:lang w:val="en-US"/>
        </w:rPr>
      </w:pPr>
      <w:r w:rsidRPr="0066313B">
        <w:rPr>
          <w:lang w:val="en-US"/>
        </w:rPr>
        <w:t xml:space="preserve">F. Cardoso reports consulting for Amgen, </w:t>
      </w:r>
      <w:proofErr w:type="spellStart"/>
      <w:r w:rsidRPr="0066313B">
        <w:rPr>
          <w:lang w:val="en-US"/>
        </w:rPr>
        <w:t>Astellas</w:t>
      </w:r>
      <w:proofErr w:type="spellEnd"/>
      <w:r w:rsidRPr="0066313B">
        <w:rPr>
          <w:lang w:val="en-US"/>
        </w:rPr>
        <w:t>/</w:t>
      </w:r>
      <w:proofErr w:type="spellStart"/>
      <w:r w:rsidRPr="0066313B">
        <w:rPr>
          <w:lang w:val="en-US"/>
        </w:rPr>
        <w:t>Medivation</w:t>
      </w:r>
      <w:proofErr w:type="spellEnd"/>
      <w:r w:rsidRPr="0066313B">
        <w:rPr>
          <w:lang w:val="en-US"/>
        </w:rPr>
        <w:t xml:space="preserve">, AstraZeneca, </w:t>
      </w:r>
      <w:proofErr w:type="spellStart"/>
      <w:r w:rsidRPr="0066313B">
        <w:rPr>
          <w:lang w:val="en-US"/>
        </w:rPr>
        <w:t>Celgene</w:t>
      </w:r>
      <w:proofErr w:type="spellEnd"/>
      <w:r w:rsidRPr="0066313B">
        <w:rPr>
          <w:lang w:val="en-US"/>
        </w:rPr>
        <w:t xml:space="preserve">, Daiichi-Sankyo, Eisai, GE Oncology, </w:t>
      </w:r>
      <w:proofErr w:type="spellStart"/>
      <w:r w:rsidRPr="0066313B">
        <w:rPr>
          <w:lang w:val="en-US"/>
        </w:rPr>
        <w:t>Genetech</w:t>
      </w:r>
      <w:proofErr w:type="spellEnd"/>
      <w:r w:rsidRPr="0066313B">
        <w:rPr>
          <w:lang w:val="en-US"/>
        </w:rPr>
        <w:t xml:space="preserve">, GlaxoSmithKline (GSK), </w:t>
      </w:r>
      <w:proofErr w:type="spellStart"/>
      <w:r w:rsidRPr="0066313B">
        <w:rPr>
          <w:lang w:val="en-US"/>
        </w:rPr>
        <w:t>Macrogenics</w:t>
      </w:r>
      <w:proofErr w:type="spellEnd"/>
      <w:r w:rsidRPr="0066313B">
        <w:rPr>
          <w:lang w:val="en-US"/>
        </w:rPr>
        <w:t xml:space="preserve">, Merck-Sharp, </w:t>
      </w:r>
      <w:proofErr w:type="spellStart"/>
      <w:r w:rsidRPr="0066313B">
        <w:rPr>
          <w:lang w:val="en-US"/>
        </w:rPr>
        <w:t>Merus</w:t>
      </w:r>
      <w:proofErr w:type="spellEnd"/>
      <w:r w:rsidRPr="0066313B">
        <w:rPr>
          <w:lang w:val="en-US"/>
        </w:rPr>
        <w:t xml:space="preserve"> BV, </w:t>
      </w:r>
      <w:proofErr w:type="spellStart"/>
      <w:r w:rsidRPr="0066313B">
        <w:rPr>
          <w:lang w:val="en-US"/>
        </w:rPr>
        <w:t>Mylan</w:t>
      </w:r>
      <w:proofErr w:type="spellEnd"/>
      <w:r w:rsidRPr="0066313B">
        <w:rPr>
          <w:lang w:val="en-US"/>
        </w:rPr>
        <w:t xml:space="preserve">, </w:t>
      </w:r>
      <w:proofErr w:type="spellStart"/>
      <w:r w:rsidRPr="0066313B">
        <w:rPr>
          <w:lang w:val="en-US"/>
        </w:rPr>
        <w:t>Mundipharma</w:t>
      </w:r>
      <w:proofErr w:type="spellEnd"/>
      <w:r w:rsidRPr="0066313B">
        <w:rPr>
          <w:lang w:val="en-US"/>
        </w:rPr>
        <w:t xml:space="preserve">, Novartis, Pfizer, Pierre-Fabre, Roche, </w:t>
      </w:r>
      <w:proofErr w:type="spellStart"/>
      <w:r w:rsidRPr="0066313B">
        <w:rPr>
          <w:lang w:val="en-US"/>
        </w:rPr>
        <w:t>Sanofi</w:t>
      </w:r>
      <w:proofErr w:type="spellEnd"/>
      <w:r w:rsidRPr="0066313B">
        <w:rPr>
          <w:lang w:val="en-US"/>
        </w:rPr>
        <w:t xml:space="preserve">, Seattle Genetics, </w:t>
      </w:r>
      <w:proofErr w:type="spellStart"/>
      <w:r w:rsidRPr="0066313B">
        <w:rPr>
          <w:lang w:val="en-US"/>
        </w:rPr>
        <w:t>Teva</w:t>
      </w:r>
      <w:proofErr w:type="spellEnd"/>
      <w:r w:rsidRPr="0066313B">
        <w:rPr>
          <w:lang w:val="en-US"/>
        </w:rPr>
        <w:t>.</w:t>
      </w:r>
    </w:p>
    <w:p w:rsidR="00FB4CBC" w:rsidRDefault="00FB4CBC" w:rsidP="00FB4CBC">
      <w:pPr>
        <w:spacing w:line="360" w:lineRule="auto"/>
        <w:jc w:val="both"/>
        <w:rPr>
          <w:lang w:val="en-US"/>
        </w:rPr>
      </w:pPr>
      <w:r w:rsidRPr="0066313B">
        <w:rPr>
          <w:lang w:val="en-US"/>
        </w:rPr>
        <w:t xml:space="preserve"> S. </w:t>
      </w:r>
      <w:proofErr w:type="spellStart"/>
      <w:r w:rsidRPr="0066313B">
        <w:rPr>
          <w:lang w:val="en-US"/>
        </w:rPr>
        <w:t>Loibl</w:t>
      </w:r>
      <w:proofErr w:type="spellEnd"/>
      <w:r w:rsidRPr="0066313B">
        <w:rPr>
          <w:lang w:val="en-US"/>
        </w:rPr>
        <w:t xml:space="preserve"> reports that her Institution (GBG) receives honoraria from Novartis, Pfizer, Roche, Seattle Genetics and research grants from </w:t>
      </w:r>
      <w:proofErr w:type="spellStart"/>
      <w:r w:rsidRPr="0066313B">
        <w:rPr>
          <w:lang w:val="en-US"/>
        </w:rPr>
        <w:t>AbbVie</w:t>
      </w:r>
      <w:proofErr w:type="spellEnd"/>
      <w:r w:rsidRPr="0066313B">
        <w:rPr>
          <w:lang w:val="en-US"/>
        </w:rPr>
        <w:t xml:space="preserve">, Amgen, Astra Zeneca, </w:t>
      </w:r>
      <w:proofErr w:type="spellStart"/>
      <w:r w:rsidRPr="0066313B">
        <w:rPr>
          <w:lang w:val="en-US"/>
        </w:rPr>
        <w:t>Celgene</w:t>
      </w:r>
      <w:proofErr w:type="spellEnd"/>
      <w:r w:rsidRPr="0066313B">
        <w:rPr>
          <w:lang w:val="en-US"/>
        </w:rPr>
        <w:t xml:space="preserve">, Novartis, Pfizer, Roche, Seattle Genetics, </w:t>
      </w:r>
      <w:proofErr w:type="spellStart"/>
      <w:r w:rsidRPr="0066313B">
        <w:rPr>
          <w:lang w:val="en-US"/>
        </w:rPr>
        <w:t>Teva</w:t>
      </w:r>
      <w:proofErr w:type="spellEnd"/>
      <w:r w:rsidRPr="0066313B">
        <w:rPr>
          <w:lang w:val="en-US"/>
        </w:rPr>
        <w:t xml:space="preserve">, </w:t>
      </w:r>
      <w:proofErr w:type="spellStart"/>
      <w:proofErr w:type="gramStart"/>
      <w:r w:rsidRPr="0066313B">
        <w:rPr>
          <w:lang w:val="en-US"/>
        </w:rPr>
        <w:t>Vifor</w:t>
      </w:r>
      <w:proofErr w:type="spellEnd"/>
      <w:proofErr w:type="gramEnd"/>
      <w:r w:rsidRPr="0066313B">
        <w:rPr>
          <w:lang w:val="en-US"/>
        </w:rPr>
        <w:t>.</w:t>
      </w:r>
    </w:p>
    <w:p w:rsidR="00FB4CBC" w:rsidRDefault="00FB4CBC" w:rsidP="00FB4CBC">
      <w:pPr>
        <w:spacing w:line="360" w:lineRule="auto"/>
        <w:jc w:val="both"/>
        <w:rPr>
          <w:lang w:val="en-US"/>
        </w:rPr>
      </w:pPr>
      <w:r w:rsidRPr="0066313B">
        <w:rPr>
          <w:lang w:val="en-US"/>
        </w:rPr>
        <w:t xml:space="preserve"> F. Andre reports research grants from AZ, Novartis, Pfizer, Lilly, </w:t>
      </w:r>
      <w:proofErr w:type="gramStart"/>
      <w:r w:rsidRPr="0066313B">
        <w:rPr>
          <w:lang w:val="en-US"/>
        </w:rPr>
        <w:t>Roche</w:t>
      </w:r>
      <w:proofErr w:type="gramEnd"/>
      <w:r w:rsidRPr="0066313B">
        <w:rPr>
          <w:lang w:val="en-US"/>
        </w:rPr>
        <w:t xml:space="preserve">. </w:t>
      </w:r>
    </w:p>
    <w:p w:rsidR="00FB4CBC" w:rsidRDefault="00FB4CBC" w:rsidP="00FB4CBC">
      <w:pPr>
        <w:spacing w:line="360" w:lineRule="auto"/>
        <w:jc w:val="both"/>
        <w:rPr>
          <w:lang w:val="en-US"/>
        </w:rPr>
      </w:pPr>
      <w:r w:rsidRPr="0066313B">
        <w:rPr>
          <w:lang w:val="en-US"/>
        </w:rPr>
        <w:lastRenderedPageBreak/>
        <w:t xml:space="preserve">N. C. Turner reports advisory board honoraria from Roche, Novartis, AstraZeneca, Pfizer, </w:t>
      </w:r>
      <w:proofErr w:type="spellStart"/>
      <w:r w:rsidRPr="0066313B">
        <w:rPr>
          <w:lang w:val="en-US"/>
        </w:rPr>
        <w:t>Tesaro</w:t>
      </w:r>
      <w:proofErr w:type="spellEnd"/>
      <w:r w:rsidRPr="0066313B">
        <w:rPr>
          <w:lang w:val="en-US"/>
        </w:rPr>
        <w:t xml:space="preserve">, </w:t>
      </w:r>
      <w:proofErr w:type="spellStart"/>
      <w:r w:rsidRPr="0066313B">
        <w:rPr>
          <w:lang w:val="en-US"/>
        </w:rPr>
        <w:t>Synthon</w:t>
      </w:r>
      <w:proofErr w:type="spellEnd"/>
      <w:r w:rsidRPr="0066313B">
        <w:rPr>
          <w:lang w:val="en-US"/>
        </w:rPr>
        <w:t xml:space="preserve">, Puma and research funding from Roche, AstraZeneca, Pfizer, </w:t>
      </w:r>
      <w:proofErr w:type="spellStart"/>
      <w:proofErr w:type="gramStart"/>
      <w:r w:rsidRPr="0066313B">
        <w:rPr>
          <w:lang w:val="en-US"/>
        </w:rPr>
        <w:t>Servier</w:t>
      </w:r>
      <w:proofErr w:type="spellEnd"/>
      <w:proofErr w:type="gramEnd"/>
    </w:p>
    <w:p w:rsidR="00FB4CBC" w:rsidRPr="00031F07" w:rsidRDefault="00FB4CBC" w:rsidP="00FB4CBC">
      <w:pPr>
        <w:spacing w:line="360" w:lineRule="auto"/>
        <w:jc w:val="both"/>
        <w:rPr>
          <w:lang w:val="en-US"/>
        </w:rPr>
      </w:pPr>
      <w:r w:rsidRPr="0066313B">
        <w:rPr>
          <w:lang w:val="en-US"/>
        </w:rPr>
        <w:t>All remaining authors have declared no conflicts of interest</w:t>
      </w:r>
      <w:r>
        <w:rPr>
          <w:lang w:val="en-US"/>
        </w:rPr>
        <w:t>.</w:t>
      </w:r>
    </w:p>
    <w:p w:rsidR="00FB4CBC" w:rsidRPr="0066313B" w:rsidRDefault="00FB4CBC" w:rsidP="00FB4CBC">
      <w:pPr>
        <w:spacing w:line="360" w:lineRule="auto"/>
        <w:jc w:val="both"/>
      </w:pPr>
      <w:r w:rsidRPr="00FB4CBC">
        <w:rPr>
          <w:lang w:val="en-US"/>
        </w:rPr>
        <w:t xml:space="preserve"> </w:t>
      </w:r>
      <w:proofErr w:type="spellStart"/>
      <w:r w:rsidRPr="0066313B">
        <w:t>References</w:t>
      </w:r>
      <w:proofErr w:type="spellEnd"/>
      <w:r w:rsidRPr="0066313B">
        <w:t>:</w:t>
      </w:r>
    </w:p>
    <w:p w:rsidR="00FB4CBC" w:rsidRPr="0066313B" w:rsidRDefault="00FB4CBC" w:rsidP="00FB4CBC">
      <w:pPr>
        <w:pStyle w:val="Bibliographie"/>
        <w:rPr>
          <w:rFonts w:cs="Times New Roman"/>
        </w:rPr>
      </w:pPr>
      <w:r>
        <w:rPr>
          <w:rFonts w:ascii="Times New Roman" w:hAnsi="Times New Roman" w:cs="Times New Roman"/>
          <w:sz w:val="24"/>
          <w:szCs w:val="24"/>
        </w:rPr>
        <w:t>1</w:t>
      </w:r>
      <w:r w:rsidRPr="0066313B">
        <w:rPr>
          <w:rFonts w:cs="Times New Roman"/>
        </w:rPr>
        <w:t xml:space="preserve">. </w:t>
      </w:r>
      <w:r w:rsidRPr="0066313B">
        <w:rPr>
          <w:rFonts w:cs="Times New Roman"/>
        </w:rPr>
        <w:tab/>
        <w:t xml:space="preserve">André F, Bachelot T, </w:t>
      </w:r>
      <w:proofErr w:type="spellStart"/>
      <w:r w:rsidRPr="0066313B">
        <w:rPr>
          <w:rFonts w:cs="Times New Roman"/>
        </w:rPr>
        <w:t>Commo</w:t>
      </w:r>
      <w:proofErr w:type="spellEnd"/>
      <w:r w:rsidRPr="0066313B">
        <w:rPr>
          <w:rFonts w:cs="Times New Roman"/>
        </w:rPr>
        <w:t xml:space="preserve"> F, </w:t>
      </w:r>
      <w:proofErr w:type="spellStart"/>
      <w:r w:rsidRPr="0066313B">
        <w:rPr>
          <w:rFonts w:cs="Times New Roman"/>
        </w:rPr>
        <w:t>Campone</w:t>
      </w:r>
      <w:proofErr w:type="spellEnd"/>
      <w:r w:rsidRPr="0066313B">
        <w:rPr>
          <w:rFonts w:cs="Times New Roman"/>
        </w:rPr>
        <w:t xml:space="preserve"> M, </w:t>
      </w:r>
      <w:proofErr w:type="spellStart"/>
      <w:r w:rsidRPr="0066313B">
        <w:rPr>
          <w:rFonts w:cs="Times New Roman"/>
        </w:rPr>
        <w:t>Arnedos</w:t>
      </w:r>
      <w:proofErr w:type="spellEnd"/>
      <w:r w:rsidRPr="0066313B">
        <w:rPr>
          <w:rFonts w:cs="Times New Roman"/>
        </w:rPr>
        <w:t xml:space="preserve"> M, </w:t>
      </w:r>
      <w:proofErr w:type="spellStart"/>
      <w:r w:rsidRPr="0066313B">
        <w:rPr>
          <w:rFonts w:cs="Times New Roman"/>
        </w:rPr>
        <w:t>Dieras</w:t>
      </w:r>
      <w:proofErr w:type="spellEnd"/>
      <w:r w:rsidRPr="0066313B">
        <w:rPr>
          <w:rFonts w:cs="Times New Roman"/>
        </w:rPr>
        <w:t xml:space="preserve"> V, et al. </w:t>
      </w:r>
      <w:r w:rsidRPr="0066313B">
        <w:rPr>
          <w:rFonts w:cs="Times New Roman"/>
          <w:lang w:val="en-US"/>
        </w:rPr>
        <w:t xml:space="preserve">Comparative genomic </w:t>
      </w:r>
      <w:proofErr w:type="spellStart"/>
      <w:r w:rsidRPr="0066313B">
        <w:rPr>
          <w:rFonts w:cs="Times New Roman"/>
          <w:lang w:val="en-US"/>
        </w:rPr>
        <w:t>hybridisation</w:t>
      </w:r>
      <w:proofErr w:type="spellEnd"/>
      <w:r w:rsidRPr="0066313B">
        <w:rPr>
          <w:rFonts w:cs="Times New Roman"/>
          <w:lang w:val="en-US"/>
        </w:rPr>
        <w:t xml:space="preserve"> array and DNA sequencing to direct treatment of metastatic breast cancer: a </w:t>
      </w:r>
      <w:proofErr w:type="spellStart"/>
      <w:r w:rsidRPr="0066313B">
        <w:rPr>
          <w:rFonts w:cs="Times New Roman"/>
          <w:lang w:val="en-US"/>
        </w:rPr>
        <w:t>multicentre</w:t>
      </w:r>
      <w:proofErr w:type="spellEnd"/>
      <w:r w:rsidRPr="0066313B">
        <w:rPr>
          <w:rFonts w:cs="Times New Roman"/>
          <w:lang w:val="en-US"/>
        </w:rPr>
        <w:t xml:space="preserve">, prospective trial (SAFIR01/UNICANCER). </w:t>
      </w:r>
      <w:r w:rsidRPr="0066313B">
        <w:rPr>
          <w:rFonts w:cs="Times New Roman"/>
        </w:rPr>
        <w:t xml:space="preserve">Lancet </w:t>
      </w:r>
      <w:proofErr w:type="spellStart"/>
      <w:r w:rsidRPr="0066313B">
        <w:rPr>
          <w:rFonts w:cs="Times New Roman"/>
        </w:rPr>
        <w:t>Oncol</w:t>
      </w:r>
      <w:proofErr w:type="spellEnd"/>
      <w:r w:rsidRPr="0066313B">
        <w:rPr>
          <w:rFonts w:cs="Times New Roman"/>
        </w:rPr>
        <w:t xml:space="preserve">. 2014 Mar 1;15(3):267–74. </w:t>
      </w:r>
    </w:p>
    <w:p w:rsidR="00FB4CBC" w:rsidRPr="0066313B" w:rsidRDefault="00FB4CBC" w:rsidP="00FB4CBC">
      <w:pPr>
        <w:pStyle w:val="Bibliographie"/>
        <w:rPr>
          <w:rFonts w:cs="Times New Roman"/>
        </w:rPr>
      </w:pPr>
      <w:r w:rsidRPr="0066313B">
        <w:rPr>
          <w:rFonts w:cs="Times New Roman"/>
        </w:rPr>
        <w:t xml:space="preserve">2. </w:t>
      </w:r>
      <w:r w:rsidRPr="0066313B">
        <w:rPr>
          <w:rFonts w:cs="Times New Roman"/>
        </w:rPr>
        <w:tab/>
        <w:t xml:space="preserve">Le </w:t>
      </w:r>
      <w:proofErr w:type="spellStart"/>
      <w:r w:rsidRPr="0066313B">
        <w:rPr>
          <w:rFonts w:cs="Times New Roman"/>
        </w:rPr>
        <w:t>Tourneau</w:t>
      </w:r>
      <w:proofErr w:type="spellEnd"/>
      <w:r w:rsidRPr="0066313B">
        <w:rPr>
          <w:rFonts w:cs="Times New Roman"/>
        </w:rPr>
        <w:t xml:space="preserve"> C, Delord J-P, Gonçalves A, </w:t>
      </w:r>
      <w:proofErr w:type="spellStart"/>
      <w:r w:rsidRPr="0066313B">
        <w:rPr>
          <w:rFonts w:cs="Times New Roman"/>
        </w:rPr>
        <w:t>Gavoille</w:t>
      </w:r>
      <w:proofErr w:type="spellEnd"/>
      <w:r w:rsidRPr="0066313B">
        <w:rPr>
          <w:rFonts w:cs="Times New Roman"/>
        </w:rPr>
        <w:t xml:space="preserve"> C, </w:t>
      </w:r>
      <w:proofErr w:type="spellStart"/>
      <w:r w:rsidRPr="0066313B">
        <w:rPr>
          <w:rFonts w:cs="Times New Roman"/>
        </w:rPr>
        <w:t>Dubot</w:t>
      </w:r>
      <w:proofErr w:type="spellEnd"/>
      <w:r w:rsidRPr="0066313B">
        <w:rPr>
          <w:rFonts w:cs="Times New Roman"/>
        </w:rPr>
        <w:t xml:space="preserve"> C, Isambert N, et al. </w:t>
      </w:r>
      <w:r w:rsidRPr="0066313B">
        <w:rPr>
          <w:rFonts w:cs="Times New Roman"/>
          <w:lang w:val="en-US"/>
        </w:rPr>
        <w:t xml:space="preserve">Molecularly targeted therapy based on </w:t>
      </w:r>
      <w:proofErr w:type="spellStart"/>
      <w:r w:rsidRPr="0066313B">
        <w:rPr>
          <w:rFonts w:cs="Times New Roman"/>
          <w:lang w:val="en-US"/>
        </w:rPr>
        <w:t>tumour</w:t>
      </w:r>
      <w:proofErr w:type="spellEnd"/>
      <w:r w:rsidRPr="0066313B">
        <w:rPr>
          <w:rFonts w:cs="Times New Roman"/>
          <w:lang w:val="en-US"/>
        </w:rPr>
        <w:t xml:space="preserve"> molecular profiling versus conventional therapy for advanced cancer (SHIVA): a </w:t>
      </w:r>
      <w:proofErr w:type="spellStart"/>
      <w:r w:rsidRPr="0066313B">
        <w:rPr>
          <w:rFonts w:cs="Times New Roman"/>
          <w:lang w:val="en-US"/>
        </w:rPr>
        <w:t>multicentre</w:t>
      </w:r>
      <w:proofErr w:type="spellEnd"/>
      <w:r w:rsidRPr="0066313B">
        <w:rPr>
          <w:rFonts w:cs="Times New Roman"/>
          <w:lang w:val="en-US"/>
        </w:rPr>
        <w:t xml:space="preserve">, open-label, proof-of-concept, </w:t>
      </w:r>
      <w:proofErr w:type="spellStart"/>
      <w:r w:rsidRPr="0066313B">
        <w:rPr>
          <w:rFonts w:cs="Times New Roman"/>
          <w:lang w:val="en-US"/>
        </w:rPr>
        <w:t>randomised</w:t>
      </w:r>
      <w:proofErr w:type="spellEnd"/>
      <w:r w:rsidRPr="0066313B">
        <w:rPr>
          <w:rFonts w:cs="Times New Roman"/>
          <w:lang w:val="en-US"/>
        </w:rPr>
        <w:t xml:space="preserve">, controlled phase 2 trial. </w:t>
      </w:r>
      <w:r w:rsidRPr="0066313B">
        <w:rPr>
          <w:rFonts w:cs="Times New Roman"/>
        </w:rPr>
        <w:t xml:space="preserve">Lancet </w:t>
      </w:r>
      <w:proofErr w:type="spellStart"/>
      <w:r w:rsidRPr="0066313B">
        <w:rPr>
          <w:rFonts w:cs="Times New Roman"/>
        </w:rPr>
        <w:t>Oncol</w:t>
      </w:r>
      <w:proofErr w:type="spellEnd"/>
      <w:r w:rsidRPr="0066313B">
        <w:rPr>
          <w:rFonts w:cs="Times New Roman"/>
        </w:rPr>
        <w:t xml:space="preserve">. 2015 Oct;16(13):1324–34. </w:t>
      </w:r>
    </w:p>
    <w:p w:rsidR="00FB4CBC" w:rsidRPr="0066313B" w:rsidRDefault="00FB4CBC" w:rsidP="00FB4CBC">
      <w:pPr>
        <w:pStyle w:val="Bibliographie"/>
        <w:rPr>
          <w:rFonts w:cs="Times New Roman"/>
          <w:lang w:val="en-US"/>
        </w:rPr>
      </w:pPr>
      <w:r w:rsidRPr="0066313B">
        <w:rPr>
          <w:rFonts w:cs="Times New Roman"/>
        </w:rPr>
        <w:t xml:space="preserve">3. </w:t>
      </w:r>
      <w:r w:rsidRPr="0066313B">
        <w:rPr>
          <w:rFonts w:cs="Times New Roman"/>
        </w:rPr>
        <w:tab/>
      </w:r>
      <w:proofErr w:type="spellStart"/>
      <w:r w:rsidRPr="0066313B">
        <w:rPr>
          <w:rFonts w:cs="Times New Roman"/>
        </w:rPr>
        <w:t>Massard</w:t>
      </w:r>
      <w:proofErr w:type="spellEnd"/>
      <w:r w:rsidRPr="0066313B">
        <w:rPr>
          <w:rFonts w:cs="Times New Roman"/>
        </w:rPr>
        <w:t xml:space="preserve"> C, Michiels S, Ferté C, Le </w:t>
      </w:r>
      <w:proofErr w:type="spellStart"/>
      <w:r w:rsidRPr="0066313B">
        <w:rPr>
          <w:rFonts w:cs="Times New Roman"/>
        </w:rPr>
        <w:t>Deley</w:t>
      </w:r>
      <w:proofErr w:type="spellEnd"/>
      <w:r w:rsidRPr="0066313B">
        <w:rPr>
          <w:rFonts w:cs="Times New Roman"/>
        </w:rPr>
        <w:t xml:space="preserve"> M-C, Lacroix L, </w:t>
      </w:r>
      <w:proofErr w:type="spellStart"/>
      <w:r w:rsidRPr="0066313B">
        <w:rPr>
          <w:rFonts w:cs="Times New Roman"/>
        </w:rPr>
        <w:t>Hollebecque</w:t>
      </w:r>
      <w:proofErr w:type="spellEnd"/>
      <w:r w:rsidRPr="0066313B">
        <w:rPr>
          <w:rFonts w:cs="Times New Roman"/>
        </w:rPr>
        <w:t xml:space="preserve"> A, et al. </w:t>
      </w:r>
      <w:r w:rsidRPr="0066313B">
        <w:rPr>
          <w:rFonts w:cs="Times New Roman"/>
          <w:lang w:val="en-US"/>
        </w:rPr>
        <w:t xml:space="preserve">High-Throughput Genomics and Clinical Outcome in Hard-to-Treat Advanced Cancers: Results of the MOSCATO 01 Trial. </w:t>
      </w:r>
      <w:proofErr w:type="gramStart"/>
      <w:r w:rsidRPr="0066313B">
        <w:rPr>
          <w:rFonts w:cs="Times New Roman"/>
          <w:lang w:val="en-US"/>
        </w:rPr>
        <w:t xml:space="preserve">Cancer </w:t>
      </w:r>
      <w:proofErr w:type="spellStart"/>
      <w:r w:rsidRPr="0066313B">
        <w:rPr>
          <w:rFonts w:cs="Times New Roman"/>
          <w:lang w:val="en-US"/>
        </w:rPr>
        <w:t>Discov</w:t>
      </w:r>
      <w:proofErr w:type="spellEnd"/>
      <w:r w:rsidRPr="0066313B">
        <w:rPr>
          <w:rFonts w:cs="Times New Roman"/>
          <w:lang w:val="en-US"/>
        </w:rPr>
        <w:t>.</w:t>
      </w:r>
      <w:proofErr w:type="gramEnd"/>
      <w:r w:rsidRPr="0066313B">
        <w:rPr>
          <w:rFonts w:cs="Times New Roman"/>
          <w:lang w:val="en-US"/>
        </w:rPr>
        <w:t xml:space="preserve"> 2017 Apr 1; </w:t>
      </w:r>
    </w:p>
    <w:p w:rsidR="00FB4CBC" w:rsidRPr="0066313B" w:rsidRDefault="00FB4CBC" w:rsidP="00FB4CBC">
      <w:pPr>
        <w:pStyle w:val="Bibliographie"/>
        <w:rPr>
          <w:rFonts w:cs="Times New Roman"/>
          <w:lang w:val="en-US"/>
        </w:rPr>
      </w:pPr>
      <w:r w:rsidRPr="0066313B">
        <w:rPr>
          <w:rFonts w:cs="Times New Roman"/>
          <w:lang w:val="en-US"/>
        </w:rPr>
        <w:t xml:space="preserve">4. </w:t>
      </w:r>
      <w:r w:rsidRPr="0066313B">
        <w:rPr>
          <w:rFonts w:cs="Times New Roman"/>
          <w:lang w:val="en-US"/>
        </w:rPr>
        <w:tab/>
        <w:t xml:space="preserve">Andre F, </w:t>
      </w:r>
      <w:proofErr w:type="spellStart"/>
      <w:r w:rsidRPr="0066313B">
        <w:rPr>
          <w:rFonts w:cs="Times New Roman"/>
          <w:lang w:val="en-US"/>
        </w:rPr>
        <w:t>Mardis</w:t>
      </w:r>
      <w:proofErr w:type="spellEnd"/>
      <w:r w:rsidRPr="0066313B">
        <w:rPr>
          <w:rFonts w:cs="Times New Roman"/>
          <w:lang w:val="en-US"/>
        </w:rPr>
        <w:t xml:space="preserve"> E, </w:t>
      </w:r>
      <w:proofErr w:type="spellStart"/>
      <w:r w:rsidRPr="0066313B">
        <w:rPr>
          <w:rFonts w:cs="Times New Roman"/>
          <w:lang w:val="en-US"/>
        </w:rPr>
        <w:t>Salm</w:t>
      </w:r>
      <w:proofErr w:type="spellEnd"/>
      <w:r w:rsidRPr="0066313B">
        <w:rPr>
          <w:rFonts w:cs="Times New Roman"/>
          <w:lang w:val="en-US"/>
        </w:rPr>
        <w:t xml:space="preserve"> M, </w:t>
      </w:r>
      <w:proofErr w:type="spellStart"/>
      <w:r w:rsidRPr="0066313B">
        <w:rPr>
          <w:rFonts w:cs="Times New Roman"/>
          <w:lang w:val="en-US"/>
        </w:rPr>
        <w:t>Soria</w:t>
      </w:r>
      <w:proofErr w:type="spellEnd"/>
      <w:r w:rsidRPr="0066313B">
        <w:rPr>
          <w:rFonts w:cs="Times New Roman"/>
          <w:lang w:val="en-US"/>
        </w:rPr>
        <w:t xml:space="preserve"> J-C, </w:t>
      </w:r>
      <w:proofErr w:type="spellStart"/>
      <w:r w:rsidRPr="0066313B">
        <w:rPr>
          <w:rFonts w:cs="Times New Roman"/>
          <w:lang w:val="en-US"/>
        </w:rPr>
        <w:t>Siu</w:t>
      </w:r>
      <w:proofErr w:type="spellEnd"/>
      <w:r w:rsidRPr="0066313B">
        <w:rPr>
          <w:rFonts w:cs="Times New Roman"/>
          <w:lang w:val="en-US"/>
        </w:rPr>
        <w:t xml:space="preserve"> LL, Swanton C. Prioritizing targets for precision cancer medicine. Ann </w:t>
      </w:r>
      <w:proofErr w:type="spellStart"/>
      <w:r w:rsidRPr="0066313B">
        <w:rPr>
          <w:rFonts w:cs="Times New Roman"/>
          <w:lang w:val="en-US"/>
        </w:rPr>
        <w:t>Oncol</w:t>
      </w:r>
      <w:proofErr w:type="spellEnd"/>
      <w:r w:rsidRPr="0066313B">
        <w:rPr>
          <w:rFonts w:cs="Times New Roman"/>
          <w:lang w:val="en-US"/>
        </w:rPr>
        <w:t>. 2014 Dec 1</w:t>
      </w:r>
      <w:proofErr w:type="gramStart"/>
      <w:r w:rsidRPr="0066313B">
        <w:rPr>
          <w:rFonts w:cs="Times New Roman"/>
          <w:lang w:val="en-US"/>
        </w:rPr>
        <w:t>;25</w:t>
      </w:r>
      <w:proofErr w:type="gramEnd"/>
      <w:r w:rsidRPr="0066313B">
        <w:rPr>
          <w:rFonts w:cs="Times New Roman"/>
          <w:lang w:val="en-US"/>
        </w:rPr>
        <w:t xml:space="preserve">(12):2295–303. </w:t>
      </w:r>
    </w:p>
    <w:p w:rsidR="00FB4CBC" w:rsidRPr="0066313B" w:rsidRDefault="00FB4CBC" w:rsidP="00FB4CBC">
      <w:pPr>
        <w:pStyle w:val="Bibliographie"/>
        <w:rPr>
          <w:rFonts w:cs="Times New Roman"/>
          <w:lang w:val="en-US"/>
        </w:rPr>
      </w:pPr>
      <w:r w:rsidRPr="0066313B">
        <w:rPr>
          <w:rFonts w:cs="Times New Roman"/>
          <w:lang w:val="en-US"/>
        </w:rPr>
        <w:t xml:space="preserve">5. </w:t>
      </w:r>
      <w:r w:rsidRPr="0066313B">
        <w:rPr>
          <w:rFonts w:cs="Times New Roman"/>
          <w:lang w:val="en-US"/>
        </w:rPr>
        <w:tab/>
        <w:t xml:space="preserve">Van Allen EM, </w:t>
      </w:r>
      <w:proofErr w:type="spellStart"/>
      <w:r w:rsidRPr="0066313B">
        <w:rPr>
          <w:rFonts w:cs="Times New Roman"/>
          <w:lang w:val="en-US"/>
        </w:rPr>
        <w:t>Wagle</w:t>
      </w:r>
      <w:proofErr w:type="spellEnd"/>
      <w:r w:rsidRPr="0066313B">
        <w:rPr>
          <w:rFonts w:cs="Times New Roman"/>
          <w:lang w:val="en-US"/>
        </w:rPr>
        <w:t xml:space="preserve"> N, </w:t>
      </w:r>
      <w:proofErr w:type="spellStart"/>
      <w:r w:rsidRPr="0066313B">
        <w:rPr>
          <w:rFonts w:cs="Times New Roman"/>
          <w:lang w:val="en-US"/>
        </w:rPr>
        <w:t>Stojanov</w:t>
      </w:r>
      <w:proofErr w:type="spellEnd"/>
      <w:r w:rsidRPr="0066313B">
        <w:rPr>
          <w:rFonts w:cs="Times New Roman"/>
          <w:lang w:val="en-US"/>
        </w:rPr>
        <w:t xml:space="preserve"> P, Perrin DL, </w:t>
      </w:r>
      <w:proofErr w:type="spellStart"/>
      <w:r w:rsidRPr="0066313B">
        <w:rPr>
          <w:rFonts w:cs="Times New Roman"/>
          <w:lang w:val="en-US"/>
        </w:rPr>
        <w:t>Cibulskis</w:t>
      </w:r>
      <w:proofErr w:type="spellEnd"/>
      <w:r w:rsidRPr="0066313B">
        <w:rPr>
          <w:rFonts w:cs="Times New Roman"/>
          <w:lang w:val="en-US"/>
        </w:rPr>
        <w:t xml:space="preserve"> K, Marlow S, et al. Whole-</w:t>
      </w:r>
      <w:proofErr w:type="spellStart"/>
      <w:r w:rsidRPr="0066313B">
        <w:rPr>
          <w:rFonts w:cs="Times New Roman"/>
          <w:lang w:val="en-US"/>
        </w:rPr>
        <w:t>exome</w:t>
      </w:r>
      <w:proofErr w:type="spellEnd"/>
      <w:r w:rsidRPr="0066313B">
        <w:rPr>
          <w:rFonts w:cs="Times New Roman"/>
          <w:lang w:val="en-US"/>
        </w:rPr>
        <w:t xml:space="preserve"> sequencing and clinical interpretation of formalin-fixed, paraffin-embedded tumor samples to guide precision cancer medicine. Nat Med. 2014 May 18</w:t>
      </w:r>
      <w:proofErr w:type="gramStart"/>
      <w:r w:rsidRPr="0066313B">
        <w:rPr>
          <w:rFonts w:cs="Times New Roman"/>
          <w:lang w:val="en-US"/>
        </w:rPr>
        <w:t>;20</w:t>
      </w:r>
      <w:proofErr w:type="gramEnd"/>
      <w:r w:rsidRPr="0066313B">
        <w:rPr>
          <w:rFonts w:cs="Times New Roman"/>
          <w:lang w:val="en-US"/>
        </w:rPr>
        <w:t xml:space="preserve">(6):682–8. </w:t>
      </w:r>
    </w:p>
    <w:p w:rsidR="00FB4CBC" w:rsidRPr="00FB4CBC" w:rsidRDefault="00FB4CBC" w:rsidP="00FB4CBC">
      <w:pPr>
        <w:pStyle w:val="Bibliographie"/>
        <w:rPr>
          <w:rFonts w:cs="Times New Roman"/>
        </w:rPr>
      </w:pPr>
      <w:r w:rsidRPr="0066313B">
        <w:rPr>
          <w:rFonts w:cs="Times New Roman"/>
          <w:lang w:val="en-US"/>
        </w:rPr>
        <w:t xml:space="preserve">6. </w:t>
      </w:r>
      <w:r w:rsidRPr="0066313B">
        <w:rPr>
          <w:rFonts w:cs="Times New Roman"/>
          <w:lang w:val="en-US"/>
        </w:rPr>
        <w:tab/>
      </w:r>
      <w:proofErr w:type="spellStart"/>
      <w:r w:rsidRPr="0066313B">
        <w:rPr>
          <w:rFonts w:cs="Times New Roman"/>
          <w:lang w:val="en-US"/>
        </w:rPr>
        <w:t>Dienstmann</w:t>
      </w:r>
      <w:proofErr w:type="spellEnd"/>
      <w:r w:rsidRPr="0066313B">
        <w:rPr>
          <w:rFonts w:cs="Times New Roman"/>
          <w:lang w:val="en-US"/>
        </w:rPr>
        <w:t xml:space="preserve"> R, Jang IS, Bot B, Friend S, </w:t>
      </w:r>
      <w:proofErr w:type="spellStart"/>
      <w:r w:rsidRPr="0066313B">
        <w:rPr>
          <w:rFonts w:cs="Times New Roman"/>
          <w:lang w:val="en-US"/>
        </w:rPr>
        <w:t>Guinney</w:t>
      </w:r>
      <w:proofErr w:type="spellEnd"/>
      <w:r w:rsidRPr="0066313B">
        <w:rPr>
          <w:rFonts w:cs="Times New Roman"/>
          <w:lang w:val="en-US"/>
        </w:rPr>
        <w:t xml:space="preserve"> J. Database of Genomic Biomarkers for Cancer Drugs and Clinical </w:t>
      </w:r>
      <w:proofErr w:type="spellStart"/>
      <w:r w:rsidRPr="0066313B">
        <w:rPr>
          <w:rFonts w:cs="Times New Roman"/>
          <w:lang w:val="en-US"/>
        </w:rPr>
        <w:t>Targetability</w:t>
      </w:r>
      <w:proofErr w:type="spellEnd"/>
      <w:r w:rsidRPr="0066313B">
        <w:rPr>
          <w:rFonts w:cs="Times New Roman"/>
          <w:lang w:val="en-US"/>
        </w:rPr>
        <w:t xml:space="preserve"> in Solid Tumors. </w:t>
      </w:r>
      <w:r w:rsidRPr="00FB4CBC">
        <w:rPr>
          <w:rFonts w:cs="Times New Roman"/>
        </w:rPr>
        <w:t xml:space="preserve">Cancer Discov. 2015 Feb 1;5(2):118–23. </w:t>
      </w:r>
    </w:p>
    <w:p w:rsidR="00FB4CBC" w:rsidRPr="0066313B" w:rsidRDefault="00FB4CBC" w:rsidP="00FB4CBC">
      <w:pPr>
        <w:pStyle w:val="Bibliographie"/>
        <w:rPr>
          <w:rFonts w:cs="Times New Roman"/>
          <w:lang w:val="en-US"/>
        </w:rPr>
      </w:pPr>
      <w:r w:rsidRPr="00FB4CBC">
        <w:rPr>
          <w:rFonts w:cs="Times New Roman"/>
        </w:rPr>
        <w:t xml:space="preserve">7. </w:t>
      </w:r>
      <w:r w:rsidRPr="00FB4CBC">
        <w:rPr>
          <w:rFonts w:cs="Times New Roman"/>
        </w:rPr>
        <w:tab/>
      </w:r>
      <w:proofErr w:type="spellStart"/>
      <w:r w:rsidRPr="0066313B">
        <w:rPr>
          <w:rFonts w:cs="Times New Roman"/>
        </w:rPr>
        <w:t>Sukhai</w:t>
      </w:r>
      <w:proofErr w:type="spellEnd"/>
      <w:r w:rsidRPr="0066313B">
        <w:rPr>
          <w:rFonts w:cs="Times New Roman"/>
        </w:rPr>
        <w:t xml:space="preserve"> MA, </w:t>
      </w:r>
      <w:proofErr w:type="spellStart"/>
      <w:r w:rsidRPr="0066313B">
        <w:rPr>
          <w:rFonts w:cs="Times New Roman"/>
        </w:rPr>
        <w:t>Craddock</w:t>
      </w:r>
      <w:proofErr w:type="spellEnd"/>
      <w:r w:rsidRPr="0066313B">
        <w:rPr>
          <w:rFonts w:cs="Times New Roman"/>
        </w:rPr>
        <w:t xml:space="preserve"> KJ, Thomas M, Hansen AR, Zhang T, </w:t>
      </w:r>
      <w:proofErr w:type="spellStart"/>
      <w:r w:rsidRPr="0066313B">
        <w:rPr>
          <w:rFonts w:cs="Times New Roman"/>
        </w:rPr>
        <w:t>Siu</w:t>
      </w:r>
      <w:proofErr w:type="spellEnd"/>
      <w:r w:rsidRPr="0066313B">
        <w:rPr>
          <w:rFonts w:cs="Times New Roman"/>
        </w:rPr>
        <w:t xml:space="preserve"> L, et al. </w:t>
      </w:r>
      <w:proofErr w:type="gramStart"/>
      <w:r w:rsidRPr="0066313B">
        <w:rPr>
          <w:rFonts w:cs="Times New Roman"/>
          <w:lang w:val="en-US"/>
        </w:rPr>
        <w:t>A classification system for clinical relevance of somatic variants identified in molecular profiling of cancer.</w:t>
      </w:r>
      <w:proofErr w:type="gramEnd"/>
      <w:r w:rsidRPr="0066313B">
        <w:rPr>
          <w:rFonts w:cs="Times New Roman"/>
          <w:lang w:val="en-US"/>
        </w:rPr>
        <w:t xml:space="preserve"> Genet Med Off J Am </w:t>
      </w:r>
      <w:proofErr w:type="spellStart"/>
      <w:r w:rsidRPr="0066313B">
        <w:rPr>
          <w:rFonts w:cs="Times New Roman"/>
          <w:lang w:val="en-US"/>
        </w:rPr>
        <w:t>Coll</w:t>
      </w:r>
      <w:proofErr w:type="spellEnd"/>
      <w:r w:rsidRPr="0066313B">
        <w:rPr>
          <w:rFonts w:cs="Times New Roman"/>
          <w:lang w:val="en-US"/>
        </w:rPr>
        <w:t xml:space="preserve"> Med Genet. 2016 Feb</w:t>
      </w:r>
      <w:proofErr w:type="gramStart"/>
      <w:r w:rsidRPr="0066313B">
        <w:rPr>
          <w:rFonts w:cs="Times New Roman"/>
          <w:lang w:val="en-US"/>
        </w:rPr>
        <w:t>;18</w:t>
      </w:r>
      <w:proofErr w:type="gramEnd"/>
      <w:r w:rsidRPr="0066313B">
        <w:rPr>
          <w:rFonts w:cs="Times New Roman"/>
          <w:lang w:val="en-US"/>
        </w:rPr>
        <w:t xml:space="preserve">(2):128–36. </w:t>
      </w:r>
    </w:p>
    <w:p w:rsidR="00FB4CBC" w:rsidRPr="0066313B" w:rsidRDefault="00FB4CBC" w:rsidP="00FB4CBC">
      <w:pPr>
        <w:pStyle w:val="Bibliographie"/>
        <w:rPr>
          <w:rFonts w:cs="Times New Roman"/>
          <w:lang w:val="en-US"/>
        </w:rPr>
      </w:pPr>
      <w:r w:rsidRPr="0066313B">
        <w:rPr>
          <w:rFonts w:cs="Times New Roman"/>
          <w:lang w:val="en-US"/>
        </w:rPr>
        <w:t xml:space="preserve">8. </w:t>
      </w:r>
      <w:r w:rsidRPr="0066313B">
        <w:rPr>
          <w:rFonts w:cs="Times New Roman"/>
          <w:lang w:val="en-US"/>
        </w:rPr>
        <w:tab/>
      </w:r>
      <w:proofErr w:type="spellStart"/>
      <w:r w:rsidRPr="0066313B">
        <w:rPr>
          <w:rFonts w:cs="Times New Roman"/>
          <w:lang w:val="en-US"/>
        </w:rPr>
        <w:t>Chakravarty</w:t>
      </w:r>
      <w:proofErr w:type="spellEnd"/>
      <w:r w:rsidRPr="0066313B">
        <w:rPr>
          <w:rFonts w:cs="Times New Roman"/>
          <w:lang w:val="en-US"/>
        </w:rPr>
        <w:t xml:space="preserve"> D, </w:t>
      </w:r>
      <w:proofErr w:type="spellStart"/>
      <w:r w:rsidRPr="0066313B">
        <w:rPr>
          <w:rFonts w:cs="Times New Roman"/>
          <w:lang w:val="en-US"/>
        </w:rPr>
        <w:t>Gao</w:t>
      </w:r>
      <w:proofErr w:type="spellEnd"/>
      <w:r w:rsidRPr="0066313B">
        <w:rPr>
          <w:rFonts w:cs="Times New Roman"/>
          <w:lang w:val="en-US"/>
        </w:rPr>
        <w:t xml:space="preserve"> J, Phillips SM, </w:t>
      </w:r>
      <w:proofErr w:type="spellStart"/>
      <w:r w:rsidRPr="0066313B">
        <w:rPr>
          <w:rFonts w:cs="Times New Roman"/>
          <w:lang w:val="en-US"/>
        </w:rPr>
        <w:t>Kundra</w:t>
      </w:r>
      <w:proofErr w:type="spellEnd"/>
      <w:r w:rsidRPr="0066313B">
        <w:rPr>
          <w:rFonts w:cs="Times New Roman"/>
          <w:lang w:val="en-US"/>
        </w:rPr>
        <w:t xml:space="preserve"> R, Zhang H, Wang J, et al. </w:t>
      </w:r>
      <w:proofErr w:type="spellStart"/>
      <w:r w:rsidRPr="0066313B">
        <w:rPr>
          <w:rFonts w:cs="Times New Roman"/>
          <w:lang w:val="en-US"/>
        </w:rPr>
        <w:t>OncoKB</w:t>
      </w:r>
      <w:proofErr w:type="spellEnd"/>
      <w:r w:rsidRPr="0066313B">
        <w:rPr>
          <w:rFonts w:cs="Times New Roman"/>
          <w:lang w:val="en-US"/>
        </w:rPr>
        <w:t xml:space="preserve">: A Precision Oncology Knowledge Base. </w:t>
      </w:r>
      <w:proofErr w:type="gramStart"/>
      <w:r w:rsidRPr="0066313B">
        <w:rPr>
          <w:rFonts w:cs="Times New Roman"/>
          <w:lang w:val="en-US"/>
        </w:rPr>
        <w:t xml:space="preserve">JCO </w:t>
      </w:r>
      <w:proofErr w:type="spellStart"/>
      <w:r w:rsidRPr="0066313B">
        <w:rPr>
          <w:rFonts w:cs="Times New Roman"/>
          <w:lang w:val="en-US"/>
        </w:rPr>
        <w:t>Precis</w:t>
      </w:r>
      <w:proofErr w:type="spellEnd"/>
      <w:r w:rsidRPr="0066313B">
        <w:rPr>
          <w:rFonts w:cs="Times New Roman"/>
          <w:lang w:val="en-US"/>
        </w:rPr>
        <w:t xml:space="preserve"> </w:t>
      </w:r>
      <w:proofErr w:type="spellStart"/>
      <w:r w:rsidRPr="0066313B">
        <w:rPr>
          <w:rFonts w:cs="Times New Roman"/>
          <w:lang w:val="en-US"/>
        </w:rPr>
        <w:t>Oncol</w:t>
      </w:r>
      <w:proofErr w:type="spellEnd"/>
      <w:r w:rsidRPr="0066313B">
        <w:rPr>
          <w:rFonts w:cs="Times New Roman"/>
          <w:lang w:val="en-US"/>
        </w:rPr>
        <w:t>.</w:t>
      </w:r>
      <w:proofErr w:type="gramEnd"/>
      <w:r w:rsidRPr="0066313B">
        <w:rPr>
          <w:rFonts w:cs="Times New Roman"/>
          <w:lang w:val="en-US"/>
        </w:rPr>
        <w:t xml:space="preserve"> 2017 Jul</w:t>
      </w:r>
      <w:proofErr w:type="gramStart"/>
      <w:r w:rsidRPr="0066313B">
        <w:rPr>
          <w:rFonts w:cs="Times New Roman"/>
          <w:lang w:val="en-US"/>
        </w:rPr>
        <w:t>;2017</w:t>
      </w:r>
      <w:proofErr w:type="gramEnd"/>
      <w:r w:rsidRPr="0066313B">
        <w:rPr>
          <w:rFonts w:cs="Times New Roman"/>
          <w:lang w:val="en-US"/>
        </w:rPr>
        <w:t xml:space="preserve">. </w:t>
      </w:r>
    </w:p>
    <w:p w:rsidR="00FB4CBC" w:rsidRPr="0066313B" w:rsidRDefault="00FB4CBC" w:rsidP="00FB4CBC">
      <w:pPr>
        <w:pStyle w:val="Bibliographie"/>
        <w:rPr>
          <w:rFonts w:cs="Times New Roman"/>
          <w:lang w:val="en-US"/>
        </w:rPr>
      </w:pPr>
      <w:r w:rsidRPr="0066313B">
        <w:rPr>
          <w:rFonts w:cs="Times New Roman"/>
          <w:lang w:val="en-US"/>
        </w:rPr>
        <w:t xml:space="preserve">9. </w:t>
      </w:r>
      <w:r w:rsidRPr="0066313B">
        <w:rPr>
          <w:rFonts w:cs="Times New Roman"/>
          <w:lang w:val="en-US"/>
        </w:rPr>
        <w:tab/>
        <w:t xml:space="preserve">Mateo J, </w:t>
      </w:r>
      <w:proofErr w:type="spellStart"/>
      <w:r w:rsidRPr="0066313B">
        <w:rPr>
          <w:rFonts w:cs="Times New Roman"/>
          <w:lang w:val="en-US"/>
        </w:rPr>
        <w:t>Chakravarty</w:t>
      </w:r>
      <w:proofErr w:type="spellEnd"/>
      <w:r w:rsidRPr="0066313B">
        <w:rPr>
          <w:rFonts w:cs="Times New Roman"/>
          <w:lang w:val="en-US"/>
        </w:rPr>
        <w:t xml:space="preserve"> D, </w:t>
      </w:r>
      <w:proofErr w:type="spellStart"/>
      <w:r w:rsidRPr="0066313B">
        <w:rPr>
          <w:rFonts w:cs="Times New Roman"/>
          <w:lang w:val="en-US"/>
        </w:rPr>
        <w:t>Dienstmann</w:t>
      </w:r>
      <w:proofErr w:type="spellEnd"/>
      <w:r w:rsidRPr="0066313B">
        <w:rPr>
          <w:rFonts w:cs="Times New Roman"/>
          <w:lang w:val="en-US"/>
        </w:rPr>
        <w:t xml:space="preserve"> R, </w:t>
      </w:r>
      <w:proofErr w:type="spellStart"/>
      <w:r w:rsidRPr="0066313B">
        <w:rPr>
          <w:rFonts w:cs="Times New Roman"/>
          <w:lang w:val="en-US"/>
        </w:rPr>
        <w:t>Jezdic</w:t>
      </w:r>
      <w:proofErr w:type="spellEnd"/>
      <w:r w:rsidRPr="0066313B">
        <w:rPr>
          <w:rFonts w:cs="Times New Roman"/>
          <w:lang w:val="en-US"/>
        </w:rPr>
        <w:t xml:space="preserve"> S, Gonzalez-Perez A, Lopez-</w:t>
      </w:r>
      <w:proofErr w:type="spellStart"/>
      <w:r w:rsidRPr="0066313B">
        <w:rPr>
          <w:rFonts w:cs="Times New Roman"/>
          <w:lang w:val="en-US"/>
        </w:rPr>
        <w:t>Bigas</w:t>
      </w:r>
      <w:proofErr w:type="spellEnd"/>
      <w:r w:rsidRPr="0066313B">
        <w:rPr>
          <w:rFonts w:cs="Times New Roman"/>
          <w:lang w:val="en-US"/>
        </w:rPr>
        <w:t xml:space="preserve"> N, et al. A framework to rank genomic alterations as targets for cancer precision medicine: the ESMO Scale for Clinical </w:t>
      </w:r>
      <w:proofErr w:type="spellStart"/>
      <w:r w:rsidRPr="0066313B">
        <w:rPr>
          <w:rFonts w:cs="Times New Roman"/>
          <w:lang w:val="en-US"/>
        </w:rPr>
        <w:t>Actionability</w:t>
      </w:r>
      <w:proofErr w:type="spellEnd"/>
      <w:r w:rsidRPr="0066313B">
        <w:rPr>
          <w:rFonts w:cs="Times New Roman"/>
          <w:lang w:val="en-US"/>
        </w:rPr>
        <w:t xml:space="preserve"> of molecular Targets (ESCAT). Ann </w:t>
      </w:r>
      <w:proofErr w:type="spellStart"/>
      <w:r w:rsidRPr="0066313B">
        <w:rPr>
          <w:rFonts w:cs="Times New Roman"/>
          <w:lang w:val="en-US"/>
        </w:rPr>
        <w:t>Oncol</w:t>
      </w:r>
      <w:proofErr w:type="spellEnd"/>
      <w:r w:rsidRPr="0066313B">
        <w:rPr>
          <w:rFonts w:cs="Times New Roman"/>
          <w:lang w:val="en-US"/>
        </w:rPr>
        <w:t xml:space="preserve"> </w:t>
      </w:r>
      <w:proofErr w:type="gramStart"/>
      <w:r w:rsidRPr="0066313B">
        <w:rPr>
          <w:rFonts w:cs="Times New Roman"/>
          <w:lang w:val="en-US"/>
        </w:rPr>
        <w:t>Off</w:t>
      </w:r>
      <w:proofErr w:type="gramEnd"/>
      <w:r w:rsidRPr="0066313B">
        <w:rPr>
          <w:rFonts w:cs="Times New Roman"/>
          <w:lang w:val="en-US"/>
        </w:rPr>
        <w:t xml:space="preserve"> J </w:t>
      </w:r>
      <w:proofErr w:type="spellStart"/>
      <w:r w:rsidRPr="0066313B">
        <w:rPr>
          <w:rFonts w:cs="Times New Roman"/>
          <w:lang w:val="en-US"/>
        </w:rPr>
        <w:t>Eur</w:t>
      </w:r>
      <w:proofErr w:type="spellEnd"/>
      <w:r w:rsidRPr="0066313B">
        <w:rPr>
          <w:rFonts w:cs="Times New Roman"/>
          <w:lang w:val="en-US"/>
        </w:rPr>
        <w:t xml:space="preserve"> </w:t>
      </w:r>
      <w:proofErr w:type="spellStart"/>
      <w:r w:rsidRPr="0066313B">
        <w:rPr>
          <w:rFonts w:cs="Times New Roman"/>
          <w:lang w:val="en-US"/>
        </w:rPr>
        <w:t>Soc</w:t>
      </w:r>
      <w:proofErr w:type="spellEnd"/>
      <w:r w:rsidRPr="0066313B">
        <w:rPr>
          <w:rFonts w:cs="Times New Roman"/>
          <w:lang w:val="en-US"/>
        </w:rPr>
        <w:t xml:space="preserve"> Med </w:t>
      </w:r>
      <w:proofErr w:type="spellStart"/>
      <w:r w:rsidRPr="0066313B">
        <w:rPr>
          <w:rFonts w:cs="Times New Roman"/>
          <w:lang w:val="en-US"/>
        </w:rPr>
        <w:t>Oncol</w:t>
      </w:r>
      <w:proofErr w:type="spellEnd"/>
      <w:r w:rsidRPr="0066313B">
        <w:rPr>
          <w:rFonts w:cs="Times New Roman"/>
          <w:lang w:val="en-US"/>
        </w:rPr>
        <w:t>. 2018 Sep 1</w:t>
      </w:r>
      <w:proofErr w:type="gramStart"/>
      <w:r w:rsidRPr="0066313B">
        <w:rPr>
          <w:rFonts w:cs="Times New Roman"/>
          <w:lang w:val="en-US"/>
        </w:rPr>
        <w:t>;29</w:t>
      </w:r>
      <w:proofErr w:type="gramEnd"/>
      <w:r w:rsidRPr="0066313B">
        <w:rPr>
          <w:rFonts w:cs="Times New Roman"/>
          <w:lang w:val="en-US"/>
        </w:rPr>
        <w:t xml:space="preserve">(9):1895–902. </w:t>
      </w:r>
    </w:p>
    <w:p w:rsidR="00FB4CBC" w:rsidRPr="0066313B" w:rsidRDefault="00FB4CBC" w:rsidP="00FB4CBC">
      <w:pPr>
        <w:pStyle w:val="Bibliographie"/>
        <w:rPr>
          <w:rFonts w:cs="Times New Roman"/>
          <w:lang w:val="en-US"/>
        </w:rPr>
      </w:pPr>
      <w:r w:rsidRPr="0066313B">
        <w:rPr>
          <w:rFonts w:cs="Times New Roman"/>
          <w:lang w:val="en-US"/>
        </w:rPr>
        <w:t xml:space="preserve">10. </w:t>
      </w:r>
      <w:r w:rsidRPr="0066313B">
        <w:rPr>
          <w:rFonts w:cs="Times New Roman"/>
          <w:lang w:val="en-US"/>
        </w:rPr>
        <w:tab/>
      </w:r>
      <w:proofErr w:type="spellStart"/>
      <w:r w:rsidRPr="0066313B">
        <w:rPr>
          <w:rFonts w:cs="Times New Roman"/>
          <w:lang w:val="en-US"/>
        </w:rPr>
        <w:t>Koboldt</w:t>
      </w:r>
      <w:proofErr w:type="spellEnd"/>
      <w:r w:rsidRPr="0066313B">
        <w:rPr>
          <w:rFonts w:cs="Times New Roman"/>
          <w:lang w:val="en-US"/>
        </w:rPr>
        <w:t xml:space="preserve"> DC, Fulton RS, </w:t>
      </w:r>
      <w:proofErr w:type="spellStart"/>
      <w:r w:rsidRPr="0066313B">
        <w:rPr>
          <w:rFonts w:cs="Times New Roman"/>
          <w:lang w:val="en-US"/>
        </w:rPr>
        <w:t>McLellan</w:t>
      </w:r>
      <w:proofErr w:type="spellEnd"/>
      <w:r w:rsidRPr="0066313B">
        <w:rPr>
          <w:rFonts w:cs="Times New Roman"/>
          <w:lang w:val="en-US"/>
        </w:rPr>
        <w:t xml:space="preserve"> MD, Schmidt H, </w:t>
      </w:r>
      <w:proofErr w:type="spellStart"/>
      <w:r w:rsidRPr="0066313B">
        <w:rPr>
          <w:rFonts w:cs="Times New Roman"/>
          <w:lang w:val="en-US"/>
        </w:rPr>
        <w:t>Kalicki-Veizer</w:t>
      </w:r>
      <w:proofErr w:type="spellEnd"/>
      <w:r w:rsidRPr="0066313B">
        <w:rPr>
          <w:rFonts w:cs="Times New Roman"/>
          <w:lang w:val="en-US"/>
        </w:rPr>
        <w:t xml:space="preserve"> J, McMichael JF, et al. Comprehensive molecular portraits of human breast </w:t>
      </w:r>
      <w:proofErr w:type="spellStart"/>
      <w:r w:rsidRPr="0066313B">
        <w:rPr>
          <w:rFonts w:cs="Times New Roman"/>
          <w:lang w:val="en-US"/>
        </w:rPr>
        <w:t>tumours</w:t>
      </w:r>
      <w:proofErr w:type="spellEnd"/>
      <w:r w:rsidRPr="0066313B">
        <w:rPr>
          <w:rFonts w:cs="Times New Roman"/>
          <w:lang w:val="en-US"/>
        </w:rPr>
        <w:t xml:space="preserve">. </w:t>
      </w:r>
      <w:proofErr w:type="gramStart"/>
      <w:r w:rsidRPr="0066313B">
        <w:rPr>
          <w:rFonts w:cs="Times New Roman"/>
          <w:lang w:val="en-US"/>
        </w:rPr>
        <w:t>Nature.</w:t>
      </w:r>
      <w:proofErr w:type="gramEnd"/>
      <w:r w:rsidRPr="0066313B">
        <w:rPr>
          <w:rFonts w:cs="Times New Roman"/>
          <w:lang w:val="en-US"/>
        </w:rPr>
        <w:t xml:space="preserve"> 2012 Sep 23</w:t>
      </w:r>
      <w:proofErr w:type="gramStart"/>
      <w:r w:rsidRPr="0066313B">
        <w:rPr>
          <w:rFonts w:cs="Times New Roman"/>
          <w:lang w:val="en-US"/>
        </w:rPr>
        <w:t>;490</w:t>
      </w:r>
      <w:proofErr w:type="gramEnd"/>
      <w:r w:rsidRPr="0066313B">
        <w:rPr>
          <w:rFonts w:cs="Times New Roman"/>
          <w:lang w:val="en-US"/>
        </w:rPr>
        <w:t xml:space="preserve">(7418):61–70. </w:t>
      </w:r>
    </w:p>
    <w:p w:rsidR="00FB4CBC" w:rsidRPr="0066313B" w:rsidRDefault="00FB4CBC" w:rsidP="00FB4CBC">
      <w:pPr>
        <w:pStyle w:val="Bibliographie"/>
        <w:rPr>
          <w:rFonts w:cs="Times New Roman"/>
          <w:lang w:val="en-US"/>
        </w:rPr>
      </w:pPr>
      <w:r w:rsidRPr="0066313B">
        <w:rPr>
          <w:rFonts w:cs="Times New Roman"/>
          <w:lang w:val="en-US"/>
        </w:rPr>
        <w:t xml:space="preserve">11. </w:t>
      </w:r>
      <w:r w:rsidRPr="0066313B">
        <w:rPr>
          <w:rFonts w:cs="Times New Roman"/>
          <w:lang w:val="en-US"/>
        </w:rPr>
        <w:tab/>
        <w:t xml:space="preserve">Hudson (Chairperson) TJ, Anderson W, </w:t>
      </w:r>
      <w:proofErr w:type="spellStart"/>
      <w:r w:rsidRPr="0066313B">
        <w:rPr>
          <w:rFonts w:cs="Times New Roman"/>
          <w:lang w:val="en-US"/>
        </w:rPr>
        <w:t>Aretz</w:t>
      </w:r>
      <w:proofErr w:type="spellEnd"/>
      <w:r w:rsidRPr="0066313B">
        <w:rPr>
          <w:rFonts w:cs="Times New Roman"/>
          <w:lang w:val="en-US"/>
        </w:rPr>
        <w:t xml:space="preserve"> A, Barker AD, Bell C, </w:t>
      </w:r>
      <w:proofErr w:type="spellStart"/>
      <w:r w:rsidRPr="0066313B">
        <w:rPr>
          <w:rFonts w:cs="Times New Roman"/>
          <w:lang w:val="en-US"/>
        </w:rPr>
        <w:t>Bernabé</w:t>
      </w:r>
      <w:proofErr w:type="spellEnd"/>
      <w:r w:rsidRPr="0066313B">
        <w:rPr>
          <w:rFonts w:cs="Times New Roman"/>
          <w:lang w:val="en-US"/>
        </w:rPr>
        <w:t xml:space="preserve"> RR, et al. International network of cancer genome projects. </w:t>
      </w:r>
      <w:proofErr w:type="gramStart"/>
      <w:r w:rsidRPr="0066313B">
        <w:rPr>
          <w:rFonts w:cs="Times New Roman"/>
          <w:lang w:val="en-US"/>
        </w:rPr>
        <w:t>Nature.</w:t>
      </w:r>
      <w:proofErr w:type="gramEnd"/>
      <w:r w:rsidRPr="0066313B">
        <w:rPr>
          <w:rFonts w:cs="Times New Roman"/>
          <w:lang w:val="en-US"/>
        </w:rPr>
        <w:t xml:space="preserve"> 2010 Apr 15</w:t>
      </w:r>
      <w:proofErr w:type="gramStart"/>
      <w:r w:rsidRPr="0066313B">
        <w:rPr>
          <w:rFonts w:cs="Times New Roman"/>
          <w:lang w:val="en-US"/>
        </w:rPr>
        <w:t>;464</w:t>
      </w:r>
      <w:proofErr w:type="gramEnd"/>
      <w:r w:rsidRPr="0066313B">
        <w:rPr>
          <w:rFonts w:cs="Times New Roman"/>
          <w:lang w:val="en-US"/>
        </w:rPr>
        <w:t xml:space="preserve">(7291):993–8. </w:t>
      </w:r>
    </w:p>
    <w:p w:rsidR="00FB4CBC" w:rsidRPr="0066313B" w:rsidRDefault="00FB4CBC" w:rsidP="00FB4CBC">
      <w:pPr>
        <w:pStyle w:val="Bibliographie"/>
        <w:rPr>
          <w:rFonts w:cs="Times New Roman"/>
        </w:rPr>
      </w:pPr>
      <w:r w:rsidRPr="0066313B">
        <w:rPr>
          <w:rFonts w:cs="Times New Roman"/>
          <w:lang w:val="en-US"/>
        </w:rPr>
        <w:t xml:space="preserve">12. </w:t>
      </w:r>
      <w:r w:rsidRPr="0066313B">
        <w:rPr>
          <w:rFonts w:cs="Times New Roman"/>
          <w:lang w:val="en-US"/>
        </w:rPr>
        <w:tab/>
        <w:t xml:space="preserve">Lefebvre C, </w:t>
      </w:r>
      <w:proofErr w:type="spellStart"/>
      <w:r w:rsidRPr="0066313B">
        <w:rPr>
          <w:rFonts w:cs="Times New Roman"/>
          <w:lang w:val="en-US"/>
        </w:rPr>
        <w:t>Bachelot</w:t>
      </w:r>
      <w:proofErr w:type="spellEnd"/>
      <w:r w:rsidRPr="0066313B">
        <w:rPr>
          <w:rFonts w:cs="Times New Roman"/>
          <w:lang w:val="en-US"/>
        </w:rPr>
        <w:t xml:space="preserve"> T, Filleron T, </w:t>
      </w:r>
      <w:proofErr w:type="spellStart"/>
      <w:r w:rsidRPr="0066313B">
        <w:rPr>
          <w:rFonts w:cs="Times New Roman"/>
          <w:lang w:val="en-US"/>
        </w:rPr>
        <w:t>Pedrero</w:t>
      </w:r>
      <w:proofErr w:type="spellEnd"/>
      <w:r w:rsidRPr="0066313B">
        <w:rPr>
          <w:rFonts w:cs="Times New Roman"/>
          <w:lang w:val="en-US"/>
        </w:rPr>
        <w:t xml:space="preserve"> M, </w:t>
      </w:r>
      <w:proofErr w:type="spellStart"/>
      <w:r w:rsidRPr="0066313B">
        <w:rPr>
          <w:rFonts w:cs="Times New Roman"/>
          <w:lang w:val="en-US"/>
        </w:rPr>
        <w:t>Campone</w:t>
      </w:r>
      <w:proofErr w:type="spellEnd"/>
      <w:r w:rsidRPr="0066313B">
        <w:rPr>
          <w:rFonts w:cs="Times New Roman"/>
          <w:lang w:val="en-US"/>
        </w:rPr>
        <w:t xml:space="preserve"> M, </w:t>
      </w:r>
      <w:proofErr w:type="spellStart"/>
      <w:r w:rsidRPr="0066313B">
        <w:rPr>
          <w:rFonts w:cs="Times New Roman"/>
          <w:lang w:val="en-US"/>
        </w:rPr>
        <w:t>Soria</w:t>
      </w:r>
      <w:proofErr w:type="spellEnd"/>
      <w:r w:rsidRPr="0066313B">
        <w:rPr>
          <w:rFonts w:cs="Times New Roman"/>
          <w:lang w:val="en-US"/>
        </w:rPr>
        <w:t xml:space="preserve"> J-C, et al. Mutational Profile of Metastatic Breast Cancers: A Retrospective Analysis. </w:t>
      </w:r>
      <w:proofErr w:type="spellStart"/>
      <w:r w:rsidRPr="0066313B">
        <w:rPr>
          <w:rFonts w:cs="Times New Roman"/>
          <w:lang w:val="en-US"/>
        </w:rPr>
        <w:t>Mardis</w:t>
      </w:r>
      <w:proofErr w:type="spellEnd"/>
      <w:r w:rsidRPr="0066313B">
        <w:rPr>
          <w:rFonts w:cs="Times New Roman"/>
          <w:lang w:val="en-US"/>
        </w:rPr>
        <w:t xml:space="preserve"> ER, editor. </w:t>
      </w:r>
      <w:r w:rsidRPr="0066313B">
        <w:rPr>
          <w:rFonts w:cs="Times New Roman"/>
        </w:rPr>
        <w:t xml:space="preserve">PLOS Med. 2016 </w:t>
      </w:r>
      <w:proofErr w:type="spellStart"/>
      <w:r w:rsidRPr="0066313B">
        <w:rPr>
          <w:rFonts w:cs="Times New Roman"/>
        </w:rPr>
        <w:t>Dec</w:t>
      </w:r>
      <w:proofErr w:type="spellEnd"/>
      <w:r w:rsidRPr="0066313B">
        <w:rPr>
          <w:rFonts w:cs="Times New Roman"/>
        </w:rPr>
        <w:t xml:space="preserve"> 27;13(12):e1002201. </w:t>
      </w:r>
    </w:p>
    <w:p w:rsidR="00FB4CBC" w:rsidRPr="0066313B" w:rsidRDefault="00FB4CBC" w:rsidP="00FB4CBC">
      <w:pPr>
        <w:pStyle w:val="Bibliographie"/>
        <w:rPr>
          <w:rFonts w:cs="Times New Roman"/>
          <w:lang w:val="en-US"/>
        </w:rPr>
      </w:pPr>
      <w:r w:rsidRPr="0066313B">
        <w:rPr>
          <w:rFonts w:cs="Times New Roman"/>
        </w:rPr>
        <w:lastRenderedPageBreak/>
        <w:t xml:space="preserve">13. </w:t>
      </w:r>
      <w:r w:rsidRPr="0066313B">
        <w:rPr>
          <w:rFonts w:cs="Times New Roman"/>
        </w:rPr>
        <w:tab/>
      </w:r>
      <w:proofErr w:type="spellStart"/>
      <w:r w:rsidRPr="0066313B">
        <w:rPr>
          <w:rFonts w:cs="Times New Roman"/>
        </w:rPr>
        <w:t>Romond</w:t>
      </w:r>
      <w:proofErr w:type="spellEnd"/>
      <w:r w:rsidRPr="0066313B">
        <w:rPr>
          <w:rFonts w:cs="Times New Roman"/>
        </w:rPr>
        <w:t xml:space="preserve"> EH, </w:t>
      </w:r>
      <w:proofErr w:type="spellStart"/>
      <w:r w:rsidRPr="0066313B">
        <w:rPr>
          <w:rFonts w:cs="Times New Roman"/>
        </w:rPr>
        <w:t>Suman</w:t>
      </w:r>
      <w:proofErr w:type="spellEnd"/>
      <w:r w:rsidRPr="0066313B">
        <w:rPr>
          <w:rFonts w:cs="Times New Roman"/>
        </w:rPr>
        <w:t xml:space="preserve"> VJ, Tan-Chiu E, Kaufman PA, </w:t>
      </w:r>
      <w:proofErr w:type="spellStart"/>
      <w:r w:rsidRPr="0066313B">
        <w:rPr>
          <w:rFonts w:cs="Times New Roman"/>
        </w:rPr>
        <w:t>Fehrenbacher</w:t>
      </w:r>
      <w:proofErr w:type="spellEnd"/>
      <w:r w:rsidRPr="0066313B">
        <w:rPr>
          <w:rFonts w:cs="Times New Roman"/>
        </w:rPr>
        <w:t xml:space="preserve"> L, Vogel VG, et al. </w:t>
      </w:r>
      <w:proofErr w:type="spellStart"/>
      <w:proofErr w:type="gramStart"/>
      <w:r w:rsidRPr="0066313B">
        <w:rPr>
          <w:rFonts w:cs="Times New Roman"/>
          <w:lang w:val="en-US"/>
        </w:rPr>
        <w:t>Trastuzumab</w:t>
      </w:r>
      <w:proofErr w:type="spellEnd"/>
      <w:r w:rsidRPr="0066313B">
        <w:rPr>
          <w:rFonts w:cs="Times New Roman"/>
          <w:lang w:val="en-US"/>
        </w:rPr>
        <w:t xml:space="preserve"> plus Adjuvant Chemotherapy for Operable HER2-Positive Breast Cancer.</w:t>
      </w:r>
      <w:proofErr w:type="gramEnd"/>
      <w:r w:rsidRPr="0066313B">
        <w:rPr>
          <w:rFonts w:cs="Times New Roman"/>
          <w:lang w:val="en-US"/>
        </w:rPr>
        <w:t xml:space="preserve"> N </w:t>
      </w:r>
      <w:proofErr w:type="spellStart"/>
      <w:r w:rsidRPr="0066313B">
        <w:rPr>
          <w:rFonts w:cs="Times New Roman"/>
          <w:lang w:val="en-US"/>
        </w:rPr>
        <w:t>Engl</w:t>
      </w:r>
      <w:proofErr w:type="spellEnd"/>
      <w:r w:rsidRPr="0066313B">
        <w:rPr>
          <w:rFonts w:cs="Times New Roman"/>
          <w:lang w:val="en-US"/>
        </w:rPr>
        <w:t xml:space="preserve"> J Med. 2005</w:t>
      </w:r>
      <w:proofErr w:type="gramStart"/>
      <w:r w:rsidRPr="0066313B">
        <w:rPr>
          <w:rFonts w:cs="Times New Roman"/>
          <w:lang w:val="en-US"/>
        </w:rPr>
        <w:t>;12</w:t>
      </w:r>
      <w:proofErr w:type="gramEnd"/>
      <w:r w:rsidRPr="0066313B">
        <w:rPr>
          <w:rFonts w:cs="Times New Roman"/>
          <w:lang w:val="en-US"/>
        </w:rPr>
        <w:t xml:space="preserve">. </w:t>
      </w:r>
    </w:p>
    <w:p w:rsidR="00FB4CBC" w:rsidRPr="0066313B" w:rsidRDefault="00FB4CBC" w:rsidP="00FB4CBC">
      <w:pPr>
        <w:pStyle w:val="Bibliographie"/>
        <w:rPr>
          <w:rFonts w:cs="Times New Roman"/>
        </w:rPr>
      </w:pPr>
      <w:r w:rsidRPr="00FB4CBC">
        <w:rPr>
          <w:rFonts w:cs="Times New Roman"/>
        </w:rPr>
        <w:t xml:space="preserve">14. </w:t>
      </w:r>
      <w:r w:rsidRPr="00FB4CBC">
        <w:rPr>
          <w:rFonts w:cs="Times New Roman"/>
        </w:rPr>
        <w:tab/>
        <w:t xml:space="preserve">Fehrenbacher L, Cecchini R, Geyer C, Rastogi P, Costantino J, Atkins J, et al. </w:t>
      </w:r>
      <w:r w:rsidRPr="0066313B">
        <w:rPr>
          <w:rFonts w:cs="Times New Roman"/>
          <w:lang w:val="en-US"/>
        </w:rPr>
        <w:t xml:space="preserve">Abstract GS1-02: NSABP B-47 (NRG oncology): Phase III randomized trial comparing adjuvant chemotherapy with </w:t>
      </w:r>
      <w:proofErr w:type="spellStart"/>
      <w:proofErr w:type="gramStart"/>
      <w:r w:rsidRPr="0066313B">
        <w:rPr>
          <w:rFonts w:cs="Times New Roman"/>
          <w:lang w:val="en-US"/>
        </w:rPr>
        <w:t>adriamycin</w:t>
      </w:r>
      <w:proofErr w:type="spellEnd"/>
      <w:proofErr w:type="gramEnd"/>
      <w:r w:rsidRPr="0066313B">
        <w:rPr>
          <w:rFonts w:cs="Times New Roman"/>
          <w:lang w:val="en-US"/>
        </w:rPr>
        <w:t xml:space="preserve"> (A) and cyclophosphamide (C) → weekly paclitaxel (WP), or </w:t>
      </w:r>
      <w:proofErr w:type="spellStart"/>
      <w:r w:rsidRPr="0066313B">
        <w:rPr>
          <w:rFonts w:cs="Times New Roman"/>
          <w:lang w:val="en-US"/>
        </w:rPr>
        <w:t>docetaxel</w:t>
      </w:r>
      <w:proofErr w:type="spellEnd"/>
      <w:r w:rsidRPr="0066313B">
        <w:rPr>
          <w:rFonts w:cs="Times New Roman"/>
          <w:lang w:val="en-US"/>
        </w:rPr>
        <w:t xml:space="preserve"> (T) and C with or without a year of </w:t>
      </w:r>
      <w:proofErr w:type="spellStart"/>
      <w:r w:rsidRPr="0066313B">
        <w:rPr>
          <w:rFonts w:cs="Times New Roman"/>
          <w:lang w:val="en-US"/>
        </w:rPr>
        <w:t>trastuzumab</w:t>
      </w:r>
      <w:proofErr w:type="spellEnd"/>
      <w:r w:rsidRPr="0066313B">
        <w:rPr>
          <w:rFonts w:cs="Times New Roman"/>
          <w:lang w:val="en-US"/>
        </w:rPr>
        <w:t xml:space="preserve"> (H) in women with node-positive or high-risk node-negative invasive breast cancer (IBC) expressing HER2 staining intensity of IHC 1+ or 2+ with negative FISH (HER2-Low IBC). </w:t>
      </w:r>
      <w:r w:rsidRPr="0066313B">
        <w:rPr>
          <w:rFonts w:cs="Times New Roman"/>
        </w:rPr>
        <w:t xml:space="preserve">Cancer </w:t>
      </w:r>
      <w:proofErr w:type="spellStart"/>
      <w:r w:rsidRPr="0066313B">
        <w:rPr>
          <w:rFonts w:cs="Times New Roman"/>
        </w:rPr>
        <w:t>Res</w:t>
      </w:r>
      <w:proofErr w:type="spellEnd"/>
      <w:r w:rsidRPr="0066313B">
        <w:rPr>
          <w:rFonts w:cs="Times New Roman"/>
        </w:rPr>
        <w:t xml:space="preserve">. 2018 </w:t>
      </w:r>
      <w:proofErr w:type="spellStart"/>
      <w:r w:rsidRPr="0066313B">
        <w:rPr>
          <w:rFonts w:cs="Times New Roman"/>
        </w:rPr>
        <w:t>Feb</w:t>
      </w:r>
      <w:proofErr w:type="spellEnd"/>
      <w:r w:rsidRPr="0066313B">
        <w:rPr>
          <w:rFonts w:cs="Times New Roman"/>
        </w:rPr>
        <w:t xml:space="preserve"> 15;78(4 </w:t>
      </w:r>
      <w:proofErr w:type="spellStart"/>
      <w:r w:rsidRPr="0066313B">
        <w:rPr>
          <w:rFonts w:cs="Times New Roman"/>
        </w:rPr>
        <w:t>Supplement</w:t>
      </w:r>
      <w:proofErr w:type="spellEnd"/>
      <w:r w:rsidRPr="0066313B">
        <w:rPr>
          <w:rFonts w:cs="Times New Roman"/>
        </w:rPr>
        <w:t xml:space="preserve">):GS1-02. </w:t>
      </w:r>
    </w:p>
    <w:p w:rsidR="00FB4CBC" w:rsidRPr="0066313B" w:rsidRDefault="00FB4CBC" w:rsidP="00FB4CBC">
      <w:pPr>
        <w:pStyle w:val="Bibliographie"/>
        <w:rPr>
          <w:rFonts w:cs="Times New Roman"/>
          <w:lang w:val="en-US"/>
        </w:rPr>
      </w:pPr>
      <w:r w:rsidRPr="0066313B">
        <w:rPr>
          <w:rFonts w:cs="Times New Roman"/>
        </w:rPr>
        <w:t xml:space="preserve">15. </w:t>
      </w:r>
      <w:r w:rsidRPr="0066313B">
        <w:rPr>
          <w:rFonts w:cs="Times New Roman"/>
        </w:rPr>
        <w:tab/>
        <w:t xml:space="preserve">Di Leo A, Gomez HL, Aziz Z, </w:t>
      </w:r>
      <w:proofErr w:type="spellStart"/>
      <w:r w:rsidRPr="0066313B">
        <w:rPr>
          <w:rFonts w:cs="Times New Roman"/>
        </w:rPr>
        <w:t>Zvirbule</w:t>
      </w:r>
      <w:proofErr w:type="spellEnd"/>
      <w:r w:rsidRPr="0066313B">
        <w:rPr>
          <w:rFonts w:cs="Times New Roman"/>
        </w:rPr>
        <w:t xml:space="preserve"> Z, Bines J, </w:t>
      </w:r>
      <w:proofErr w:type="spellStart"/>
      <w:r w:rsidRPr="0066313B">
        <w:rPr>
          <w:rFonts w:cs="Times New Roman"/>
        </w:rPr>
        <w:t>Arbushites</w:t>
      </w:r>
      <w:proofErr w:type="spellEnd"/>
      <w:r w:rsidRPr="0066313B">
        <w:rPr>
          <w:rFonts w:cs="Times New Roman"/>
        </w:rPr>
        <w:t xml:space="preserve"> MC, et al. </w:t>
      </w:r>
      <w:r w:rsidRPr="0066313B">
        <w:rPr>
          <w:rFonts w:cs="Times New Roman"/>
          <w:lang w:val="en-US"/>
        </w:rPr>
        <w:t xml:space="preserve">Phase III, Double-Blind, Randomized Study Comparing </w:t>
      </w:r>
      <w:proofErr w:type="spellStart"/>
      <w:r w:rsidRPr="0066313B">
        <w:rPr>
          <w:rFonts w:cs="Times New Roman"/>
          <w:lang w:val="en-US"/>
        </w:rPr>
        <w:t>Lapatinib</w:t>
      </w:r>
      <w:proofErr w:type="spellEnd"/>
      <w:r w:rsidRPr="0066313B">
        <w:rPr>
          <w:rFonts w:cs="Times New Roman"/>
          <w:lang w:val="en-US"/>
        </w:rPr>
        <w:t xml:space="preserve"> Plus Paclitaxel With Placebo Plus Paclitaxel As First-Line Treatment for Metastatic Breast Cancer. </w:t>
      </w:r>
      <w:proofErr w:type="gramStart"/>
      <w:r w:rsidRPr="0066313B">
        <w:rPr>
          <w:rFonts w:cs="Times New Roman"/>
          <w:lang w:val="en-US"/>
        </w:rPr>
        <w:t xml:space="preserve">J </w:t>
      </w:r>
      <w:proofErr w:type="spellStart"/>
      <w:r w:rsidRPr="0066313B">
        <w:rPr>
          <w:rFonts w:cs="Times New Roman"/>
          <w:lang w:val="en-US"/>
        </w:rPr>
        <w:t>Clin</w:t>
      </w:r>
      <w:proofErr w:type="spellEnd"/>
      <w:r w:rsidRPr="0066313B">
        <w:rPr>
          <w:rFonts w:cs="Times New Roman"/>
          <w:lang w:val="en-US"/>
        </w:rPr>
        <w:t xml:space="preserve"> </w:t>
      </w:r>
      <w:proofErr w:type="spellStart"/>
      <w:r w:rsidRPr="0066313B">
        <w:rPr>
          <w:rFonts w:cs="Times New Roman"/>
          <w:lang w:val="en-US"/>
        </w:rPr>
        <w:t>Oncol</w:t>
      </w:r>
      <w:proofErr w:type="spellEnd"/>
      <w:r w:rsidRPr="0066313B">
        <w:rPr>
          <w:rFonts w:cs="Times New Roman"/>
          <w:lang w:val="en-US"/>
        </w:rPr>
        <w:t>.</w:t>
      </w:r>
      <w:proofErr w:type="gramEnd"/>
      <w:r w:rsidRPr="0066313B">
        <w:rPr>
          <w:rFonts w:cs="Times New Roman"/>
          <w:lang w:val="en-US"/>
        </w:rPr>
        <w:t xml:space="preserve"> 2008 Dec</w:t>
      </w:r>
      <w:proofErr w:type="gramStart"/>
      <w:r w:rsidRPr="0066313B">
        <w:rPr>
          <w:rFonts w:cs="Times New Roman"/>
          <w:lang w:val="en-US"/>
        </w:rPr>
        <w:t>;26</w:t>
      </w:r>
      <w:proofErr w:type="gramEnd"/>
      <w:r w:rsidRPr="0066313B">
        <w:rPr>
          <w:rFonts w:cs="Times New Roman"/>
          <w:lang w:val="en-US"/>
        </w:rPr>
        <w:t xml:space="preserve">(34):5544–52. </w:t>
      </w:r>
    </w:p>
    <w:p w:rsidR="00FB4CBC" w:rsidRPr="0066313B" w:rsidRDefault="00FB4CBC" w:rsidP="00FB4CBC">
      <w:pPr>
        <w:pStyle w:val="Bibliographie"/>
        <w:rPr>
          <w:rFonts w:cs="Times New Roman"/>
          <w:lang w:val="en-US"/>
        </w:rPr>
      </w:pPr>
      <w:r w:rsidRPr="00FB4CBC">
        <w:rPr>
          <w:rFonts w:cs="Times New Roman"/>
        </w:rPr>
        <w:t xml:space="preserve">16. </w:t>
      </w:r>
      <w:r w:rsidRPr="00FB4CBC">
        <w:rPr>
          <w:rFonts w:cs="Times New Roman"/>
        </w:rPr>
        <w:tab/>
        <w:t xml:space="preserve">Perou CM, Sørlie T, Eisen MB, van de Rijn M, Jeffrey SS, Rees CA, et al. </w:t>
      </w:r>
      <w:proofErr w:type="gramStart"/>
      <w:r w:rsidRPr="0066313B">
        <w:rPr>
          <w:rFonts w:cs="Times New Roman"/>
          <w:lang w:val="en-US"/>
        </w:rPr>
        <w:t xml:space="preserve">Molecular portraits of human breast </w:t>
      </w:r>
      <w:proofErr w:type="spellStart"/>
      <w:r w:rsidRPr="0066313B">
        <w:rPr>
          <w:rFonts w:cs="Times New Roman"/>
          <w:lang w:val="en-US"/>
        </w:rPr>
        <w:t>tumours</w:t>
      </w:r>
      <w:proofErr w:type="spellEnd"/>
      <w:r w:rsidRPr="0066313B">
        <w:rPr>
          <w:rFonts w:cs="Times New Roman"/>
          <w:lang w:val="en-US"/>
        </w:rPr>
        <w:t>.</w:t>
      </w:r>
      <w:proofErr w:type="gramEnd"/>
      <w:r w:rsidRPr="0066313B">
        <w:rPr>
          <w:rFonts w:cs="Times New Roman"/>
          <w:lang w:val="en-US"/>
        </w:rPr>
        <w:t xml:space="preserve"> </w:t>
      </w:r>
      <w:proofErr w:type="gramStart"/>
      <w:r w:rsidRPr="0066313B">
        <w:rPr>
          <w:rFonts w:cs="Times New Roman"/>
          <w:lang w:val="en-US"/>
        </w:rPr>
        <w:t>Nature.</w:t>
      </w:r>
      <w:proofErr w:type="gramEnd"/>
      <w:r w:rsidRPr="0066313B">
        <w:rPr>
          <w:rFonts w:cs="Times New Roman"/>
          <w:lang w:val="en-US"/>
        </w:rPr>
        <w:t xml:space="preserve"> 2000 Aug</w:t>
      </w:r>
      <w:proofErr w:type="gramStart"/>
      <w:r w:rsidRPr="0066313B">
        <w:rPr>
          <w:rFonts w:cs="Times New Roman"/>
          <w:lang w:val="en-US"/>
        </w:rPr>
        <w:t>;406</w:t>
      </w:r>
      <w:proofErr w:type="gramEnd"/>
      <w:r w:rsidRPr="0066313B">
        <w:rPr>
          <w:rFonts w:cs="Times New Roman"/>
          <w:lang w:val="en-US"/>
        </w:rPr>
        <w:t xml:space="preserve">(6797):747–52. </w:t>
      </w:r>
    </w:p>
    <w:p w:rsidR="00FB4CBC" w:rsidRPr="0066313B" w:rsidRDefault="00FB4CBC" w:rsidP="00FB4CBC">
      <w:pPr>
        <w:pStyle w:val="Bibliographie"/>
        <w:rPr>
          <w:rFonts w:cs="Times New Roman"/>
          <w:lang w:val="en-US"/>
        </w:rPr>
      </w:pPr>
      <w:r w:rsidRPr="0066313B">
        <w:rPr>
          <w:rFonts w:cs="Times New Roman"/>
          <w:lang w:val="en-US"/>
        </w:rPr>
        <w:t xml:space="preserve">17. </w:t>
      </w:r>
      <w:r w:rsidRPr="0066313B">
        <w:rPr>
          <w:rFonts w:cs="Times New Roman"/>
          <w:lang w:val="en-US"/>
        </w:rPr>
        <w:tab/>
        <w:t xml:space="preserve">Robson M, </w:t>
      </w:r>
      <w:proofErr w:type="spellStart"/>
      <w:r w:rsidRPr="0066313B">
        <w:rPr>
          <w:rFonts w:cs="Times New Roman"/>
          <w:lang w:val="en-US"/>
        </w:rPr>
        <w:t>Im</w:t>
      </w:r>
      <w:proofErr w:type="spellEnd"/>
      <w:r w:rsidRPr="0066313B">
        <w:rPr>
          <w:rFonts w:cs="Times New Roman"/>
          <w:lang w:val="en-US"/>
        </w:rPr>
        <w:t xml:space="preserve"> S-A, </w:t>
      </w:r>
      <w:proofErr w:type="spellStart"/>
      <w:r w:rsidRPr="0066313B">
        <w:rPr>
          <w:rFonts w:cs="Times New Roman"/>
          <w:lang w:val="en-US"/>
        </w:rPr>
        <w:t>Senkus</w:t>
      </w:r>
      <w:proofErr w:type="spellEnd"/>
      <w:r w:rsidRPr="0066313B">
        <w:rPr>
          <w:rFonts w:cs="Times New Roman"/>
          <w:lang w:val="en-US"/>
        </w:rPr>
        <w:t xml:space="preserve"> E, </w:t>
      </w:r>
      <w:proofErr w:type="spellStart"/>
      <w:r w:rsidRPr="0066313B">
        <w:rPr>
          <w:rFonts w:cs="Times New Roman"/>
          <w:lang w:val="en-US"/>
        </w:rPr>
        <w:t>Xu</w:t>
      </w:r>
      <w:proofErr w:type="spellEnd"/>
      <w:r w:rsidRPr="0066313B">
        <w:rPr>
          <w:rFonts w:cs="Times New Roman"/>
          <w:lang w:val="en-US"/>
        </w:rPr>
        <w:t xml:space="preserve"> B, </w:t>
      </w:r>
      <w:proofErr w:type="spellStart"/>
      <w:r w:rsidRPr="0066313B">
        <w:rPr>
          <w:rFonts w:cs="Times New Roman"/>
          <w:lang w:val="en-US"/>
        </w:rPr>
        <w:t>Domchek</w:t>
      </w:r>
      <w:proofErr w:type="spellEnd"/>
      <w:r w:rsidRPr="0066313B">
        <w:rPr>
          <w:rFonts w:cs="Times New Roman"/>
          <w:lang w:val="en-US"/>
        </w:rPr>
        <w:t xml:space="preserve"> SM, Masuda N, et al. </w:t>
      </w:r>
      <w:proofErr w:type="spellStart"/>
      <w:r w:rsidRPr="0066313B">
        <w:rPr>
          <w:rFonts w:cs="Times New Roman"/>
          <w:lang w:val="en-US"/>
        </w:rPr>
        <w:t>Olaparib</w:t>
      </w:r>
      <w:proofErr w:type="spellEnd"/>
      <w:r w:rsidRPr="0066313B">
        <w:rPr>
          <w:rFonts w:cs="Times New Roman"/>
          <w:lang w:val="en-US"/>
        </w:rPr>
        <w:t xml:space="preserve"> for Metastatic Breast Cancer in Patients with a </w:t>
      </w:r>
      <w:proofErr w:type="spellStart"/>
      <w:r w:rsidRPr="0066313B">
        <w:rPr>
          <w:rFonts w:cs="Times New Roman"/>
          <w:lang w:val="en-US"/>
        </w:rPr>
        <w:t>Germline</w:t>
      </w:r>
      <w:proofErr w:type="spellEnd"/>
      <w:r w:rsidRPr="0066313B">
        <w:rPr>
          <w:rFonts w:cs="Times New Roman"/>
          <w:lang w:val="en-US"/>
        </w:rPr>
        <w:t xml:space="preserve"> </w:t>
      </w:r>
      <w:r w:rsidRPr="0066313B">
        <w:rPr>
          <w:rFonts w:cs="Times New Roman"/>
          <w:i/>
          <w:iCs/>
          <w:lang w:val="en-US"/>
        </w:rPr>
        <w:t>BRCA</w:t>
      </w:r>
      <w:r w:rsidRPr="0066313B">
        <w:rPr>
          <w:rFonts w:cs="Times New Roman"/>
          <w:lang w:val="en-US"/>
        </w:rPr>
        <w:t xml:space="preserve"> Mutation. N </w:t>
      </w:r>
      <w:proofErr w:type="spellStart"/>
      <w:r w:rsidRPr="0066313B">
        <w:rPr>
          <w:rFonts w:cs="Times New Roman"/>
          <w:lang w:val="en-US"/>
        </w:rPr>
        <w:t>Engl</w:t>
      </w:r>
      <w:proofErr w:type="spellEnd"/>
      <w:r w:rsidRPr="0066313B">
        <w:rPr>
          <w:rFonts w:cs="Times New Roman"/>
          <w:lang w:val="en-US"/>
        </w:rPr>
        <w:t xml:space="preserve"> J Med. 2017 Aug 10</w:t>
      </w:r>
      <w:proofErr w:type="gramStart"/>
      <w:r w:rsidRPr="0066313B">
        <w:rPr>
          <w:rFonts w:cs="Times New Roman"/>
          <w:lang w:val="en-US"/>
        </w:rPr>
        <w:t>;377</w:t>
      </w:r>
      <w:proofErr w:type="gramEnd"/>
      <w:r w:rsidRPr="0066313B">
        <w:rPr>
          <w:rFonts w:cs="Times New Roman"/>
          <w:lang w:val="en-US"/>
        </w:rPr>
        <w:t xml:space="preserve">(6):523–33. </w:t>
      </w:r>
    </w:p>
    <w:p w:rsidR="00FB4CBC" w:rsidRPr="0066313B" w:rsidRDefault="00FB4CBC" w:rsidP="00FB4CBC">
      <w:pPr>
        <w:pStyle w:val="Bibliographie"/>
        <w:rPr>
          <w:rFonts w:cs="Times New Roman"/>
          <w:lang w:val="en-US"/>
        </w:rPr>
      </w:pPr>
      <w:r w:rsidRPr="0066313B">
        <w:rPr>
          <w:rFonts w:cs="Times New Roman"/>
          <w:lang w:val="en-US"/>
        </w:rPr>
        <w:t xml:space="preserve">18. </w:t>
      </w:r>
      <w:r w:rsidRPr="0066313B">
        <w:rPr>
          <w:rFonts w:cs="Times New Roman"/>
          <w:lang w:val="en-US"/>
        </w:rPr>
        <w:tab/>
        <w:t xml:space="preserve">Litton JK, </w:t>
      </w:r>
      <w:proofErr w:type="spellStart"/>
      <w:r w:rsidRPr="0066313B">
        <w:rPr>
          <w:rFonts w:cs="Times New Roman"/>
          <w:lang w:val="en-US"/>
        </w:rPr>
        <w:t>Rugo</w:t>
      </w:r>
      <w:proofErr w:type="spellEnd"/>
      <w:r w:rsidRPr="0066313B">
        <w:rPr>
          <w:rFonts w:cs="Times New Roman"/>
          <w:lang w:val="en-US"/>
        </w:rPr>
        <w:t xml:space="preserve"> HS, </w:t>
      </w:r>
      <w:proofErr w:type="spellStart"/>
      <w:r w:rsidRPr="0066313B">
        <w:rPr>
          <w:rFonts w:cs="Times New Roman"/>
          <w:lang w:val="en-US"/>
        </w:rPr>
        <w:t>Ettl</w:t>
      </w:r>
      <w:proofErr w:type="spellEnd"/>
      <w:r w:rsidRPr="0066313B">
        <w:rPr>
          <w:rFonts w:cs="Times New Roman"/>
          <w:lang w:val="en-US"/>
        </w:rPr>
        <w:t xml:space="preserve"> J, </w:t>
      </w:r>
      <w:proofErr w:type="spellStart"/>
      <w:r w:rsidRPr="0066313B">
        <w:rPr>
          <w:rFonts w:cs="Times New Roman"/>
          <w:lang w:val="en-US"/>
        </w:rPr>
        <w:t>Hurvitz</w:t>
      </w:r>
      <w:proofErr w:type="spellEnd"/>
      <w:r w:rsidRPr="0066313B">
        <w:rPr>
          <w:rFonts w:cs="Times New Roman"/>
          <w:lang w:val="en-US"/>
        </w:rPr>
        <w:t xml:space="preserve"> SA, </w:t>
      </w:r>
      <w:proofErr w:type="spellStart"/>
      <w:r w:rsidRPr="0066313B">
        <w:rPr>
          <w:rFonts w:cs="Times New Roman"/>
          <w:lang w:val="en-US"/>
        </w:rPr>
        <w:t>Gonçalves</w:t>
      </w:r>
      <w:proofErr w:type="spellEnd"/>
      <w:r w:rsidRPr="0066313B">
        <w:rPr>
          <w:rFonts w:cs="Times New Roman"/>
          <w:lang w:val="en-US"/>
        </w:rPr>
        <w:t xml:space="preserve"> A, Lee K-H, et al. </w:t>
      </w:r>
      <w:proofErr w:type="spellStart"/>
      <w:r w:rsidRPr="0066313B">
        <w:rPr>
          <w:rFonts w:cs="Times New Roman"/>
          <w:lang w:val="en-US"/>
        </w:rPr>
        <w:t>Talazoparib</w:t>
      </w:r>
      <w:proofErr w:type="spellEnd"/>
      <w:r w:rsidRPr="0066313B">
        <w:rPr>
          <w:rFonts w:cs="Times New Roman"/>
          <w:lang w:val="en-US"/>
        </w:rPr>
        <w:t xml:space="preserve"> in Patients with Advanced Breast Cancer and a </w:t>
      </w:r>
      <w:proofErr w:type="spellStart"/>
      <w:r w:rsidRPr="0066313B">
        <w:rPr>
          <w:rFonts w:cs="Times New Roman"/>
          <w:lang w:val="en-US"/>
        </w:rPr>
        <w:t>Germline</w:t>
      </w:r>
      <w:proofErr w:type="spellEnd"/>
      <w:r w:rsidRPr="0066313B">
        <w:rPr>
          <w:rFonts w:cs="Times New Roman"/>
          <w:lang w:val="en-US"/>
        </w:rPr>
        <w:t xml:space="preserve"> </w:t>
      </w:r>
      <w:r w:rsidRPr="0066313B">
        <w:rPr>
          <w:rFonts w:cs="Times New Roman"/>
          <w:i/>
          <w:iCs/>
          <w:lang w:val="en-US"/>
        </w:rPr>
        <w:t>BRCA</w:t>
      </w:r>
      <w:r w:rsidRPr="0066313B">
        <w:rPr>
          <w:rFonts w:cs="Times New Roman"/>
          <w:lang w:val="en-US"/>
        </w:rPr>
        <w:t xml:space="preserve"> Mutation. N </w:t>
      </w:r>
      <w:proofErr w:type="spellStart"/>
      <w:r w:rsidRPr="0066313B">
        <w:rPr>
          <w:rFonts w:cs="Times New Roman"/>
          <w:lang w:val="en-US"/>
        </w:rPr>
        <w:t>Engl</w:t>
      </w:r>
      <w:proofErr w:type="spellEnd"/>
      <w:r w:rsidRPr="0066313B">
        <w:rPr>
          <w:rFonts w:cs="Times New Roman"/>
          <w:lang w:val="en-US"/>
        </w:rPr>
        <w:t xml:space="preserve"> J Med. 2018 Aug 23</w:t>
      </w:r>
      <w:proofErr w:type="gramStart"/>
      <w:r w:rsidRPr="0066313B">
        <w:rPr>
          <w:rFonts w:cs="Times New Roman"/>
          <w:lang w:val="en-US"/>
        </w:rPr>
        <w:t>;379</w:t>
      </w:r>
      <w:proofErr w:type="gramEnd"/>
      <w:r w:rsidRPr="0066313B">
        <w:rPr>
          <w:rFonts w:cs="Times New Roman"/>
          <w:lang w:val="en-US"/>
        </w:rPr>
        <w:t xml:space="preserve">(8):753–63. </w:t>
      </w:r>
    </w:p>
    <w:p w:rsidR="00FB4CBC" w:rsidRPr="0066313B" w:rsidRDefault="00FB4CBC" w:rsidP="00FB4CBC">
      <w:pPr>
        <w:pStyle w:val="Bibliographie"/>
        <w:rPr>
          <w:rFonts w:cs="Times New Roman"/>
          <w:lang w:val="en-US"/>
        </w:rPr>
      </w:pPr>
      <w:r w:rsidRPr="0066313B">
        <w:rPr>
          <w:rFonts w:cs="Times New Roman"/>
          <w:lang w:val="en-US"/>
        </w:rPr>
        <w:t xml:space="preserve">19. </w:t>
      </w:r>
      <w:r w:rsidRPr="0066313B">
        <w:rPr>
          <w:rFonts w:cs="Times New Roman"/>
          <w:lang w:val="en-US"/>
        </w:rPr>
        <w:tab/>
        <w:t xml:space="preserve">LBA3_PRAlpelisib (ALP) + </w:t>
      </w:r>
      <w:proofErr w:type="spellStart"/>
      <w:r w:rsidRPr="0066313B">
        <w:rPr>
          <w:rFonts w:cs="Times New Roman"/>
          <w:lang w:val="en-US"/>
        </w:rPr>
        <w:t>fulvestrant</w:t>
      </w:r>
      <w:proofErr w:type="spellEnd"/>
      <w:r w:rsidRPr="0066313B">
        <w:rPr>
          <w:rFonts w:cs="Times New Roman"/>
          <w:lang w:val="en-US"/>
        </w:rPr>
        <w:t xml:space="preserve"> (FUL) for advanced breast cancer (ABC): Results of the phase III SOLAR-1 trial | Annals of Oncology | Oxford Academic [Internet]. [</w:t>
      </w:r>
      <w:proofErr w:type="gramStart"/>
      <w:r w:rsidRPr="0066313B">
        <w:rPr>
          <w:rFonts w:cs="Times New Roman"/>
          <w:lang w:val="en-US"/>
        </w:rPr>
        <w:t>cited</w:t>
      </w:r>
      <w:proofErr w:type="gramEnd"/>
      <w:r w:rsidRPr="0066313B">
        <w:rPr>
          <w:rFonts w:cs="Times New Roman"/>
          <w:lang w:val="en-US"/>
        </w:rPr>
        <w:t xml:space="preserve"> 2018 Oct 31]. Available from: https://academic.oup.com/annonc/article/29/suppl_8/mdy424.010/5141523?searchresult=1. </w:t>
      </w:r>
    </w:p>
    <w:p w:rsidR="00FB4CBC" w:rsidRPr="0066313B" w:rsidRDefault="00FB4CBC" w:rsidP="00FB4CBC">
      <w:pPr>
        <w:pStyle w:val="Bibliographie"/>
        <w:rPr>
          <w:rFonts w:cs="Times New Roman"/>
          <w:lang w:val="en-US"/>
        </w:rPr>
      </w:pPr>
      <w:r w:rsidRPr="0066313B">
        <w:rPr>
          <w:rFonts w:cs="Times New Roman"/>
          <w:lang w:val="en-US"/>
        </w:rPr>
        <w:t xml:space="preserve">20. </w:t>
      </w:r>
      <w:r w:rsidRPr="0066313B">
        <w:rPr>
          <w:rFonts w:cs="Times New Roman"/>
          <w:lang w:val="en-US"/>
        </w:rPr>
        <w:tab/>
      </w:r>
      <w:proofErr w:type="spellStart"/>
      <w:r w:rsidRPr="0066313B">
        <w:rPr>
          <w:rFonts w:cs="Times New Roman"/>
          <w:lang w:val="en-US"/>
        </w:rPr>
        <w:t>Hortobagyi</w:t>
      </w:r>
      <w:proofErr w:type="spellEnd"/>
      <w:r w:rsidRPr="0066313B">
        <w:rPr>
          <w:rFonts w:cs="Times New Roman"/>
          <w:lang w:val="en-US"/>
        </w:rPr>
        <w:t xml:space="preserve"> GN, Chen D, </w:t>
      </w:r>
      <w:proofErr w:type="spellStart"/>
      <w:r w:rsidRPr="0066313B">
        <w:rPr>
          <w:rFonts w:cs="Times New Roman"/>
          <w:lang w:val="en-US"/>
        </w:rPr>
        <w:t>Piccart</w:t>
      </w:r>
      <w:proofErr w:type="spellEnd"/>
      <w:r w:rsidRPr="0066313B">
        <w:rPr>
          <w:rFonts w:cs="Times New Roman"/>
          <w:lang w:val="en-US"/>
        </w:rPr>
        <w:t xml:space="preserve"> M, </w:t>
      </w:r>
      <w:proofErr w:type="spellStart"/>
      <w:proofErr w:type="gramStart"/>
      <w:r w:rsidRPr="0066313B">
        <w:rPr>
          <w:rFonts w:cs="Times New Roman"/>
          <w:lang w:val="en-US"/>
        </w:rPr>
        <w:t>Rugo</w:t>
      </w:r>
      <w:proofErr w:type="spellEnd"/>
      <w:proofErr w:type="gramEnd"/>
      <w:r w:rsidRPr="0066313B">
        <w:rPr>
          <w:rFonts w:cs="Times New Roman"/>
          <w:lang w:val="en-US"/>
        </w:rPr>
        <w:t xml:space="preserve"> HS, Burris HA, Pritchard KI, et al. Correlative Analysis of Genetic Alterations and </w:t>
      </w:r>
      <w:proofErr w:type="spellStart"/>
      <w:r w:rsidRPr="0066313B">
        <w:rPr>
          <w:rFonts w:cs="Times New Roman"/>
          <w:lang w:val="en-US"/>
        </w:rPr>
        <w:t>Everolimus</w:t>
      </w:r>
      <w:proofErr w:type="spellEnd"/>
      <w:r w:rsidRPr="0066313B">
        <w:rPr>
          <w:rFonts w:cs="Times New Roman"/>
          <w:lang w:val="en-US"/>
        </w:rPr>
        <w:t xml:space="preserve"> Benefit in Hormone Receptor–Positive, Human Epidermal Growth Factor Receptor 2–Negative Advanced Breast Cancer: Results From BOLERO-2. </w:t>
      </w:r>
      <w:proofErr w:type="gramStart"/>
      <w:r w:rsidRPr="0066313B">
        <w:rPr>
          <w:rFonts w:cs="Times New Roman"/>
          <w:lang w:val="en-US"/>
        </w:rPr>
        <w:t xml:space="preserve">J </w:t>
      </w:r>
      <w:proofErr w:type="spellStart"/>
      <w:r w:rsidRPr="0066313B">
        <w:rPr>
          <w:rFonts w:cs="Times New Roman"/>
          <w:lang w:val="en-US"/>
        </w:rPr>
        <w:t>Clin</w:t>
      </w:r>
      <w:proofErr w:type="spellEnd"/>
      <w:r w:rsidRPr="0066313B">
        <w:rPr>
          <w:rFonts w:cs="Times New Roman"/>
          <w:lang w:val="en-US"/>
        </w:rPr>
        <w:t xml:space="preserve"> </w:t>
      </w:r>
      <w:proofErr w:type="spellStart"/>
      <w:r w:rsidRPr="0066313B">
        <w:rPr>
          <w:rFonts w:cs="Times New Roman"/>
          <w:lang w:val="en-US"/>
        </w:rPr>
        <w:t>Oncol</w:t>
      </w:r>
      <w:proofErr w:type="spellEnd"/>
      <w:r w:rsidRPr="0066313B">
        <w:rPr>
          <w:rFonts w:cs="Times New Roman"/>
          <w:lang w:val="en-US"/>
        </w:rPr>
        <w:t>.</w:t>
      </w:r>
      <w:proofErr w:type="gramEnd"/>
      <w:r w:rsidRPr="0066313B">
        <w:rPr>
          <w:rFonts w:cs="Times New Roman"/>
          <w:lang w:val="en-US"/>
        </w:rPr>
        <w:t xml:space="preserve"> 2016 Feb 10</w:t>
      </w:r>
      <w:proofErr w:type="gramStart"/>
      <w:r w:rsidRPr="0066313B">
        <w:rPr>
          <w:rFonts w:cs="Times New Roman"/>
          <w:lang w:val="en-US"/>
        </w:rPr>
        <w:t>;34</w:t>
      </w:r>
      <w:proofErr w:type="gramEnd"/>
      <w:r w:rsidRPr="0066313B">
        <w:rPr>
          <w:rFonts w:cs="Times New Roman"/>
          <w:lang w:val="en-US"/>
        </w:rPr>
        <w:t xml:space="preserve">(5):419–26. </w:t>
      </w:r>
    </w:p>
    <w:p w:rsidR="00FB4CBC" w:rsidRPr="0066313B" w:rsidRDefault="00FB4CBC" w:rsidP="00FB4CBC">
      <w:pPr>
        <w:pStyle w:val="Bibliographie"/>
        <w:rPr>
          <w:rFonts w:cs="Times New Roman"/>
          <w:lang w:val="en-US"/>
        </w:rPr>
      </w:pPr>
      <w:r w:rsidRPr="0066313B">
        <w:rPr>
          <w:rFonts w:cs="Times New Roman"/>
          <w:lang w:val="en-US"/>
        </w:rPr>
        <w:t xml:space="preserve">21. </w:t>
      </w:r>
      <w:r w:rsidRPr="0066313B">
        <w:rPr>
          <w:rFonts w:cs="Times New Roman"/>
          <w:lang w:val="en-US"/>
        </w:rPr>
        <w:tab/>
        <w:t>Cortes-</w:t>
      </w:r>
      <w:proofErr w:type="spellStart"/>
      <w:r w:rsidRPr="0066313B">
        <w:rPr>
          <w:rFonts w:cs="Times New Roman"/>
          <w:lang w:val="en-US"/>
        </w:rPr>
        <w:t>Ciriano</w:t>
      </w:r>
      <w:proofErr w:type="spellEnd"/>
      <w:r w:rsidRPr="0066313B">
        <w:rPr>
          <w:rFonts w:cs="Times New Roman"/>
          <w:lang w:val="en-US"/>
        </w:rPr>
        <w:t xml:space="preserve"> I, Lee S, Park W-Y, Kim T-M, Park PJ. </w:t>
      </w:r>
      <w:proofErr w:type="gramStart"/>
      <w:r w:rsidRPr="0066313B">
        <w:rPr>
          <w:rFonts w:cs="Times New Roman"/>
          <w:lang w:val="en-US"/>
        </w:rPr>
        <w:t>A molecular portrait of microsatellite instability across multiple cancers.</w:t>
      </w:r>
      <w:proofErr w:type="gramEnd"/>
      <w:r w:rsidRPr="0066313B">
        <w:rPr>
          <w:rFonts w:cs="Times New Roman"/>
          <w:lang w:val="en-US"/>
        </w:rPr>
        <w:t xml:space="preserve"> Nat </w:t>
      </w:r>
      <w:proofErr w:type="spellStart"/>
      <w:r w:rsidRPr="0066313B">
        <w:rPr>
          <w:rFonts w:cs="Times New Roman"/>
          <w:lang w:val="en-US"/>
        </w:rPr>
        <w:t>Commun</w:t>
      </w:r>
      <w:proofErr w:type="spellEnd"/>
      <w:r w:rsidRPr="0066313B">
        <w:rPr>
          <w:rFonts w:cs="Times New Roman"/>
          <w:lang w:val="en-US"/>
        </w:rPr>
        <w:t>. 2017 Jun 6</w:t>
      </w:r>
      <w:proofErr w:type="gramStart"/>
      <w:r w:rsidRPr="0066313B">
        <w:rPr>
          <w:rFonts w:cs="Times New Roman"/>
          <w:lang w:val="en-US"/>
        </w:rPr>
        <w:t>;8:15180</w:t>
      </w:r>
      <w:proofErr w:type="gramEnd"/>
      <w:r w:rsidRPr="0066313B">
        <w:rPr>
          <w:rFonts w:cs="Times New Roman"/>
          <w:lang w:val="en-US"/>
        </w:rPr>
        <w:t xml:space="preserve">. </w:t>
      </w:r>
    </w:p>
    <w:p w:rsidR="00FB4CBC" w:rsidRPr="0066313B" w:rsidRDefault="00FB4CBC" w:rsidP="00FB4CBC">
      <w:pPr>
        <w:pStyle w:val="Bibliographie"/>
        <w:rPr>
          <w:rFonts w:cs="Times New Roman"/>
          <w:lang w:val="en-US"/>
        </w:rPr>
      </w:pPr>
      <w:r w:rsidRPr="0066313B">
        <w:rPr>
          <w:rFonts w:cs="Times New Roman"/>
          <w:lang w:val="en-US"/>
        </w:rPr>
        <w:t xml:space="preserve">22. </w:t>
      </w:r>
      <w:r w:rsidRPr="0066313B">
        <w:rPr>
          <w:rFonts w:cs="Times New Roman"/>
          <w:lang w:val="en-US"/>
        </w:rPr>
        <w:tab/>
        <w:t xml:space="preserve">Le DT, </w:t>
      </w:r>
      <w:proofErr w:type="spellStart"/>
      <w:r w:rsidRPr="0066313B">
        <w:rPr>
          <w:rFonts w:cs="Times New Roman"/>
          <w:lang w:val="en-US"/>
        </w:rPr>
        <w:t>Uram</w:t>
      </w:r>
      <w:proofErr w:type="spellEnd"/>
      <w:r w:rsidRPr="0066313B">
        <w:rPr>
          <w:rFonts w:cs="Times New Roman"/>
          <w:lang w:val="en-US"/>
        </w:rPr>
        <w:t xml:space="preserve"> JN, Wang H, Bartlett BR, </w:t>
      </w:r>
      <w:proofErr w:type="spellStart"/>
      <w:r w:rsidRPr="0066313B">
        <w:rPr>
          <w:rFonts w:cs="Times New Roman"/>
          <w:lang w:val="en-US"/>
        </w:rPr>
        <w:t>Kemberling</w:t>
      </w:r>
      <w:proofErr w:type="spellEnd"/>
      <w:r w:rsidRPr="0066313B">
        <w:rPr>
          <w:rFonts w:cs="Times New Roman"/>
          <w:lang w:val="en-US"/>
        </w:rPr>
        <w:t xml:space="preserve"> H, </w:t>
      </w:r>
      <w:proofErr w:type="spellStart"/>
      <w:r w:rsidRPr="0066313B">
        <w:rPr>
          <w:rFonts w:cs="Times New Roman"/>
          <w:lang w:val="en-US"/>
        </w:rPr>
        <w:t>Eyring</w:t>
      </w:r>
      <w:proofErr w:type="spellEnd"/>
      <w:r w:rsidRPr="0066313B">
        <w:rPr>
          <w:rFonts w:cs="Times New Roman"/>
          <w:lang w:val="en-US"/>
        </w:rPr>
        <w:t xml:space="preserve"> AD, et al. PD-1 Blockade in Tumors with Mismatch-Repair Deficiency. N </w:t>
      </w:r>
      <w:proofErr w:type="spellStart"/>
      <w:r w:rsidRPr="0066313B">
        <w:rPr>
          <w:rFonts w:cs="Times New Roman"/>
          <w:lang w:val="en-US"/>
        </w:rPr>
        <w:t>Engl</w:t>
      </w:r>
      <w:proofErr w:type="spellEnd"/>
      <w:r w:rsidRPr="0066313B">
        <w:rPr>
          <w:rFonts w:cs="Times New Roman"/>
          <w:lang w:val="en-US"/>
        </w:rPr>
        <w:t xml:space="preserve"> J Med. 2015 Jun 25</w:t>
      </w:r>
      <w:proofErr w:type="gramStart"/>
      <w:r w:rsidRPr="0066313B">
        <w:rPr>
          <w:rFonts w:cs="Times New Roman"/>
          <w:lang w:val="en-US"/>
        </w:rPr>
        <w:t>;372</w:t>
      </w:r>
      <w:proofErr w:type="gramEnd"/>
      <w:r w:rsidRPr="0066313B">
        <w:rPr>
          <w:rFonts w:cs="Times New Roman"/>
          <w:lang w:val="en-US"/>
        </w:rPr>
        <w:t xml:space="preserve">(26):2509–20. </w:t>
      </w:r>
    </w:p>
    <w:p w:rsidR="00FB4CBC" w:rsidRPr="0066313B" w:rsidRDefault="00FB4CBC" w:rsidP="00FB4CBC">
      <w:pPr>
        <w:pStyle w:val="Bibliographie"/>
        <w:rPr>
          <w:rFonts w:cs="Times New Roman"/>
          <w:lang w:val="en-US"/>
        </w:rPr>
      </w:pPr>
      <w:r w:rsidRPr="0066313B">
        <w:rPr>
          <w:rFonts w:cs="Times New Roman"/>
          <w:lang w:val="en-US"/>
        </w:rPr>
        <w:t xml:space="preserve">23. </w:t>
      </w:r>
      <w:r w:rsidRPr="0066313B">
        <w:rPr>
          <w:rFonts w:cs="Times New Roman"/>
          <w:lang w:val="en-US"/>
        </w:rPr>
        <w:tab/>
      </w:r>
      <w:proofErr w:type="spellStart"/>
      <w:r w:rsidRPr="0066313B">
        <w:rPr>
          <w:rFonts w:cs="Times New Roman"/>
          <w:lang w:val="en-US"/>
        </w:rPr>
        <w:t>Pembrolizumab</w:t>
      </w:r>
      <w:proofErr w:type="spellEnd"/>
      <w:r w:rsidRPr="0066313B">
        <w:rPr>
          <w:rFonts w:cs="Times New Roman"/>
          <w:lang w:val="en-US"/>
        </w:rPr>
        <w:t xml:space="preserve"> package insert. http://www.merck.com/product/usa/ </w:t>
      </w:r>
      <w:proofErr w:type="spellStart"/>
      <w:r w:rsidRPr="0066313B">
        <w:rPr>
          <w:rFonts w:cs="Times New Roman"/>
          <w:lang w:val="en-US"/>
        </w:rPr>
        <w:t>pi_circulars</w:t>
      </w:r>
      <w:proofErr w:type="spellEnd"/>
      <w:r w:rsidRPr="0066313B">
        <w:rPr>
          <w:rFonts w:cs="Times New Roman"/>
          <w:lang w:val="en-US"/>
        </w:rPr>
        <w:t>/k/</w:t>
      </w:r>
      <w:proofErr w:type="spellStart"/>
      <w:r w:rsidRPr="0066313B">
        <w:rPr>
          <w:rFonts w:cs="Times New Roman"/>
          <w:lang w:val="en-US"/>
        </w:rPr>
        <w:t>keytruda</w:t>
      </w:r>
      <w:proofErr w:type="spellEnd"/>
      <w:r w:rsidRPr="0066313B">
        <w:rPr>
          <w:rFonts w:cs="Times New Roman"/>
          <w:lang w:val="en-US"/>
        </w:rPr>
        <w:t xml:space="preserve">/keytruda_pi.pdf. </w:t>
      </w:r>
      <w:proofErr w:type="gramStart"/>
      <w:r w:rsidRPr="0066313B">
        <w:rPr>
          <w:rFonts w:cs="Times New Roman"/>
          <w:lang w:val="en-US"/>
        </w:rPr>
        <w:t>Accessed 18 Jan 2019.</w:t>
      </w:r>
      <w:proofErr w:type="gramEnd"/>
      <w:r w:rsidRPr="0066313B">
        <w:rPr>
          <w:rFonts w:cs="Times New Roman"/>
          <w:lang w:val="en-US"/>
        </w:rPr>
        <w:t xml:space="preserve"> </w:t>
      </w:r>
    </w:p>
    <w:p w:rsidR="00FB4CBC" w:rsidRPr="0066313B" w:rsidRDefault="00FB4CBC" w:rsidP="00FB4CBC">
      <w:pPr>
        <w:pStyle w:val="Bibliographie"/>
        <w:rPr>
          <w:rFonts w:cs="Times New Roman"/>
          <w:lang w:val="en-US"/>
        </w:rPr>
      </w:pPr>
      <w:r w:rsidRPr="0066313B">
        <w:rPr>
          <w:rFonts w:cs="Times New Roman"/>
          <w:lang w:val="en-US"/>
        </w:rPr>
        <w:t xml:space="preserve">24. </w:t>
      </w:r>
      <w:r w:rsidRPr="0066313B">
        <w:rPr>
          <w:rFonts w:cs="Times New Roman"/>
          <w:lang w:val="en-US"/>
        </w:rPr>
        <w:tab/>
      </w:r>
      <w:proofErr w:type="spellStart"/>
      <w:r w:rsidRPr="0066313B">
        <w:rPr>
          <w:rFonts w:cs="Times New Roman"/>
          <w:lang w:val="en-US"/>
        </w:rPr>
        <w:t>Amatu</w:t>
      </w:r>
      <w:proofErr w:type="spellEnd"/>
      <w:r w:rsidRPr="0066313B">
        <w:rPr>
          <w:rFonts w:cs="Times New Roman"/>
          <w:lang w:val="en-US"/>
        </w:rPr>
        <w:t xml:space="preserve"> A, </w:t>
      </w:r>
      <w:proofErr w:type="spellStart"/>
      <w:r w:rsidRPr="0066313B">
        <w:rPr>
          <w:rFonts w:cs="Times New Roman"/>
          <w:lang w:val="en-US"/>
        </w:rPr>
        <w:t>Sartore</w:t>
      </w:r>
      <w:proofErr w:type="spellEnd"/>
      <w:r w:rsidRPr="0066313B">
        <w:rPr>
          <w:rFonts w:cs="Times New Roman"/>
          <w:lang w:val="en-US"/>
        </w:rPr>
        <w:t xml:space="preserve">-Bianchi A, Siena S. NTRK gene fusions as novel targets of cancer therapy across multiple </w:t>
      </w:r>
      <w:proofErr w:type="spellStart"/>
      <w:r w:rsidRPr="0066313B">
        <w:rPr>
          <w:rFonts w:cs="Times New Roman"/>
          <w:lang w:val="en-US"/>
        </w:rPr>
        <w:t>tumour</w:t>
      </w:r>
      <w:proofErr w:type="spellEnd"/>
      <w:r w:rsidRPr="0066313B">
        <w:rPr>
          <w:rFonts w:cs="Times New Roman"/>
          <w:lang w:val="en-US"/>
        </w:rPr>
        <w:t xml:space="preserve"> types. </w:t>
      </w:r>
      <w:proofErr w:type="gramStart"/>
      <w:r w:rsidRPr="0066313B">
        <w:rPr>
          <w:rFonts w:cs="Times New Roman"/>
          <w:lang w:val="en-US"/>
        </w:rPr>
        <w:t>ESMO Open.</w:t>
      </w:r>
      <w:proofErr w:type="gramEnd"/>
      <w:r w:rsidRPr="0066313B">
        <w:rPr>
          <w:rFonts w:cs="Times New Roman"/>
          <w:lang w:val="en-US"/>
        </w:rPr>
        <w:t xml:space="preserve"> 2016</w:t>
      </w:r>
      <w:proofErr w:type="gramStart"/>
      <w:r w:rsidRPr="0066313B">
        <w:rPr>
          <w:rFonts w:cs="Times New Roman"/>
          <w:lang w:val="en-US"/>
        </w:rPr>
        <w:t>;1</w:t>
      </w:r>
      <w:proofErr w:type="gramEnd"/>
      <w:r w:rsidRPr="0066313B">
        <w:rPr>
          <w:rFonts w:cs="Times New Roman"/>
          <w:lang w:val="en-US"/>
        </w:rPr>
        <w:t xml:space="preserve">(2):e000023. </w:t>
      </w:r>
    </w:p>
    <w:p w:rsidR="00FB4CBC" w:rsidRPr="0066313B" w:rsidRDefault="00FB4CBC" w:rsidP="00FB4CBC">
      <w:pPr>
        <w:pStyle w:val="Bibliographie"/>
        <w:rPr>
          <w:rFonts w:cs="Times New Roman"/>
          <w:lang w:val="en-US"/>
        </w:rPr>
      </w:pPr>
      <w:r w:rsidRPr="0066313B">
        <w:rPr>
          <w:rFonts w:cs="Times New Roman"/>
          <w:lang w:val="en-US"/>
        </w:rPr>
        <w:t xml:space="preserve">25. </w:t>
      </w:r>
      <w:r w:rsidRPr="0066313B">
        <w:rPr>
          <w:rFonts w:cs="Times New Roman"/>
          <w:lang w:val="en-US"/>
        </w:rPr>
        <w:tab/>
      </w:r>
      <w:r w:rsidRPr="00FB4CBC">
        <w:rPr>
          <w:rFonts w:cs="Times New Roman"/>
          <w:lang w:val="en-US"/>
        </w:rPr>
        <w:t xml:space="preserve">Drilon A, Laetsch TW, Kummar S, DuBois SG, Lassen UN, Demetri GD, et al. </w:t>
      </w:r>
      <w:r w:rsidRPr="0066313B">
        <w:rPr>
          <w:rFonts w:cs="Times New Roman"/>
          <w:lang w:val="en-US"/>
        </w:rPr>
        <w:t xml:space="preserve">Efficacy of </w:t>
      </w:r>
      <w:proofErr w:type="spellStart"/>
      <w:r w:rsidRPr="0066313B">
        <w:rPr>
          <w:rFonts w:cs="Times New Roman"/>
          <w:lang w:val="en-US"/>
        </w:rPr>
        <w:t>Larotrectinib</w:t>
      </w:r>
      <w:proofErr w:type="spellEnd"/>
      <w:r w:rsidRPr="0066313B">
        <w:rPr>
          <w:rFonts w:cs="Times New Roman"/>
          <w:lang w:val="en-US"/>
        </w:rPr>
        <w:t xml:space="preserve"> in </w:t>
      </w:r>
      <w:r w:rsidRPr="0066313B">
        <w:rPr>
          <w:rFonts w:cs="Times New Roman"/>
          <w:i/>
          <w:iCs/>
          <w:lang w:val="en-US"/>
        </w:rPr>
        <w:t>TRK</w:t>
      </w:r>
      <w:r w:rsidRPr="0066313B">
        <w:rPr>
          <w:rFonts w:cs="Times New Roman"/>
          <w:lang w:val="en-US"/>
        </w:rPr>
        <w:t xml:space="preserve"> Fusion–Positive Cancers in Adults and Children. N </w:t>
      </w:r>
      <w:proofErr w:type="spellStart"/>
      <w:r w:rsidRPr="0066313B">
        <w:rPr>
          <w:rFonts w:cs="Times New Roman"/>
          <w:lang w:val="en-US"/>
        </w:rPr>
        <w:t>Engl</w:t>
      </w:r>
      <w:proofErr w:type="spellEnd"/>
      <w:r w:rsidRPr="0066313B">
        <w:rPr>
          <w:rFonts w:cs="Times New Roman"/>
          <w:lang w:val="en-US"/>
        </w:rPr>
        <w:t xml:space="preserve"> J Med. 2018 Feb 22</w:t>
      </w:r>
      <w:proofErr w:type="gramStart"/>
      <w:r w:rsidRPr="0066313B">
        <w:rPr>
          <w:rFonts w:cs="Times New Roman"/>
          <w:lang w:val="en-US"/>
        </w:rPr>
        <w:t>;378</w:t>
      </w:r>
      <w:proofErr w:type="gramEnd"/>
      <w:r w:rsidRPr="0066313B">
        <w:rPr>
          <w:rFonts w:cs="Times New Roman"/>
          <w:lang w:val="en-US"/>
        </w:rPr>
        <w:t xml:space="preserve">(8):731–9. </w:t>
      </w:r>
    </w:p>
    <w:p w:rsidR="00FB4CBC" w:rsidRPr="0066313B" w:rsidRDefault="00FB4CBC" w:rsidP="00FB4CBC">
      <w:pPr>
        <w:pStyle w:val="Bibliographie"/>
        <w:rPr>
          <w:rFonts w:cs="Times New Roman"/>
          <w:lang w:val="en-US"/>
        </w:rPr>
      </w:pPr>
      <w:r w:rsidRPr="0066313B">
        <w:rPr>
          <w:rFonts w:cs="Times New Roman"/>
          <w:lang w:val="en-US"/>
        </w:rPr>
        <w:t xml:space="preserve">26. </w:t>
      </w:r>
      <w:r w:rsidRPr="0066313B">
        <w:rPr>
          <w:rFonts w:cs="Times New Roman"/>
          <w:lang w:val="en-US"/>
        </w:rPr>
        <w:tab/>
      </w:r>
      <w:proofErr w:type="spellStart"/>
      <w:r w:rsidRPr="0066313B">
        <w:rPr>
          <w:rFonts w:cs="Times New Roman"/>
          <w:lang w:val="en-US"/>
        </w:rPr>
        <w:t>Fribbens</w:t>
      </w:r>
      <w:proofErr w:type="spellEnd"/>
      <w:r w:rsidRPr="0066313B">
        <w:rPr>
          <w:rFonts w:cs="Times New Roman"/>
          <w:lang w:val="en-US"/>
        </w:rPr>
        <w:t xml:space="preserve"> C, O’Leary B, Kilburn L, </w:t>
      </w:r>
      <w:proofErr w:type="spellStart"/>
      <w:r w:rsidRPr="0066313B">
        <w:rPr>
          <w:rFonts w:cs="Times New Roman"/>
          <w:lang w:val="en-US"/>
        </w:rPr>
        <w:t>Hrebien</w:t>
      </w:r>
      <w:proofErr w:type="spellEnd"/>
      <w:r w:rsidRPr="0066313B">
        <w:rPr>
          <w:rFonts w:cs="Times New Roman"/>
          <w:lang w:val="en-US"/>
        </w:rPr>
        <w:t xml:space="preserve"> S, Garcia-</w:t>
      </w:r>
      <w:proofErr w:type="spellStart"/>
      <w:r w:rsidRPr="0066313B">
        <w:rPr>
          <w:rFonts w:cs="Times New Roman"/>
          <w:lang w:val="en-US"/>
        </w:rPr>
        <w:t>Murillas</w:t>
      </w:r>
      <w:proofErr w:type="spellEnd"/>
      <w:r w:rsidRPr="0066313B">
        <w:rPr>
          <w:rFonts w:cs="Times New Roman"/>
          <w:lang w:val="en-US"/>
        </w:rPr>
        <w:t xml:space="preserve"> I, </w:t>
      </w:r>
      <w:proofErr w:type="spellStart"/>
      <w:r w:rsidRPr="0066313B">
        <w:rPr>
          <w:rFonts w:cs="Times New Roman"/>
          <w:lang w:val="en-US"/>
        </w:rPr>
        <w:t>Beaney</w:t>
      </w:r>
      <w:proofErr w:type="spellEnd"/>
      <w:r w:rsidRPr="0066313B">
        <w:rPr>
          <w:rFonts w:cs="Times New Roman"/>
          <w:lang w:val="en-US"/>
        </w:rPr>
        <w:t xml:space="preserve"> M, et al. Plasma </w:t>
      </w:r>
      <w:r w:rsidRPr="0066313B">
        <w:rPr>
          <w:rFonts w:cs="Times New Roman"/>
          <w:i/>
          <w:iCs/>
          <w:lang w:val="en-US"/>
        </w:rPr>
        <w:t>ESR1</w:t>
      </w:r>
      <w:r w:rsidRPr="0066313B">
        <w:rPr>
          <w:rFonts w:cs="Times New Roman"/>
          <w:lang w:val="en-US"/>
        </w:rPr>
        <w:t xml:space="preserve"> Mutations and the Treatment of Estrogen Receptor–Positive Advanced Breast Cancer. </w:t>
      </w:r>
      <w:proofErr w:type="gramStart"/>
      <w:r w:rsidRPr="0066313B">
        <w:rPr>
          <w:rFonts w:cs="Times New Roman"/>
          <w:lang w:val="en-US"/>
        </w:rPr>
        <w:t xml:space="preserve">J </w:t>
      </w:r>
      <w:proofErr w:type="spellStart"/>
      <w:r w:rsidRPr="0066313B">
        <w:rPr>
          <w:rFonts w:cs="Times New Roman"/>
          <w:lang w:val="en-US"/>
        </w:rPr>
        <w:t>Clin</w:t>
      </w:r>
      <w:proofErr w:type="spellEnd"/>
      <w:r w:rsidRPr="0066313B">
        <w:rPr>
          <w:rFonts w:cs="Times New Roman"/>
          <w:lang w:val="en-US"/>
        </w:rPr>
        <w:t xml:space="preserve"> </w:t>
      </w:r>
      <w:proofErr w:type="spellStart"/>
      <w:r w:rsidRPr="0066313B">
        <w:rPr>
          <w:rFonts w:cs="Times New Roman"/>
          <w:lang w:val="en-US"/>
        </w:rPr>
        <w:t>Oncol</w:t>
      </w:r>
      <w:proofErr w:type="spellEnd"/>
      <w:r w:rsidRPr="0066313B">
        <w:rPr>
          <w:rFonts w:cs="Times New Roman"/>
          <w:lang w:val="en-US"/>
        </w:rPr>
        <w:t>.</w:t>
      </w:r>
      <w:proofErr w:type="gramEnd"/>
      <w:r w:rsidRPr="0066313B">
        <w:rPr>
          <w:rFonts w:cs="Times New Roman"/>
          <w:lang w:val="en-US"/>
        </w:rPr>
        <w:t xml:space="preserve"> 2016 Sep</w:t>
      </w:r>
      <w:proofErr w:type="gramStart"/>
      <w:r w:rsidRPr="0066313B">
        <w:rPr>
          <w:rFonts w:cs="Times New Roman"/>
          <w:lang w:val="en-US"/>
        </w:rPr>
        <w:t>;34</w:t>
      </w:r>
      <w:proofErr w:type="gramEnd"/>
      <w:r w:rsidRPr="0066313B">
        <w:rPr>
          <w:rFonts w:cs="Times New Roman"/>
          <w:lang w:val="en-US"/>
        </w:rPr>
        <w:t xml:space="preserve">(25):2961–8. </w:t>
      </w:r>
    </w:p>
    <w:p w:rsidR="00FB4CBC" w:rsidRPr="0066313B" w:rsidRDefault="00FB4CBC" w:rsidP="00FB4CBC">
      <w:pPr>
        <w:pStyle w:val="Bibliographie"/>
        <w:rPr>
          <w:rFonts w:cs="Times New Roman"/>
          <w:lang w:val="en-US"/>
        </w:rPr>
      </w:pPr>
      <w:r w:rsidRPr="0066313B">
        <w:rPr>
          <w:rFonts w:cs="Times New Roman"/>
          <w:lang w:val="en-US"/>
        </w:rPr>
        <w:lastRenderedPageBreak/>
        <w:t xml:space="preserve">27. </w:t>
      </w:r>
      <w:r w:rsidRPr="0066313B">
        <w:rPr>
          <w:rFonts w:cs="Times New Roman"/>
          <w:lang w:val="en-US"/>
        </w:rPr>
        <w:tab/>
        <w:t xml:space="preserve">Meeting Library | AZD5363 plus paclitaxel versus placebo plus paclitaxel as first-line therapy for metastatic triple-negative breast cancer (PAKT): A </w:t>
      </w:r>
      <w:proofErr w:type="spellStart"/>
      <w:r w:rsidRPr="0066313B">
        <w:rPr>
          <w:rFonts w:cs="Times New Roman"/>
          <w:lang w:val="en-US"/>
        </w:rPr>
        <w:t>randomised</w:t>
      </w:r>
      <w:proofErr w:type="spellEnd"/>
      <w:r w:rsidRPr="0066313B">
        <w:rPr>
          <w:rFonts w:cs="Times New Roman"/>
          <w:lang w:val="en-US"/>
        </w:rPr>
        <w:t xml:space="preserve">, double-blind, placebo-controlled, phase II trial. </w:t>
      </w:r>
      <w:proofErr w:type="gramStart"/>
      <w:r w:rsidRPr="0066313B">
        <w:rPr>
          <w:rFonts w:cs="Times New Roman"/>
          <w:lang w:val="en-US"/>
        </w:rPr>
        <w:t>[Internet].</w:t>
      </w:r>
      <w:proofErr w:type="gramEnd"/>
      <w:r w:rsidRPr="0066313B">
        <w:rPr>
          <w:rFonts w:cs="Times New Roman"/>
          <w:lang w:val="en-US"/>
        </w:rPr>
        <w:t xml:space="preserve"> [</w:t>
      </w:r>
      <w:proofErr w:type="gramStart"/>
      <w:r w:rsidRPr="0066313B">
        <w:rPr>
          <w:rFonts w:cs="Times New Roman"/>
          <w:lang w:val="en-US"/>
        </w:rPr>
        <w:t>cited</w:t>
      </w:r>
      <w:proofErr w:type="gramEnd"/>
      <w:r w:rsidRPr="0066313B">
        <w:rPr>
          <w:rFonts w:cs="Times New Roman"/>
          <w:lang w:val="en-US"/>
        </w:rPr>
        <w:t xml:space="preserve"> 2018 Oct 29]. Available from: </w:t>
      </w:r>
      <w:r>
        <w:rPr>
          <w:rFonts w:cs="Times New Roman"/>
          <w:lang w:val="en-US"/>
        </w:rPr>
        <w:t>ht</w:t>
      </w:r>
      <w:r w:rsidRPr="0066313B">
        <w:rPr>
          <w:rFonts w:cs="Times New Roman"/>
          <w:lang w:val="en-US"/>
        </w:rPr>
        <w:t>tps://meetinglibrary.asco.org/record/158551/abstract</w:t>
      </w:r>
    </w:p>
    <w:p w:rsidR="00FB4CBC" w:rsidRPr="00FB4CBC" w:rsidRDefault="00FB4CBC" w:rsidP="00FB4CBC">
      <w:pPr>
        <w:pStyle w:val="Bibliographie"/>
        <w:rPr>
          <w:rFonts w:cs="Times New Roman"/>
          <w:lang w:val="en-US"/>
        </w:rPr>
      </w:pPr>
      <w:r w:rsidRPr="0066313B">
        <w:rPr>
          <w:rFonts w:cs="Times New Roman"/>
          <w:lang w:val="en-US"/>
        </w:rPr>
        <w:t xml:space="preserve">28. </w:t>
      </w:r>
      <w:r w:rsidRPr="0066313B">
        <w:rPr>
          <w:rFonts w:cs="Times New Roman"/>
          <w:lang w:val="en-US"/>
        </w:rPr>
        <w:tab/>
        <w:t xml:space="preserve">Hyman DM, Smyth LM, Donoghue MTA, Westin SN, </w:t>
      </w:r>
      <w:proofErr w:type="spellStart"/>
      <w:r w:rsidRPr="0066313B">
        <w:rPr>
          <w:rFonts w:cs="Times New Roman"/>
          <w:lang w:val="en-US"/>
        </w:rPr>
        <w:t>Bedard</w:t>
      </w:r>
      <w:proofErr w:type="spellEnd"/>
      <w:r w:rsidRPr="0066313B">
        <w:rPr>
          <w:rFonts w:cs="Times New Roman"/>
          <w:lang w:val="en-US"/>
        </w:rPr>
        <w:t xml:space="preserve"> PL, Dean EJ, et al. AKT Inhibition in Solid Tumors With </w:t>
      </w:r>
      <w:r w:rsidRPr="0066313B">
        <w:rPr>
          <w:rFonts w:cs="Times New Roman"/>
          <w:i/>
          <w:iCs/>
          <w:lang w:val="en-US"/>
        </w:rPr>
        <w:t>AKT1</w:t>
      </w:r>
      <w:r w:rsidRPr="0066313B">
        <w:rPr>
          <w:rFonts w:cs="Times New Roman"/>
          <w:lang w:val="en-US"/>
        </w:rPr>
        <w:t xml:space="preserve"> Mutations. </w:t>
      </w:r>
      <w:proofErr w:type="gramStart"/>
      <w:r w:rsidRPr="0066313B">
        <w:rPr>
          <w:rFonts w:cs="Times New Roman"/>
          <w:lang w:val="en-US"/>
        </w:rPr>
        <w:t xml:space="preserve">J </w:t>
      </w:r>
      <w:proofErr w:type="spellStart"/>
      <w:r w:rsidRPr="0066313B">
        <w:rPr>
          <w:rFonts w:cs="Times New Roman"/>
          <w:lang w:val="en-US"/>
        </w:rPr>
        <w:t>Clin</w:t>
      </w:r>
      <w:proofErr w:type="spellEnd"/>
      <w:r w:rsidRPr="0066313B">
        <w:rPr>
          <w:rFonts w:cs="Times New Roman"/>
          <w:lang w:val="en-US"/>
        </w:rPr>
        <w:t xml:space="preserve"> </w:t>
      </w:r>
      <w:proofErr w:type="spellStart"/>
      <w:r w:rsidRPr="0066313B">
        <w:rPr>
          <w:rFonts w:cs="Times New Roman"/>
          <w:lang w:val="en-US"/>
        </w:rPr>
        <w:t>Oncol</w:t>
      </w:r>
      <w:proofErr w:type="spellEnd"/>
      <w:r w:rsidRPr="0066313B">
        <w:rPr>
          <w:rFonts w:cs="Times New Roman"/>
          <w:lang w:val="en-US"/>
        </w:rPr>
        <w:t>.</w:t>
      </w:r>
      <w:proofErr w:type="gramEnd"/>
      <w:r w:rsidRPr="0066313B">
        <w:rPr>
          <w:rFonts w:cs="Times New Roman"/>
          <w:lang w:val="en-US"/>
        </w:rPr>
        <w:t xml:space="preserve"> </w:t>
      </w:r>
      <w:r w:rsidRPr="00FB4CBC">
        <w:rPr>
          <w:rFonts w:cs="Times New Roman"/>
          <w:lang w:val="en-US"/>
        </w:rPr>
        <w:t xml:space="preserve">2017 Jul 10;35(20):2251–9. </w:t>
      </w:r>
    </w:p>
    <w:p w:rsidR="00FB4CBC" w:rsidRDefault="00FB4CBC" w:rsidP="00FB4CBC">
      <w:pPr>
        <w:spacing w:after="0" w:line="240" w:lineRule="auto"/>
        <w:rPr>
          <w:lang w:val="en-US"/>
        </w:rPr>
      </w:pPr>
      <w:r w:rsidRPr="0066313B">
        <w:rPr>
          <w:lang w:val="en-US"/>
        </w:rPr>
        <w:t xml:space="preserve">29. </w:t>
      </w:r>
      <w:r>
        <w:rPr>
          <w:lang w:val="en-US"/>
        </w:rPr>
        <w:t xml:space="preserve">Emma Dean, </w:t>
      </w:r>
      <w:proofErr w:type="spellStart"/>
      <w:r>
        <w:rPr>
          <w:lang w:val="en-US"/>
        </w:rPr>
        <w:t>Udai</w:t>
      </w:r>
      <w:proofErr w:type="spellEnd"/>
      <w:r>
        <w:rPr>
          <w:lang w:val="en-US"/>
        </w:rPr>
        <w:t> </w:t>
      </w:r>
      <w:proofErr w:type="spellStart"/>
      <w:r>
        <w:rPr>
          <w:lang w:val="en-US"/>
        </w:rPr>
        <w:t>Banerji</w:t>
      </w:r>
      <w:proofErr w:type="spellEnd"/>
      <w:r>
        <w:rPr>
          <w:lang w:val="en-US"/>
        </w:rPr>
        <w:t>, Jan H. M. </w:t>
      </w:r>
      <w:proofErr w:type="spellStart"/>
      <w:r>
        <w:rPr>
          <w:lang w:val="en-US"/>
        </w:rPr>
        <w:t>Schellens</w:t>
      </w:r>
      <w:proofErr w:type="spellEnd"/>
      <w:r>
        <w:rPr>
          <w:lang w:val="en-US"/>
        </w:rPr>
        <w:t>, Matthew G. Krebs</w:t>
      </w:r>
      <w:proofErr w:type="gramStart"/>
      <w:r>
        <w:rPr>
          <w:lang w:val="en-US"/>
        </w:rPr>
        <w:t xml:space="preserve">,  </w:t>
      </w:r>
      <w:proofErr w:type="spellStart"/>
      <w:r>
        <w:rPr>
          <w:lang w:val="en-US"/>
        </w:rPr>
        <w:t>Begona</w:t>
      </w:r>
      <w:proofErr w:type="spellEnd"/>
      <w:proofErr w:type="gramEnd"/>
      <w:r>
        <w:rPr>
          <w:lang w:val="en-US"/>
        </w:rPr>
        <w:t xml:space="preserve"> Jimenez, </w:t>
      </w:r>
      <w:r w:rsidRPr="0066313B">
        <w:rPr>
          <w:lang w:val="en-US"/>
        </w:rPr>
        <w:t> </w:t>
      </w:r>
      <w:r>
        <w:rPr>
          <w:lang w:val="en-US"/>
        </w:rPr>
        <w:t xml:space="preserve">Emilie </w:t>
      </w:r>
    </w:p>
    <w:p w:rsidR="00FB4CBC" w:rsidRDefault="00FB4CBC" w:rsidP="00FB4CBC">
      <w:pPr>
        <w:spacing w:after="0" w:line="240" w:lineRule="auto"/>
        <w:rPr>
          <w:lang w:val="en-US"/>
        </w:rPr>
      </w:pPr>
      <w:r>
        <w:rPr>
          <w:lang w:val="en-US"/>
        </w:rPr>
        <w:t xml:space="preserve">      </w:t>
      </w:r>
      <w:proofErr w:type="gramStart"/>
      <w:r>
        <w:rPr>
          <w:lang w:val="en-US"/>
        </w:rPr>
        <w:t>van</w:t>
      </w:r>
      <w:proofErr w:type="gramEnd"/>
      <w:r>
        <w:rPr>
          <w:lang w:val="en-US"/>
        </w:rPr>
        <w:t xml:space="preserve"> </w:t>
      </w:r>
      <w:proofErr w:type="spellStart"/>
      <w:r>
        <w:rPr>
          <w:lang w:val="en-US"/>
        </w:rPr>
        <w:t>Brummelen</w:t>
      </w:r>
      <w:proofErr w:type="spellEnd"/>
      <w:r>
        <w:rPr>
          <w:lang w:val="en-US"/>
        </w:rPr>
        <w:t xml:space="preserve"> et al.</w:t>
      </w:r>
      <w:r w:rsidRPr="0066313B">
        <w:rPr>
          <w:lang w:val="en-US"/>
        </w:rPr>
        <w:t xml:space="preserve"> A Phase 1, open-label, </w:t>
      </w:r>
      <w:proofErr w:type="spellStart"/>
      <w:r w:rsidRPr="0066313B">
        <w:rPr>
          <w:lang w:val="en-US"/>
        </w:rPr>
        <w:t>multicentre</w:t>
      </w:r>
      <w:proofErr w:type="spellEnd"/>
      <w:r w:rsidRPr="0066313B">
        <w:rPr>
          <w:lang w:val="en-US"/>
        </w:rPr>
        <w:t xml:space="preserve"> study to compare the capsule and tablet </w:t>
      </w:r>
    </w:p>
    <w:p w:rsidR="00FB4CBC" w:rsidRDefault="00FB4CBC" w:rsidP="00FB4CBC">
      <w:pPr>
        <w:spacing w:after="0" w:line="240" w:lineRule="auto"/>
        <w:rPr>
          <w:lang w:val="en-US"/>
        </w:rPr>
      </w:pPr>
      <w:r>
        <w:rPr>
          <w:lang w:val="en-US"/>
        </w:rPr>
        <w:t xml:space="preserve">      </w:t>
      </w:r>
      <w:proofErr w:type="gramStart"/>
      <w:r w:rsidRPr="0066313B">
        <w:rPr>
          <w:lang w:val="en-US"/>
        </w:rPr>
        <w:t>formulations</w:t>
      </w:r>
      <w:proofErr w:type="gramEnd"/>
      <w:r w:rsidRPr="0066313B">
        <w:rPr>
          <w:lang w:val="en-US"/>
        </w:rPr>
        <w:t xml:space="preserve"> of AZD5363 and explore the effect of food on the pharmacokinetic exposure, safety </w:t>
      </w:r>
    </w:p>
    <w:p w:rsidR="00FB4CBC" w:rsidRPr="0066313B" w:rsidRDefault="00FB4CBC" w:rsidP="00FB4CBC">
      <w:pPr>
        <w:spacing w:after="0" w:line="240" w:lineRule="auto"/>
        <w:rPr>
          <w:lang w:val="en-US"/>
        </w:rPr>
      </w:pPr>
      <w:r>
        <w:rPr>
          <w:lang w:val="en-US"/>
        </w:rPr>
        <w:t xml:space="preserve">      </w:t>
      </w:r>
      <w:proofErr w:type="gramStart"/>
      <w:r w:rsidRPr="0066313B">
        <w:rPr>
          <w:lang w:val="en-US"/>
        </w:rPr>
        <w:t>and</w:t>
      </w:r>
      <w:proofErr w:type="gramEnd"/>
      <w:r w:rsidRPr="0066313B">
        <w:rPr>
          <w:lang w:val="en-US"/>
        </w:rPr>
        <w:t> tolerability of AZD5363 in patients with advanced solid malignancies: OAK</w:t>
      </w:r>
      <w:r>
        <w:rPr>
          <w:lang w:val="en-US"/>
        </w:rPr>
        <w:t xml:space="preserve">. </w:t>
      </w:r>
      <w:r w:rsidRPr="0066313B">
        <w:rPr>
          <w:lang w:val="en-US"/>
        </w:rPr>
        <w:t xml:space="preserve">Cancer </w:t>
      </w:r>
    </w:p>
    <w:p w:rsidR="00FB4CBC" w:rsidRPr="00082EDA" w:rsidRDefault="00FB4CBC" w:rsidP="00FB4CBC">
      <w:pPr>
        <w:spacing w:after="0" w:line="240" w:lineRule="auto"/>
        <w:rPr>
          <w:lang w:val="en-US"/>
        </w:rPr>
      </w:pPr>
      <w:r w:rsidRPr="0066313B">
        <w:rPr>
          <w:lang w:val="en-US"/>
        </w:rPr>
        <w:t xml:space="preserve">      </w:t>
      </w:r>
      <w:proofErr w:type="gramStart"/>
      <w:r w:rsidRPr="0066313B">
        <w:rPr>
          <w:lang w:val="en-US"/>
        </w:rPr>
        <w:t>Chemotherapy and Pharmacology (2018) 81:873–883.</w:t>
      </w:r>
      <w:proofErr w:type="gramEnd"/>
    </w:p>
    <w:p w:rsidR="00FB4CBC" w:rsidRPr="0066313B" w:rsidRDefault="00FB4CBC" w:rsidP="00FB4CBC">
      <w:pPr>
        <w:spacing w:after="0" w:line="240" w:lineRule="auto"/>
        <w:rPr>
          <w:lang w:val="en-US"/>
        </w:rPr>
      </w:pPr>
    </w:p>
    <w:p w:rsidR="00FB4CBC" w:rsidRPr="0066313B" w:rsidRDefault="00FB4CBC" w:rsidP="00FB4CBC">
      <w:pPr>
        <w:pStyle w:val="Bibliographie"/>
        <w:rPr>
          <w:rFonts w:cs="Times New Roman"/>
          <w:lang w:val="en-US"/>
        </w:rPr>
      </w:pPr>
      <w:r>
        <w:rPr>
          <w:rFonts w:cs="Times New Roman"/>
          <w:lang w:val="en-US"/>
        </w:rPr>
        <w:t>30</w:t>
      </w:r>
      <w:r w:rsidRPr="0066313B">
        <w:rPr>
          <w:rFonts w:cs="Times New Roman"/>
          <w:lang w:val="en-US"/>
        </w:rPr>
        <w:t>.</w:t>
      </w:r>
      <w:r>
        <w:rPr>
          <w:rFonts w:cs="Times New Roman"/>
          <w:lang w:val="en-US"/>
        </w:rPr>
        <w:t xml:space="preserve"> </w:t>
      </w:r>
      <w:r w:rsidRPr="0066313B">
        <w:rPr>
          <w:rFonts w:cs="Times New Roman"/>
          <w:lang w:val="en-US"/>
        </w:rPr>
        <w:t xml:space="preserve">Hyman DM, </w:t>
      </w:r>
      <w:proofErr w:type="spellStart"/>
      <w:r w:rsidRPr="0066313B">
        <w:rPr>
          <w:rFonts w:cs="Times New Roman"/>
          <w:lang w:val="en-US"/>
        </w:rPr>
        <w:t>Piha</w:t>
      </w:r>
      <w:proofErr w:type="spellEnd"/>
      <w:r w:rsidRPr="0066313B">
        <w:rPr>
          <w:rFonts w:cs="Times New Roman"/>
          <w:lang w:val="en-US"/>
        </w:rPr>
        <w:t xml:space="preserve">-Paul SA, Won H, </w:t>
      </w:r>
      <w:proofErr w:type="spellStart"/>
      <w:r w:rsidRPr="0066313B">
        <w:rPr>
          <w:rFonts w:cs="Times New Roman"/>
          <w:lang w:val="en-US"/>
        </w:rPr>
        <w:t>Rodon</w:t>
      </w:r>
      <w:proofErr w:type="spellEnd"/>
      <w:r w:rsidRPr="0066313B">
        <w:rPr>
          <w:rFonts w:cs="Times New Roman"/>
          <w:lang w:val="en-US"/>
        </w:rPr>
        <w:t xml:space="preserve"> J, </w:t>
      </w:r>
      <w:proofErr w:type="spellStart"/>
      <w:r w:rsidRPr="0066313B">
        <w:rPr>
          <w:rFonts w:cs="Times New Roman"/>
          <w:lang w:val="en-US"/>
        </w:rPr>
        <w:t>Saura</w:t>
      </w:r>
      <w:proofErr w:type="spellEnd"/>
      <w:r w:rsidRPr="0066313B">
        <w:rPr>
          <w:rFonts w:cs="Times New Roman"/>
          <w:lang w:val="en-US"/>
        </w:rPr>
        <w:t xml:space="preserve"> C, Shapiro GI, et al. HER kinase inhibition in</w:t>
      </w:r>
      <w:r>
        <w:rPr>
          <w:rFonts w:cs="Times New Roman"/>
          <w:lang w:val="en-US"/>
        </w:rPr>
        <w:t xml:space="preserve"> </w:t>
      </w:r>
      <w:r w:rsidRPr="0066313B">
        <w:rPr>
          <w:rFonts w:cs="Times New Roman"/>
          <w:lang w:val="en-US"/>
        </w:rPr>
        <w:t xml:space="preserve">patients with HER2- and HER3-mutant cancers. </w:t>
      </w:r>
      <w:proofErr w:type="gramStart"/>
      <w:r w:rsidRPr="0066313B">
        <w:rPr>
          <w:rFonts w:cs="Times New Roman"/>
          <w:lang w:val="en-US"/>
        </w:rPr>
        <w:t>Nature.</w:t>
      </w:r>
      <w:proofErr w:type="gramEnd"/>
      <w:r w:rsidRPr="0066313B">
        <w:rPr>
          <w:rFonts w:cs="Times New Roman"/>
          <w:lang w:val="en-US"/>
        </w:rPr>
        <w:t xml:space="preserve"> 2018 Feb 8</w:t>
      </w:r>
      <w:proofErr w:type="gramStart"/>
      <w:r w:rsidRPr="0066313B">
        <w:rPr>
          <w:rFonts w:cs="Times New Roman"/>
          <w:lang w:val="en-US"/>
        </w:rPr>
        <w:t>;554</w:t>
      </w:r>
      <w:proofErr w:type="gramEnd"/>
      <w:r w:rsidRPr="0066313B">
        <w:rPr>
          <w:rFonts w:cs="Times New Roman"/>
          <w:lang w:val="en-US"/>
        </w:rPr>
        <w:t xml:space="preserve">(7691):189–94. </w:t>
      </w:r>
    </w:p>
    <w:p w:rsidR="00FB4CBC" w:rsidRPr="0066313B" w:rsidRDefault="00FB4CBC" w:rsidP="00FB4CBC">
      <w:pPr>
        <w:pStyle w:val="Bibliographie"/>
        <w:rPr>
          <w:rFonts w:cs="Times New Roman"/>
          <w:lang w:val="en-US"/>
        </w:rPr>
      </w:pPr>
      <w:r w:rsidRPr="0066313B">
        <w:rPr>
          <w:rFonts w:cs="Times New Roman"/>
          <w:lang w:val="en-US"/>
        </w:rPr>
        <w:t>3</w:t>
      </w:r>
      <w:r>
        <w:rPr>
          <w:rFonts w:cs="Times New Roman"/>
          <w:lang w:val="en-US"/>
        </w:rPr>
        <w:t>1</w:t>
      </w:r>
      <w:r w:rsidRPr="0066313B">
        <w:rPr>
          <w:rFonts w:cs="Times New Roman"/>
          <w:lang w:val="en-US"/>
        </w:rPr>
        <w:t xml:space="preserve">. </w:t>
      </w:r>
      <w:r w:rsidRPr="0066313B">
        <w:rPr>
          <w:rFonts w:cs="Times New Roman"/>
          <w:lang w:val="en-US"/>
        </w:rPr>
        <w:tab/>
        <w:t xml:space="preserve">Ma CX, Bose R, </w:t>
      </w:r>
      <w:proofErr w:type="spellStart"/>
      <w:r w:rsidRPr="0066313B">
        <w:rPr>
          <w:rFonts w:cs="Times New Roman"/>
          <w:lang w:val="en-US"/>
        </w:rPr>
        <w:t>Gao</w:t>
      </w:r>
      <w:proofErr w:type="spellEnd"/>
      <w:r w:rsidRPr="0066313B">
        <w:rPr>
          <w:rFonts w:cs="Times New Roman"/>
          <w:lang w:val="en-US"/>
        </w:rPr>
        <w:t xml:space="preserve"> F, Freedman RA, </w:t>
      </w:r>
      <w:proofErr w:type="spellStart"/>
      <w:r w:rsidRPr="0066313B">
        <w:rPr>
          <w:rFonts w:cs="Times New Roman"/>
          <w:lang w:val="en-US"/>
        </w:rPr>
        <w:t>Telli</w:t>
      </w:r>
      <w:proofErr w:type="spellEnd"/>
      <w:r w:rsidRPr="0066313B">
        <w:rPr>
          <w:rFonts w:cs="Times New Roman"/>
          <w:lang w:val="en-US"/>
        </w:rPr>
        <w:t xml:space="preserve"> ML, </w:t>
      </w:r>
      <w:proofErr w:type="spellStart"/>
      <w:r w:rsidRPr="0066313B">
        <w:rPr>
          <w:rFonts w:cs="Times New Roman"/>
          <w:lang w:val="en-US"/>
        </w:rPr>
        <w:t>Kimmick</w:t>
      </w:r>
      <w:proofErr w:type="spellEnd"/>
      <w:r w:rsidRPr="0066313B">
        <w:rPr>
          <w:rFonts w:cs="Times New Roman"/>
          <w:lang w:val="en-US"/>
        </w:rPr>
        <w:t xml:space="preserve"> G, et al. </w:t>
      </w:r>
      <w:proofErr w:type="spellStart"/>
      <w:r w:rsidRPr="0066313B">
        <w:rPr>
          <w:rFonts w:cs="Times New Roman"/>
          <w:lang w:val="en-US"/>
        </w:rPr>
        <w:t>Neratinib</w:t>
      </w:r>
      <w:proofErr w:type="spellEnd"/>
      <w:r w:rsidRPr="0066313B">
        <w:rPr>
          <w:rFonts w:cs="Times New Roman"/>
          <w:lang w:val="en-US"/>
        </w:rPr>
        <w:t xml:space="preserve"> Efficacy and Circulating Tumor DNA Detection of HER2 Mutations in HER2 </w:t>
      </w:r>
      <w:proofErr w:type="spellStart"/>
      <w:r w:rsidRPr="0066313B">
        <w:rPr>
          <w:rFonts w:cs="Times New Roman"/>
          <w:lang w:val="en-US"/>
        </w:rPr>
        <w:t>Nonamplified</w:t>
      </w:r>
      <w:proofErr w:type="spellEnd"/>
      <w:r w:rsidRPr="0066313B">
        <w:rPr>
          <w:rFonts w:cs="Times New Roman"/>
          <w:lang w:val="en-US"/>
        </w:rPr>
        <w:t xml:space="preserve"> Metastatic Breast Cancer. </w:t>
      </w:r>
      <w:proofErr w:type="spellStart"/>
      <w:r w:rsidRPr="0066313B">
        <w:rPr>
          <w:rFonts w:cs="Times New Roman"/>
          <w:lang w:val="en-US"/>
        </w:rPr>
        <w:t>Clin</w:t>
      </w:r>
      <w:proofErr w:type="spellEnd"/>
      <w:r w:rsidRPr="0066313B">
        <w:rPr>
          <w:rFonts w:cs="Times New Roman"/>
          <w:lang w:val="en-US"/>
        </w:rPr>
        <w:t xml:space="preserve"> Cancer Res Off J Am </w:t>
      </w:r>
      <w:proofErr w:type="spellStart"/>
      <w:r w:rsidRPr="0066313B">
        <w:rPr>
          <w:rFonts w:cs="Times New Roman"/>
          <w:lang w:val="en-US"/>
        </w:rPr>
        <w:t>Assoc</w:t>
      </w:r>
      <w:proofErr w:type="spellEnd"/>
      <w:r w:rsidRPr="0066313B">
        <w:rPr>
          <w:rFonts w:cs="Times New Roman"/>
          <w:lang w:val="en-US"/>
        </w:rPr>
        <w:t xml:space="preserve"> Cancer Res. 2017 Oct 1</w:t>
      </w:r>
      <w:proofErr w:type="gramStart"/>
      <w:r w:rsidRPr="0066313B">
        <w:rPr>
          <w:rFonts w:cs="Times New Roman"/>
          <w:lang w:val="en-US"/>
        </w:rPr>
        <w:t>;23</w:t>
      </w:r>
      <w:proofErr w:type="gramEnd"/>
      <w:r w:rsidRPr="0066313B">
        <w:rPr>
          <w:rFonts w:cs="Times New Roman"/>
          <w:lang w:val="en-US"/>
        </w:rPr>
        <w:t xml:space="preserve">(19):5687–95. </w:t>
      </w:r>
    </w:p>
    <w:p w:rsidR="00FB4CBC" w:rsidRPr="0066313B" w:rsidRDefault="00FB4CBC" w:rsidP="00FB4CBC">
      <w:pPr>
        <w:pStyle w:val="Bibliographie"/>
        <w:rPr>
          <w:rFonts w:cs="Times New Roman"/>
          <w:lang w:val="en-US"/>
        </w:rPr>
      </w:pPr>
      <w:r w:rsidRPr="0066313B">
        <w:rPr>
          <w:rFonts w:cs="Times New Roman"/>
          <w:lang w:val="en-US"/>
        </w:rPr>
        <w:t>3</w:t>
      </w:r>
      <w:r>
        <w:rPr>
          <w:rFonts w:cs="Times New Roman"/>
          <w:lang w:val="en-US"/>
        </w:rPr>
        <w:t>2</w:t>
      </w:r>
      <w:r w:rsidRPr="0066313B">
        <w:rPr>
          <w:rFonts w:cs="Times New Roman"/>
          <w:lang w:val="en-US"/>
        </w:rPr>
        <w:t xml:space="preserve">. </w:t>
      </w:r>
      <w:proofErr w:type="spellStart"/>
      <w:r w:rsidRPr="0066313B">
        <w:rPr>
          <w:rFonts w:cs="Times New Roman"/>
          <w:lang w:val="en-US"/>
        </w:rPr>
        <w:t>Riaz</w:t>
      </w:r>
      <w:proofErr w:type="spellEnd"/>
      <w:r w:rsidRPr="0066313B">
        <w:rPr>
          <w:rFonts w:cs="Times New Roman"/>
          <w:lang w:val="en-US"/>
        </w:rPr>
        <w:t xml:space="preserve"> N, </w:t>
      </w:r>
      <w:proofErr w:type="spellStart"/>
      <w:r w:rsidRPr="0066313B">
        <w:rPr>
          <w:rFonts w:cs="Times New Roman"/>
          <w:lang w:val="en-US"/>
        </w:rPr>
        <w:t>Blecua</w:t>
      </w:r>
      <w:proofErr w:type="spellEnd"/>
      <w:r w:rsidRPr="0066313B">
        <w:rPr>
          <w:rFonts w:cs="Times New Roman"/>
          <w:lang w:val="en-US"/>
        </w:rPr>
        <w:t xml:space="preserve"> P, Lim RS, </w:t>
      </w:r>
      <w:proofErr w:type="spellStart"/>
      <w:r w:rsidRPr="0066313B">
        <w:rPr>
          <w:rFonts w:cs="Times New Roman"/>
          <w:lang w:val="en-US"/>
        </w:rPr>
        <w:t>Shen</w:t>
      </w:r>
      <w:proofErr w:type="spellEnd"/>
      <w:r w:rsidRPr="0066313B">
        <w:rPr>
          <w:rFonts w:cs="Times New Roman"/>
          <w:lang w:val="en-US"/>
        </w:rPr>
        <w:t xml:space="preserve"> R, Higginson DS, </w:t>
      </w:r>
      <w:proofErr w:type="spellStart"/>
      <w:r w:rsidRPr="0066313B">
        <w:rPr>
          <w:rFonts w:cs="Times New Roman"/>
          <w:lang w:val="en-US"/>
        </w:rPr>
        <w:t>Weinhold</w:t>
      </w:r>
      <w:proofErr w:type="spellEnd"/>
      <w:r w:rsidRPr="0066313B">
        <w:rPr>
          <w:rFonts w:cs="Times New Roman"/>
          <w:lang w:val="en-US"/>
        </w:rPr>
        <w:t xml:space="preserve"> N, et al. Pan-cancer analysis of bi-allelic alterations in homologous recombination DNA repair genes. Nat </w:t>
      </w:r>
      <w:proofErr w:type="spellStart"/>
      <w:r w:rsidRPr="0066313B">
        <w:rPr>
          <w:rFonts w:cs="Times New Roman"/>
          <w:lang w:val="en-US"/>
        </w:rPr>
        <w:t>Commun</w:t>
      </w:r>
      <w:proofErr w:type="spellEnd"/>
      <w:r w:rsidRPr="0066313B">
        <w:rPr>
          <w:rFonts w:cs="Times New Roman"/>
          <w:lang w:val="en-US"/>
        </w:rPr>
        <w:t>. 2017 Oct 11</w:t>
      </w:r>
      <w:proofErr w:type="gramStart"/>
      <w:r w:rsidRPr="0066313B">
        <w:rPr>
          <w:rFonts w:cs="Times New Roman"/>
          <w:lang w:val="en-US"/>
        </w:rPr>
        <w:t>;8</w:t>
      </w:r>
      <w:proofErr w:type="gramEnd"/>
      <w:r w:rsidRPr="0066313B">
        <w:rPr>
          <w:rFonts w:cs="Times New Roman"/>
          <w:lang w:val="en-US"/>
        </w:rPr>
        <w:t xml:space="preserve">(1):857–857. </w:t>
      </w:r>
    </w:p>
    <w:p w:rsidR="00FB4CBC" w:rsidRPr="0066313B" w:rsidRDefault="00FB4CBC" w:rsidP="00FB4CBC">
      <w:pPr>
        <w:pStyle w:val="Bibliographie"/>
        <w:rPr>
          <w:rFonts w:cs="Times New Roman"/>
          <w:lang w:val="en-US"/>
        </w:rPr>
      </w:pPr>
      <w:r w:rsidRPr="0066313B">
        <w:rPr>
          <w:rFonts w:cs="Times New Roman"/>
          <w:lang w:val="en-US"/>
        </w:rPr>
        <w:t>3</w:t>
      </w:r>
      <w:r>
        <w:rPr>
          <w:rFonts w:cs="Times New Roman"/>
          <w:lang w:val="en-US"/>
        </w:rPr>
        <w:t>3</w:t>
      </w:r>
      <w:r w:rsidRPr="0066313B">
        <w:rPr>
          <w:rFonts w:cs="Times New Roman"/>
          <w:lang w:val="en-US"/>
        </w:rPr>
        <w:t xml:space="preserve">. </w:t>
      </w:r>
      <w:r w:rsidRPr="0066313B">
        <w:rPr>
          <w:rFonts w:cs="Times New Roman"/>
          <w:lang w:val="en-US"/>
        </w:rPr>
        <w:tab/>
      </w:r>
      <w:proofErr w:type="spellStart"/>
      <w:r w:rsidRPr="0066313B">
        <w:rPr>
          <w:rFonts w:cs="Times New Roman"/>
          <w:lang w:val="en-US"/>
        </w:rPr>
        <w:t>Balasubramaniam</w:t>
      </w:r>
      <w:proofErr w:type="spellEnd"/>
      <w:r w:rsidRPr="0066313B">
        <w:rPr>
          <w:rFonts w:cs="Times New Roman"/>
          <w:lang w:val="en-US"/>
        </w:rPr>
        <w:t xml:space="preserve"> S, Beaver JA, Horton S, </w:t>
      </w:r>
      <w:proofErr w:type="spellStart"/>
      <w:r w:rsidRPr="0066313B">
        <w:rPr>
          <w:rFonts w:cs="Times New Roman"/>
          <w:lang w:val="en-US"/>
        </w:rPr>
        <w:t>Fernandes</w:t>
      </w:r>
      <w:proofErr w:type="spellEnd"/>
      <w:r w:rsidRPr="0066313B">
        <w:rPr>
          <w:rFonts w:cs="Times New Roman"/>
          <w:lang w:val="en-US"/>
        </w:rPr>
        <w:t xml:space="preserve"> LL, Tang S, Horne HN, et al. FDA Approval Summary: </w:t>
      </w:r>
      <w:proofErr w:type="spellStart"/>
      <w:r w:rsidRPr="0066313B">
        <w:rPr>
          <w:rFonts w:cs="Times New Roman"/>
          <w:lang w:val="en-US"/>
        </w:rPr>
        <w:t>Rucaparib</w:t>
      </w:r>
      <w:proofErr w:type="spellEnd"/>
      <w:r w:rsidRPr="0066313B">
        <w:rPr>
          <w:rFonts w:cs="Times New Roman"/>
          <w:lang w:val="en-US"/>
        </w:rPr>
        <w:t xml:space="preserve"> for the Treatment of Patients with </w:t>
      </w:r>
      <w:proofErr w:type="spellStart"/>
      <w:r w:rsidRPr="0066313B">
        <w:rPr>
          <w:rFonts w:cs="Times New Roman"/>
          <w:lang w:val="en-US"/>
        </w:rPr>
        <w:t>DeleteriousBRCAMutation</w:t>
      </w:r>
      <w:proofErr w:type="spellEnd"/>
      <w:r w:rsidRPr="0066313B">
        <w:rPr>
          <w:rFonts w:cs="Times New Roman"/>
          <w:lang w:val="en-US"/>
        </w:rPr>
        <w:t xml:space="preserve">-Associated Advanced Ovarian Cancer. </w:t>
      </w:r>
      <w:proofErr w:type="spellStart"/>
      <w:r w:rsidRPr="0066313B">
        <w:rPr>
          <w:rFonts w:cs="Times New Roman"/>
          <w:lang w:val="en-US"/>
        </w:rPr>
        <w:t>Clin</w:t>
      </w:r>
      <w:proofErr w:type="spellEnd"/>
      <w:r w:rsidRPr="0066313B">
        <w:rPr>
          <w:rFonts w:cs="Times New Roman"/>
          <w:lang w:val="en-US"/>
        </w:rPr>
        <w:t xml:space="preserve"> Cancer Res Off J Am </w:t>
      </w:r>
      <w:proofErr w:type="spellStart"/>
      <w:r w:rsidRPr="0066313B">
        <w:rPr>
          <w:rFonts w:cs="Times New Roman"/>
          <w:lang w:val="en-US"/>
        </w:rPr>
        <w:t>Assoc</w:t>
      </w:r>
      <w:proofErr w:type="spellEnd"/>
      <w:r w:rsidRPr="0066313B">
        <w:rPr>
          <w:rFonts w:cs="Times New Roman"/>
          <w:lang w:val="en-US"/>
        </w:rPr>
        <w:t xml:space="preserve"> Cancer Res. 2017 Dec 1</w:t>
      </w:r>
      <w:proofErr w:type="gramStart"/>
      <w:r w:rsidRPr="0066313B">
        <w:rPr>
          <w:rFonts w:cs="Times New Roman"/>
          <w:lang w:val="en-US"/>
        </w:rPr>
        <w:t>;23</w:t>
      </w:r>
      <w:proofErr w:type="gramEnd"/>
      <w:r w:rsidRPr="0066313B">
        <w:rPr>
          <w:rFonts w:cs="Times New Roman"/>
          <w:lang w:val="en-US"/>
        </w:rPr>
        <w:t xml:space="preserve">(23):7165–70. </w:t>
      </w:r>
    </w:p>
    <w:p w:rsidR="00FB4CBC" w:rsidRPr="00FB4CBC" w:rsidRDefault="00FB4CBC" w:rsidP="00FB4CBC">
      <w:pPr>
        <w:pStyle w:val="Bibliographie"/>
        <w:rPr>
          <w:rFonts w:cs="Times New Roman"/>
          <w:lang w:val="en-US"/>
        </w:rPr>
      </w:pPr>
      <w:r w:rsidRPr="0066313B">
        <w:rPr>
          <w:rFonts w:cs="Times New Roman"/>
          <w:lang w:val="en-US"/>
        </w:rPr>
        <w:t>3</w:t>
      </w:r>
      <w:r>
        <w:rPr>
          <w:rFonts w:cs="Times New Roman"/>
          <w:lang w:val="en-US"/>
        </w:rPr>
        <w:t>4</w:t>
      </w:r>
      <w:r w:rsidRPr="0066313B">
        <w:rPr>
          <w:rFonts w:cs="Times New Roman"/>
          <w:lang w:val="en-US"/>
        </w:rPr>
        <w:t xml:space="preserve"> </w:t>
      </w:r>
      <w:r w:rsidRPr="0066313B">
        <w:rPr>
          <w:rFonts w:cs="Times New Roman"/>
          <w:lang w:val="en-US"/>
        </w:rPr>
        <w:tab/>
      </w:r>
      <w:proofErr w:type="spellStart"/>
      <w:r w:rsidRPr="0066313B">
        <w:rPr>
          <w:rFonts w:cs="Times New Roman"/>
          <w:lang w:val="en-US"/>
        </w:rPr>
        <w:t>Dembla</w:t>
      </w:r>
      <w:proofErr w:type="spellEnd"/>
      <w:r w:rsidRPr="0066313B">
        <w:rPr>
          <w:rFonts w:cs="Times New Roman"/>
          <w:lang w:val="en-US"/>
        </w:rPr>
        <w:t xml:space="preserve"> V, </w:t>
      </w:r>
      <w:proofErr w:type="spellStart"/>
      <w:r w:rsidRPr="0066313B">
        <w:rPr>
          <w:rFonts w:cs="Times New Roman"/>
          <w:lang w:val="en-US"/>
        </w:rPr>
        <w:t>Somaiah</w:t>
      </w:r>
      <w:proofErr w:type="spellEnd"/>
      <w:r w:rsidRPr="0066313B">
        <w:rPr>
          <w:rFonts w:cs="Times New Roman"/>
          <w:lang w:val="en-US"/>
        </w:rPr>
        <w:t xml:space="preserve"> N, </w:t>
      </w:r>
      <w:proofErr w:type="spellStart"/>
      <w:r w:rsidRPr="0066313B">
        <w:rPr>
          <w:rFonts w:cs="Times New Roman"/>
          <w:lang w:val="en-US"/>
        </w:rPr>
        <w:t>Barata</w:t>
      </w:r>
      <w:proofErr w:type="spellEnd"/>
      <w:r w:rsidRPr="0066313B">
        <w:rPr>
          <w:rFonts w:cs="Times New Roman"/>
          <w:lang w:val="en-US"/>
        </w:rPr>
        <w:t xml:space="preserve"> P, Hess K, Fu S, </w:t>
      </w:r>
      <w:proofErr w:type="spellStart"/>
      <w:r w:rsidRPr="0066313B">
        <w:rPr>
          <w:rFonts w:cs="Times New Roman"/>
          <w:lang w:val="en-US"/>
        </w:rPr>
        <w:t>Janku</w:t>
      </w:r>
      <w:proofErr w:type="spellEnd"/>
      <w:r w:rsidRPr="0066313B">
        <w:rPr>
          <w:rFonts w:cs="Times New Roman"/>
          <w:lang w:val="en-US"/>
        </w:rPr>
        <w:t xml:space="preserve"> F, et al. Prevalence of MDM2 amplification and </w:t>
      </w:r>
      <w:proofErr w:type="spellStart"/>
      <w:r w:rsidRPr="0066313B">
        <w:rPr>
          <w:rFonts w:cs="Times New Roman"/>
          <w:lang w:val="en-US"/>
        </w:rPr>
        <w:t>coalterations</w:t>
      </w:r>
      <w:proofErr w:type="spellEnd"/>
      <w:r w:rsidRPr="0066313B">
        <w:rPr>
          <w:rFonts w:cs="Times New Roman"/>
          <w:lang w:val="en-US"/>
        </w:rPr>
        <w:t xml:space="preserve"> in 523 advanced cancer patients in the MD Anderson phase 1 clinic. </w:t>
      </w:r>
      <w:r w:rsidRPr="00FB4CBC">
        <w:rPr>
          <w:rFonts w:cs="Times New Roman"/>
          <w:lang w:val="en-US"/>
        </w:rPr>
        <w:t xml:space="preserve">Oncotarget. 2018 Aug 27;9(69):33232–43. </w:t>
      </w:r>
    </w:p>
    <w:p w:rsidR="00FB4CBC" w:rsidRPr="0066313B" w:rsidRDefault="00FB4CBC" w:rsidP="00FB4CBC">
      <w:pPr>
        <w:pStyle w:val="Bibliographie"/>
        <w:rPr>
          <w:rFonts w:cs="Times New Roman"/>
          <w:lang w:val="en-US"/>
        </w:rPr>
      </w:pPr>
      <w:r w:rsidRPr="0066313B">
        <w:rPr>
          <w:rFonts w:cs="Times New Roman"/>
          <w:lang w:val="en-US"/>
        </w:rPr>
        <w:t xml:space="preserve">35. </w:t>
      </w:r>
      <w:r w:rsidRPr="0066313B">
        <w:rPr>
          <w:rFonts w:cs="Times New Roman"/>
          <w:lang w:val="en-US"/>
        </w:rPr>
        <w:tab/>
      </w:r>
      <w:proofErr w:type="spellStart"/>
      <w:r w:rsidRPr="0066313B">
        <w:rPr>
          <w:rFonts w:cs="Times New Roman"/>
          <w:lang w:val="en-US"/>
        </w:rPr>
        <w:t>Verlingue</w:t>
      </w:r>
      <w:proofErr w:type="spellEnd"/>
      <w:r w:rsidRPr="0066313B">
        <w:rPr>
          <w:rFonts w:cs="Times New Roman"/>
          <w:lang w:val="en-US"/>
        </w:rPr>
        <w:t xml:space="preserve"> L, </w:t>
      </w:r>
      <w:proofErr w:type="spellStart"/>
      <w:r w:rsidRPr="0066313B">
        <w:rPr>
          <w:rFonts w:cs="Times New Roman"/>
          <w:lang w:val="en-US"/>
        </w:rPr>
        <w:t>Massard</w:t>
      </w:r>
      <w:proofErr w:type="spellEnd"/>
      <w:r w:rsidRPr="0066313B">
        <w:rPr>
          <w:rFonts w:cs="Times New Roman"/>
          <w:lang w:val="en-US"/>
        </w:rPr>
        <w:t xml:space="preserve"> C, </w:t>
      </w:r>
      <w:proofErr w:type="spellStart"/>
      <w:r w:rsidRPr="0066313B">
        <w:rPr>
          <w:rFonts w:cs="Times New Roman"/>
          <w:lang w:val="en-US"/>
        </w:rPr>
        <w:t>Hollebecque</w:t>
      </w:r>
      <w:proofErr w:type="spellEnd"/>
      <w:r w:rsidRPr="0066313B">
        <w:rPr>
          <w:rFonts w:cs="Times New Roman"/>
          <w:lang w:val="en-US"/>
        </w:rPr>
        <w:t xml:space="preserve"> A, Alvarez EC, </w:t>
      </w:r>
      <w:proofErr w:type="spellStart"/>
      <w:r w:rsidRPr="0066313B">
        <w:rPr>
          <w:rFonts w:cs="Times New Roman"/>
          <w:lang w:val="en-US"/>
        </w:rPr>
        <w:t>Postel-Vinay</w:t>
      </w:r>
      <w:proofErr w:type="spellEnd"/>
      <w:r w:rsidRPr="0066313B">
        <w:rPr>
          <w:rFonts w:cs="Times New Roman"/>
          <w:lang w:val="en-US"/>
        </w:rPr>
        <w:t xml:space="preserve"> S, </w:t>
      </w:r>
      <w:proofErr w:type="spellStart"/>
      <w:r w:rsidRPr="0066313B">
        <w:rPr>
          <w:rFonts w:cs="Times New Roman"/>
          <w:lang w:val="en-US"/>
        </w:rPr>
        <w:t>Angevin</w:t>
      </w:r>
      <w:proofErr w:type="spellEnd"/>
      <w:r w:rsidRPr="0066313B">
        <w:rPr>
          <w:rFonts w:cs="Times New Roman"/>
          <w:lang w:val="en-US"/>
        </w:rPr>
        <w:t xml:space="preserve"> E, et al. Clinical efficacy of HER3 partners’ inhibitors in ERBB3 mutated cancer patients. Ann </w:t>
      </w:r>
      <w:proofErr w:type="spellStart"/>
      <w:r w:rsidRPr="0066313B">
        <w:rPr>
          <w:rFonts w:cs="Times New Roman"/>
          <w:lang w:val="en-US"/>
        </w:rPr>
        <w:t>Oncol</w:t>
      </w:r>
      <w:proofErr w:type="spellEnd"/>
      <w:r w:rsidRPr="0066313B">
        <w:rPr>
          <w:rFonts w:cs="Times New Roman"/>
          <w:lang w:val="en-US"/>
        </w:rPr>
        <w:t xml:space="preserve"> [Internet]. 2016 Oct 1</w:t>
      </w:r>
      <w:proofErr w:type="gramStart"/>
      <w:r w:rsidRPr="0066313B">
        <w:rPr>
          <w:rFonts w:cs="Times New Roman"/>
          <w:lang w:val="en-US"/>
        </w:rPr>
        <w:t>;27</w:t>
      </w:r>
      <w:proofErr w:type="gramEnd"/>
      <w:r w:rsidRPr="0066313B">
        <w:rPr>
          <w:rFonts w:cs="Times New Roman"/>
          <w:lang w:val="en-US"/>
        </w:rPr>
        <w:t>(suppl_6). Available from: https://academic.oup.com/annonc/article/2798848/Clinical</w:t>
      </w:r>
    </w:p>
    <w:p w:rsidR="00FB4CBC" w:rsidRPr="0066313B" w:rsidRDefault="00FB4CBC" w:rsidP="00FB4CBC">
      <w:pPr>
        <w:pStyle w:val="Bibliographie"/>
        <w:rPr>
          <w:rFonts w:cs="Times New Roman"/>
          <w:lang w:val="en-US"/>
        </w:rPr>
      </w:pPr>
      <w:r w:rsidRPr="0066313B">
        <w:rPr>
          <w:rFonts w:cs="Times New Roman"/>
          <w:lang w:val="en-US"/>
        </w:rPr>
        <w:t>3</w:t>
      </w:r>
      <w:r>
        <w:rPr>
          <w:rFonts w:cs="Times New Roman"/>
          <w:lang w:val="en-US"/>
        </w:rPr>
        <w:t>6</w:t>
      </w:r>
      <w:r w:rsidRPr="0066313B">
        <w:rPr>
          <w:rFonts w:cs="Times New Roman"/>
          <w:lang w:val="en-US"/>
        </w:rPr>
        <w:t xml:space="preserve">. </w:t>
      </w:r>
      <w:r w:rsidRPr="0066313B">
        <w:rPr>
          <w:rFonts w:cs="Times New Roman"/>
          <w:lang w:val="en-US"/>
        </w:rPr>
        <w:tab/>
        <w:t xml:space="preserve">Finn RS, Crown JP, Lang I, Boer K, </w:t>
      </w:r>
      <w:proofErr w:type="spellStart"/>
      <w:r w:rsidRPr="0066313B">
        <w:rPr>
          <w:rFonts w:cs="Times New Roman"/>
          <w:lang w:val="en-US"/>
        </w:rPr>
        <w:t>Bondarenko</w:t>
      </w:r>
      <w:proofErr w:type="spellEnd"/>
      <w:r w:rsidRPr="0066313B">
        <w:rPr>
          <w:rFonts w:cs="Times New Roman"/>
          <w:lang w:val="en-US"/>
        </w:rPr>
        <w:t xml:space="preserve"> IM, </w:t>
      </w:r>
      <w:proofErr w:type="spellStart"/>
      <w:r w:rsidRPr="0066313B">
        <w:rPr>
          <w:rFonts w:cs="Times New Roman"/>
          <w:lang w:val="en-US"/>
        </w:rPr>
        <w:t>Kulyk</w:t>
      </w:r>
      <w:proofErr w:type="spellEnd"/>
      <w:r w:rsidRPr="0066313B">
        <w:rPr>
          <w:rFonts w:cs="Times New Roman"/>
          <w:lang w:val="en-US"/>
        </w:rPr>
        <w:t xml:space="preserve"> SO, et al. The </w:t>
      </w:r>
      <w:proofErr w:type="spellStart"/>
      <w:r w:rsidRPr="0066313B">
        <w:rPr>
          <w:rFonts w:cs="Times New Roman"/>
          <w:lang w:val="en-US"/>
        </w:rPr>
        <w:t>cyclin</w:t>
      </w:r>
      <w:proofErr w:type="spellEnd"/>
      <w:r w:rsidRPr="0066313B">
        <w:rPr>
          <w:rFonts w:cs="Times New Roman"/>
          <w:lang w:val="en-US"/>
        </w:rPr>
        <w:t xml:space="preserve">-dependent kinase 4/6 inhibitor </w:t>
      </w:r>
      <w:proofErr w:type="spellStart"/>
      <w:r w:rsidRPr="0066313B">
        <w:rPr>
          <w:rFonts w:cs="Times New Roman"/>
          <w:lang w:val="en-US"/>
        </w:rPr>
        <w:t>palbociclib</w:t>
      </w:r>
      <w:proofErr w:type="spellEnd"/>
      <w:r w:rsidRPr="0066313B">
        <w:rPr>
          <w:rFonts w:cs="Times New Roman"/>
          <w:lang w:val="en-US"/>
        </w:rPr>
        <w:t xml:space="preserve"> in combination with </w:t>
      </w:r>
      <w:proofErr w:type="spellStart"/>
      <w:r w:rsidRPr="0066313B">
        <w:rPr>
          <w:rFonts w:cs="Times New Roman"/>
          <w:lang w:val="en-US"/>
        </w:rPr>
        <w:t>letrozole</w:t>
      </w:r>
      <w:proofErr w:type="spellEnd"/>
      <w:r w:rsidRPr="0066313B">
        <w:rPr>
          <w:rFonts w:cs="Times New Roman"/>
          <w:lang w:val="en-US"/>
        </w:rPr>
        <w:t xml:space="preserve"> versus </w:t>
      </w:r>
      <w:proofErr w:type="spellStart"/>
      <w:r w:rsidRPr="0066313B">
        <w:rPr>
          <w:rFonts w:cs="Times New Roman"/>
          <w:lang w:val="en-US"/>
        </w:rPr>
        <w:t>letrozole</w:t>
      </w:r>
      <w:proofErr w:type="spellEnd"/>
      <w:r w:rsidRPr="0066313B">
        <w:rPr>
          <w:rFonts w:cs="Times New Roman"/>
          <w:lang w:val="en-US"/>
        </w:rPr>
        <w:t xml:space="preserve"> alone as first-line treatment of </w:t>
      </w:r>
      <w:proofErr w:type="spellStart"/>
      <w:r w:rsidRPr="0066313B">
        <w:rPr>
          <w:rFonts w:cs="Times New Roman"/>
          <w:lang w:val="en-US"/>
        </w:rPr>
        <w:t>oestrogen</w:t>
      </w:r>
      <w:proofErr w:type="spellEnd"/>
      <w:r w:rsidRPr="0066313B">
        <w:rPr>
          <w:rFonts w:cs="Times New Roman"/>
          <w:lang w:val="en-US"/>
        </w:rPr>
        <w:t xml:space="preserve"> receptor-positive, HER2-negative, advanced breast cancer (PALOMA-1/TRIO-18): a </w:t>
      </w:r>
      <w:proofErr w:type="spellStart"/>
      <w:r w:rsidRPr="0066313B">
        <w:rPr>
          <w:rFonts w:cs="Times New Roman"/>
          <w:lang w:val="en-US"/>
        </w:rPr>
        <w:t>randomised</w:t>
      </w:r>
      <w:proofErr w:type="spellEnd"/>
      <w:r w:rsidRPr="0066313B">
        <w:rPr>
          <w:rFonts w:cs="Times New Roman"/>
          <w:lang w:val="en-US"/>
        </w:rPr>
        <w:t xml:space="preserve"> phase 2 study. </w:t>
      </w:r>
      <w:proofErr w:type="gramStart"/>
      <w:r w:rsidRPr="0066313B">
        <w:rPr>
          <w:rFonts w:cs="Times New Roman"/>
          <w:lang w:val="en-US"/>
        </w:rPr>
        <w:t xml:space="preserve">Lancet </w:t>
      </w:r>
      <w:proofErr w:type="spellStart"/>
      <w:r w:rsidRPr="0066313B">
        <w:rPr>
          <w:rFonts w:cs="Times New Roman"/>
          <w:lang w:val="en-US"/>
        </w:rPr>
        <w:t>Oncol</w:t>
      </w:r>
      <w:proofErr w:type="spellEnd"/>
      <w:r w:rsidRPr="0066313B">
        <w:rPr>
          <w:rFonts w:cs="Times New Roman"/>
          <w:lang w:val="en-US"/>
        </w:rPr>
        <w:t>.</w:t>
      </w:r>
      <w:proofErr w:type="gramEnd"/>
      <w:r w:rsidRPr="0066313B">
        <w:rPr>
          <w:rFonts w:cs="Times New Roman"/>
          <w:lang w:val="en-US"/>
        </w:rPr>
        <w:t xml:space="preserve"> 2015 Jan</w:t>
      </w:r>
      <w:proofErr w:type="gramStart"/>
      <w:r w:rsidRPr="0066313B">
        <w:rPr>
          <w:rFonts w:cs="Times New Roman"/>
          <w:lang w:val="en-US"/>
        </w:rPr>
        <w:t>;16</w:t>
      </w:r>
      <w:proofErr w:type="gramEnd"/>
      <w:r w:rsidRPr="0066313B">
        <w:rPr>
          <w:rFonts w:cs="Times New Roman"/>
          <w:lang w:val="en-US"/>
        </w:rPr>
        <w:t xml:space="preserve">(1):25–35. </w:t>
      </w:r>
    </w:p>
    <w:p w:rsidR="00FB4CBC" w:rsidRPr="0066313B" w:rsidRDefault="00FB4CBC" w:rsidP="00FB4CBC">
      <w:pPr>
        <w:pStyle w:val="Bibliographie"/>
        <w:rPr>
          <w:rFonts w:cs="Times New Roman"/>
          <w:lang w:val="en-US"/>
        </w:rPr>
      </w:pPr>
      <w:r w:rsidRPr="0066313B">
        <w:rPr>
          <w:rFonts w:cs="Times New Roman"/>
          <w:lang w:val="en-US"/>
        </w:rPr>
        <w:t>3</w:t>
      </w:r>
      <w:r>
        <w:rPr>
          <w:rFonts w:cs="Times New Roman"/>
          <w:lang w:val="en-US"/>
        </w:rPr>
        <w:t>7</w:t>
      </w:r>
      <w:r w:rsidRPr="0066313B">
        <w:rPr>
          <w:rFonts w:cs="Times New Roman"/>
          <w:lang w:val="en-US"/>
        </w:rPr>
        <w:t xml:space="preserve">. </w:t>
      </w:r>
      <w:r w:rsidRPr="0066313B">
        <w:rPr>
          <w:rFonts w:cs="Times New Roman"/>
          <w:lang w:val="en-US"/>
        </w:rPr>
        <w:tab/>
        <w:t xml:space="preserve">Finn RS, Martin M, </w:t>
      </w:r>
      <w:proofErr w:type="spellStart"/>
      <w:r w:rsidRPr="0066313B">
        <w:rPr>
          <w:rFonts w:cs="Times New Roman"/>
          <w:lang w:val="en-US"/>
        </w:rPr>
        <w:t>Rugo</w:t>
      </w:r>
      <w:proofErr w:type="spellEnd"/>
      <w:r w:rsidRPr="0066313B">
        <w:rPr>
          <w:rFonts w:cs="Times New Roman"/>
          <w:lang w:val="en-US"/>
        </w:rPr>
        <w:t xml:space="preserve"> HS, Jones S, </w:t>
      </w:r>
      <w:proofErr w:type="spellStart"/>
      <w:r w:rsidRPr="0066313B">
        <w:rPr>
          <w:rFonts w:cs="Times New Roman"/>
          <w:lang w:val="en-US"/>
        </w:rPr>
        <w:t>Im</w:t>
      </w:r>
      <w:proofErr w:type="spellEnd"/>
      <w:r w:rsidRPr="0066313B">
        <w:rPr>
          <w:rFonts w:cs="Times New Roman"/>
          <w:lang w:val="en-US"/>
        </w:rPr>
        <w:t xml:space="preserve"> S-A, </w:t>
      </w:r>
      <w:proofErr w:type="spellStart"/>
      <w:r w:rsidRPr="0066313B">
        <w:rPr>
          <w:rFonts w:cs="Times New Roman"/>
          <w:lang w:val="en-US"/>
        </w:rPr>
        <w:t>Gelmon</w:t>
      </w:r>
      <w:proofErr w:type="spellEnd"/>
      <w:r w:rsidRPr="0066313B">
        <w:rPr>
          <w:rFonts w:cs="Times New Roman"/>
          <w:lang w:val="en-US"/>
        </w:rPr>
        <w:t xml:space="preserve"> K, et al. </w:t>
      </w:r>
      <w:proofErr w:type="spellStart"/>
      <w:r w:rsidRPr="0066313B">
        <w:rPr>
          <w:rFonts w:cs="Times New Roman"/>
          <w:lang w:val="en-US"/>
        </w:rPr>
        <w:t>Palbociclib</w:t>
      </w:r>
      <w:proofErr w:type="spellEnd"/>
      <w:r w:rsidRPr="0066313B">
        <w:rPr>
          <w:rFonts w:cs="Times New Roman"/>
          <w:lang w:val="en-US"/>
        </w:rPr>
        <w:t xml:space="preserve"> and </w:t>
      </w:r>
      <w:proofErr w:type="spellStart"/>
      <w:r w:rsidRPr="0066313B">
        <w:rPr>
          <w:rFonts w:cs="Times New Roman"/>
          <w:lang w:val="en-US"/>
        </w:rPr>
        <w:t>Letrozole</w:t>
      </w:r>
      <w:proofErr w:type="spellEnd"/>
      <w:r w:rsidRPr="0066313B">
        <w:rPr>
          <w:rFonts w:cs="Times New Roman"/>
          <w:lang w:val="en-US"/>
        </w:rPr>
        <w:t xml:space="preserve"> in Advanced Breast Cancer. N </w:t>
      </w:r>
      <w:proofErr w:type="spellStart"/>
      <w:r w:rsidRPr="0066313B">
        <w:rPr>
          <w:rFonts w:cs="Times New Roman"/>
          <w:lang w:val="en-US"/>
        </w:rPr>
        <w:t>Engl</w:t>
      </w:r>
      <w:proofErr w:type="spellEnd"/>
      <w:r w:rsidRPr="0066313B">
        <w:rPr>
          <w:rFonts w:cs="Times New Roman"/>
          <w:lang w:val="en-US"/>
        </w:rPr>
        <w:t xml:space="preserve"> J Med. 2016 Nov 17</w:t>
      </w:r>
      <w:proofErr w:type="gramStart"/>
      <w:r w:rsidRPr="0066313B">
        <w:rPr>
          <w:rFonts w:cs="Times New Roman"/>
          <w:lang w:val="en-US"/>
        </w:rPr>
        <w:t>;375</w:t>
      </w:r>
      <w:proofErr w:type="gramEnd"/>
      <w:r w:rsidRPr="0066313B">
        <w:rPr>
          <w:rFonts w:cs="Times New Roman"/>
          <w:lang w:val="en-US"/>
        </w:rPr>
        <w:t xml:space="preserve">(20):1925–36. </w:t>
      </w:r>
    </w:p>
    <w:p w:rsidR="00FB4CBC" w:rsidRPr="0066313B" w:rsidRDefault="00FB4CBC" w:rsidP="00FB4CBC">
      <w:pPr>
        <w:pStyle w:val="Bibliographie"/>
        <w:rPr>
          <w:rFonts w:cs="Times New Roman"/>
          <w:lang w:val="en-US"/>
        </w:rPr>
      </w:pPr>
      <w:r w:rsidRPr="0066313B">
        <w:rPr>
          <w:rFonts w:cs="Times New Roman"/>
          <w:lang w:val="en-US"/>
        </w:rPr>
        <w:t>3</w:t>
      </w:r>
      <w:r>
        <w:rPr>
          <w:rFonts w:cs="Times New Roman"/>
          <w:lang w:val="en-US"/>
        </w:rPr>
        <w:t>8</w:t>
      </w:r>
      <w:r w:rsidRPr="0066313B">
        <w:rPr>
          <w:rFonts w:cs="Times New Roman"/>
          <w:lang w:val="en-US"/>
        </w:rPr>
        <w:t xml:space="preserve">. </w:t>
      </w:r>
      <w:r w:rsidRPr="0066313B">
        <w:rPr>
          <w:rFonts w:cs="Times New Roman"/>
          <w:lang w:val="en-US"/>
        </w:rPr>
        <w:tab/>
      </w:r>
      <w:proofErr w:type="spellStart"/>
      <w:r w:rsidRPr="0066313B">
        <w:rPr>
          <w:rFonts w:cs="Times New Roman"/>
          <w:lang w:val="en-US"/>
        </w:rPr>
        <w:t>Hortobagyi</w:t>
      </w:r>
      <w:proofErr w:type="spellEnd"/>
      <w:r w:rsidRPr="0066313B">
        <w:rPr>
          <w:rFonts w:cs="Times New Roman"/>
          <w:lang w:val="en-US"/>
        </w:rPr>
        <w:t xml:space="preserve"> GN, Stemmer SM, Burris HA, Yap Y-S, </w:t>
      </w:r>
      <w:proofErr w:type="spellStart"/>
      <w:r w:rsidRPr="0066313B">
        <w:rPr>
          <w:rFonts w:cs="Times New Roman"/>
          <w:lang w:val="en-US"/>
        </w:rPr>
        <w:t>Sonke</w:t>
      </w:r>
      <w:proofErr w:type="spellEnd"/>
      <w:r w:rsidRPr="0066313B">
        <w:rPr>
          <w:rFonts w:cs="Times New Roman"/>
          <w:lang w:val="en-US"/>
        </w:rPr>
        <w:t xml:space="preserve"> GS, </w:t>
      </w:r>
      <w:proofErr w:type="spellStart"/>
      <w:r w:rsidRPr="0066313B">
        <w:rPr>
          <w:rFonts w:cs="Times New Roman"/>
          <w:lang w:val="en-US"/>
        </w:rPr>
        <w:t>Paluch</w:t>
      </w:r>
      <w:proofErr w:type="spellEnd"/>
      <w:r w:rsidRPr="0066313B">
        <w:rPr>
          <w:rFonts w:cs="Times New Roman"/>
          <w:lang w:val="en-US"/>
        </w:rPr>
        <w:t xml:space="preserve">-Shimon S, et al. </w:t>
      </w:r>
      <w:proofErr w:type="spellStart"/>
      <w:r w:rsidRPr="0066313B">
        <w:rPr>
          <w:rFonts w:cs="Times New Roman"/>
          <w:lang w:val="en-US"/>
        </w:rPr>
        <w:t>Ribociclib</w:t>
      </w:r>
      <w:proofErr w:type="spellEnd"/>
      <w:r w:rsidRPr="0066313B">
        <w:rPr>
          <w:rFonts w:cs="Times New Roman"/>
          <w:lang w:val="en-US"/>
        </w:rPr>
        <w:t xml:space="preserve"> as First-Line Therapy for HR-Positive, Advanced Breast Cancer. N </w:t>
      </w:r>
      <w:proofErr w:type="spellStart"/>
      <w:r w:rsidRPr="0066313B">
        <w:rPr>
          <w:rFonts w:cs="Times New Roman"/>
          <w:lang w:val="en-US"/>
        </w:rPr>
        <w:t>Engl</w:t>
      </w:r>
      <w:proofErr w:type="spellEnd"/>
      <w:r w:rsidRPr="0066313B">
        <w:rPr>
          <w:rFonts w:cs="Times New Roman"/>
          <w:lang w:val="en-US"/>
        </w:rPr>
        <w:t xml:space="preserve"> J Med. 2016 Nov 3</w:t>
      </w:r>
      <w:proofErr w:type="gramStart"/>
      <w:r w:rsidRPr="0066313B">
        <w:rPr>
          <w:rFonts w:cs="Times New Roman"/>
          <w:lang w:val="en-US"/>
        </w:rPr>
        <w:t>;375</w:t>
      </w:r>
      <w:proofErr w:type="gramEnd"/>
      <w:r w:rsidRPr="0066313B">
        <w:rPr>
          <w:rFonts w:cs="Times New Roman"/>
          <w:lang w:val="en-US"/>
        </w:rPr>
        <w:t xml:space="preserve">(18):1738–48. </w:t>
      </w:r>
    </w:p>
    <w:p w:rsidR="00FB4CBC" w:rsidRPr="0066313B" w:rsidRDefault="00FB4CBC" w:rsidP="00FB4CBC">
      <w:pPr>
        <w:pStyle w:val="Bibliographie"/>
        <w:rPr>
          <w:rFonts w:cs="Times New Roman"/>
          <w:lang w:val="en-US"/>
        </w:rPr>
      </w:pPr>
      <w:r w:rsidRPr="0066313B">
        <w:rPr>
          <w:rFonts w:cs="Times New Roman"/>
          <w:lang w:val="en-US"/>
        </w:rPr>
        <w:t>3</w:t>
      </w:r>
      <w:r>
        <w:rPr>
          <w:rFonts w:cs="Times New Roman"/>
          <w:lang w:val="en-US"/>
        </w:rPr>
        <w:t>9</w:t>
      </w:r>
      <w:r w:rsidRPr="0066313B">
        <w:rPr>
          <w:rFonts w:cs="Times New Roman"/>
          <w:lang w:val="en-US"/>
        </w:rPr>
        <w:t xml:space="preserve">. </w:t>
      </w:r>
      <w:r w:rsidRPr="0066313B">
        <w:rPr>
          <w:rFonts w:cs="Times New Roman"/>
          <w:lang w:val="en-US"/>
        </w:rPr>
        <w:tab/>
      </w:r>
      <w:proofErr w:type="spellStart"/>
      <w:r w:rsidRPr="0066313B">
        <w:rPr>
          <w:rFonts w:cs="Times New Roman"/>
          <w:lang w:val="en-US"/>
        </w:rPr>
        <w:t>Nogova</w:t>
      </w:r>
      <w:proofErr w:type="spellEnd"/>
      <w:r w:rsidRPr="0066313B">
        <w:rPr>
          <w:rFonts w:cs="Times New Roman"/>
          <w:lang w:val="en-US"/>
        </w:rPr>
        <w:t xml:space="preserve"> L, </w:t>
      </w:r>
      <w:proofErr w:type="spellStart"/>
      <w:r w:rsidRPr="0066313B">
        <w:rPr>
          <w:rFonts w:cs="Times New Roman"/>
          <w:lang w:val="en-US"/>
        </w:rPr>
        <w:t>Sequist</w:t>
      </w:r>
      <w:proofErr w:type="spellEnd"/>
      <w:r w:rsidRPr="0066313B">
        <w:rPr>
          <w:rFonts w:cs="Times New Roman"/>
          <w:lang w:val="en-US"/>
        </w:rPr>
        <w:t xml:space="preserve"> LV, Perez Garcia JM, Andre F, </w:t>
      </w:r>
      <w:proofErr w:type="spellStart"/>
      <w:r w:rsidRPr="0066313B">
        <w:rPr>
          <w:rFonts w:cs="Times New Roman"/>
          <w:lang w:val="en-US"/>
        </w:rPr>
        <w:t>Delord</w:t>
      </w:r>
      <w:proofErr w:type="spellEnd"/>
      <w:r w:rsidRPr="0066313B">
        <w:rPr>
          <w:rFonts w:cs="Times New Roman"/>
          <w:lang w:val="en-US"/>
        </w:rPr>
        <w:t xml:space="preserve"> J-P, Hidalgo M, et al. Evaluation of BGJ398, a Fibroblast Growth Factor Receptor 1-3 Kinase Inhibitor, in Patients With Advanced </w:t>
      </w:r>
      <w:r w:rsidRPr="0066313B">
        <w:rPr>
          <w:rFonts w:cs="Times New Roman"/>
          <w:lang w:val="en-US"/>
        </w:rPr>
        <w:lastRenderedPageBreak/>
        <w:t xml:space="preserve">Solid Tumors Harboring Genetic Alterations in Fibroblast Growth Factor Receptors: Results of a Global Phase I, Dose-Escalation and Dose-Expansion Study. </w:t>
      </w:r>
      <w:proofErr w:type="gramStart"/>
      <w:r w:rsidRPr="0066313B">
        <w:rPr>
          <w:rFonts w:cs="Times New Roman"/>
          <w:lang w:val="en-US"/>
        </w:rPr>
        <w:t xml:space="preserve">J </w:t>
      </w:r>
      <w:proofErr w:type="spellStart"/>
      <w:r w:rsidRPr="0066313B">
        <w:rPr>
          <w:rFonts w:cs="Times New Roman"/>
          <w:lang w:val="en-US"/>
        </w:rPr>
        <w:t>Clin</w:t>
      </w:r>
      <w:proofErr w:type="spellEnd"/>
      <w:r w:rsidRPr="0066313B">
        <w:rPr>
          <w:rFonts w:cs="Times New Roman"/>
          <w:lang w:val="en-US"/>
        </w:rPr>
        <w:t xml:space="preserve"> </w:t>
      </w:r>
      <w:proofErr w:type="spellStart"/>
      <w:r w:rsidRPr="0066313B">
        <w:rPr>
          <w:rFonts w:cs="Times New Roman"/>
          <w:lang w:val="en-US"/>
        </w:rPr>
        <w:t>Oncol</w:t>
      </w:r>
      <w:proofErr w:type="spellEnd"/>
      <w:r w:rsidRPr="0066313B">
        <w:rPr>
          <w:rFonts w:cs="Times New Roman"/>
          <w:lang w:val="en-US"/>
        </w:rPr>
        <w:t>.</w:t>
      </w:r>
      <w:proofErr w:type="gramEnd"/>
      <w:r w:rsidRPr="0066313B">
        <w:rPr>
          <w:rFonts w:cs="Times New Roman"/>
          <w:lang w:val="en-US"/>
        </w:rPr>
        <w:t xml:space="preserve"> 2017 Jan 10</w:t>
      </w:r>
      <w:proofErr w:type="gramStart"/>
      <w:r w:rsidRPr="0066313B">
        <w:rPr>
          <w:rFonts w:cs="Times New Roman"/>
          <w:lang w:val="en-US"/>
        </w:rPr>
        <w:t>;35</w:t>
      </w:r>
      <w:proofErr w:type="gramEnd"/>
      <w:r w:rsidRPr="0066313B">
        <w:rPr>
          <w:rFonts w:cs="Times New Roman"/>
          <w:lang w:val="en-US"/>
        </w:rPr>
        <w:t xml:space="preserve">(2):157–65. </w:t>
      </w:r>
    </w:p>
    <w:p w:rsidR="00FB4CBC" w:rsidRPr="0066313B" w:rsidRDefault="00FB4CBC" w:rsidP="00FB4CBC">
      <w:pPr>
        <w:pStyle w:val="Bibliographie"/>
        <w:rPr>
          <w:rFonts w:cs="Times New Roman"/>
          <w:lang w:val="en-US"/>
        </w:rPr>
      </w:pPr>
      <w:r>
        <w:rPr>
          <w:rFonts w:cs="Times New Roman"/>
          <w:lang w:val="en-US"/>
        </w:rPr>
        <w:t>40</w:t>
      </w:r>
      <w:r w:rsidRPr="0066313B">
        <w:rPr>
          <w:rFonts w:cs="Times New Roman"/>
          <w:lang w:val="en-US"/>
        </w:rPr>
        <w:t xml:space="preserve">. </w:t>
      </w:r>
      <w:r w:rsidRPr="0066313B">
        <w:rPr>
          <w:rFonts w:cs="Times New Roman"/>
          <w:lang w:val="en-US"/>
        </w:rPr>
        <w:tab/>
      </w:r>
      <w:proofErr w:type="spellStart"/>
      <w:r w:rsidRPr="0066313B">
        <w:rPr>
          <w:rFonts w:cs="Times New Roman"/>
          <w:lang w:val="en-US"/>
        </w:rPr>
        <w:t>Soria</w:t>
      </w:r>
      <w:proofErr w:type="spellEnd"/>
      <w:r w:rsidRPr="0066313B">
        <w:rPr>
          <w:rFonts w:cs="Times New Roman"/>
          <w:lang w:val="en-US"/>
        </w:rPr>
        <w:t xml:space="preserve"> J-C, </w:t>
      </w:r>
      <w:proofErr w:type="spellStart"/>
      <w:r w:rsidRPr="0066313B">
        <w:rPr>
          <w:rFonts w:cs="Times New Roman"/>
          <w:lang w:val="en-US"/>
        </w:rPr>
        <w:t>DeBraud</w:t>
      </w:r>
      <w:proofErr w:type="spellEnd"/>
      <w:r w:rsidRPr="0066313B">
        <w:rPr>
          <w:rFonts w:cs="Times New Roman"/>
          <w:lang w:val="en-US"/>
        </w:rPr>
        <w:t xml:space="preserve"> F, </w:t>
      </w:r>
      <w:proofErr w:type="spellStart"/>
      <w:r w:rsidRPr="0066313B">
        <w:rPr>
          <w:rFonts w:cs="Times New Roman"/>
          <w:lang w:val="en-US"/>
        </w:rPr>
        <w:t>Bahleda</w:t>
      </w:r>
      <w:proofErr w:type="spellEnd"/>
      <w:r w:rsidRPr="0066313B">
        <w:rPr>
          <w:rFonts w:cs="Times New Roman"/>
          <w:lang w:val="en-US"/>
        </w:rPr>
        <w:t xml:space="preserve"> R, </w:t>
      </w:r>
      <w:proofErr w:type="spellStart"/>
      <w:r w:rsidRPr="0066313B">
        <w:rPr>
          <w:rFonts w:cs="Times New Roman"/>
          <w:lang w:val="en-US"/>
        </w:rPr>
        <w:t>Adamo</w:t>
      </w:r>
      <w:proofErr w:type="spellEnd"/>
      <w:r w:rsidRPr="0066313B">
        <w:rPr>
          <w:rFonts w:cs="Times New Roman"/>
          <w:lang w:val="en-US"/>
        </w:rPr>
        <w:t xml:space="preserve"> B, Andre F, </w:t>
      </w:r>
      <w:proofErr w:type="spellStart"/>
      <w:r w:rsidRPr="0066313B">
        <w:rPr>
          <w:rFonts w:cs="Times New Roman"/>
          <w:lang w:val="en-US"/>
        </w:rPr>
        <w:t>Dienstmann</w:t>
      </w:r>
      <w:proofErr w:type="spellEnd"/>
      <w:r w:rsidRPr="0066313B">
        <w:rPr>
          <w:rFonts w:cs="Times New Roman"/>
          <w:lang w:val="en-US"/>
        </w:rPr>
        <w:t xml:space="preserve"> R, et al. Phase I/</w:t>
      </w:r>
      <w:proofErr w:type="spellStart"/>
      <w:r w:rsidRPr="0066313B">
        <w:rPr>
          <w:rFonts w:cs="Times New Roman"/>
          <w:lang w:val="en-US"/>
        </w:rPr>
        <w:t>IIa</w:t>
      </w:r>
      <w:proofErr w:type="spellEnd"/>
      <w:r w:rsidRPr="0066313B">
        <w:rPr>
          <w:rFonts w:cs="Times New Roman"/>
          <w:lang w:val="en-US"/>
        </w:rPr>
        <w:t xml:space="preserve"> study evaluating the safety, efficacy, pharmacokinetics, and pharmacodynamics of </w:t>
      </w:r>
      <w:proofErr w:type="spellStart"/>
      <w:r w:rsidRPr="0066313B">
        <w:rPr>
          <w:rFonts w:cs="Times New Roman"/>
          <w:lang w:val="en-US"/>
        </w:rPr>
        <w:t>lucitanib</w:t>
      </w:r>
      <w:proofErr w:type="spellEnd"/>
      <w:r w:rsidRPr="0066313B">
        <w:rPr>
          <w:rFonts w:cs="Times New Roman"/>
          <w:lang w:val="en-US"/>
        </w:rPr>
        <w:t xml:space="preserve"> in advanced solid tumors. Ann </w:t>
      </w:r>
      <w:proofErr w:type="spellStart"/>
      <w:r w:rsidRPr="0066313B">
        <w:rPr>
          <w:rFonts w:cs="Times New Roman"/>
          <w:lang w:val="en-US"/>
        </w:rPr>
        <w:t>Oncol</w:t>
      </w:r>
      <w:proofErr w:type="spellEnd"/>
      <w:r w:rsidRPr="0066313B">
        <w:rPr>
          <w:rFonts w:cs="Times New Roman"/>
          <w:lang w:val="en-US"/>
        </w:rPr>
        <w:t xml:space="preserve"> </w:t>
      </w:r>
      <w:proofErr w:type="gramStart"/>
      <w:r w:rsidRPr="0066313B">
        <w:rPr>
          <w:rFonts w:cs="Times New Roman"/>
          <w:lang w:val="en-US"/>
        </w:rPr>
        <w:t>Off</w:t>
      </w:r>
      <w:proofErr w:type="gramEnd"/>
      <w:r w:rsidRPr="0066313B">
        <w:rPr>
          <w:rFonts w:cs="Times New Roman"/>
          <w:lang w:val="en-US"/>
        </w:rPr>
        <w:t xml:space="preserve"> J </w:t>
      </w:r>
      <w:proofErr w:type="spellStart"/>
      <w:r w:rsidRPr="0066313B">
        <w:rPr>
          <w:rFonts w:cs="Times New Roman"/>
          <w:lang w:val="en-US"/>
        </w:rPr>
        <w:t>Eur</w:t>
      </w:r>
      <w:proofErr w:type="spellEnd"/>
      <w:r w:rsidRPr="0066313B">
        <w:rPr>
          <w:rFonts w:cs="Times New Roman"/>
          <w:lang w:val="en-US"/>
        </w:rPr>
        <w:t xml:space="preserve"> </w:t>
      </w:r>
      <w:proofErr w:type="spellStart"/>
      <w:r w:rsidRPr="0066313B">
        <w:rPr>
          <w:rFonts w:cs="Times New Roman"/>
          <w:lang w:val="en-US"/>
        </w:rPr>
        <w:t>Soc</w:t>
      </w:r>
      <w:proofErr w:type="spellEnd"/>
      <w:r w:rsidRPr="0066313B">
        <w:rPr>
          <w:rFonts w:cs="Times New Roman"/>
          <w:lang w:val="en-US"/>
        </w:rPr>
        <w:t xml:space="preserve"> Med </w:t>
      </w:r>
      <w:proofErr w:type="spellStart"/>
      <w:r w:rsidRPr="0066313B">
        <w:rPr>
          <w:rFonts w:cs="Times New Roman"/>
          <w:lang w:val="en-US"/>
        </w:rPr>
        <w:t>Oncol</w:t>
      </w:r>
      <w:proofErr w:type="spellEnd"/>
      <w:r w:rsidRPr="0066313B">
        <w:rPr>
          <w:rFonts w:cs="Times New Roman"/>
          <w:lang w:val="en-US"/>
        </w:rPr>
        <w:t>. 2014 Nov</w:t>
      </w:r>
      <w:proofErr w:type="gramStart"/>
      <w:r w:rsidRPr="0066313B">
        <w:rPr>
          <w:rFonts w:cs="Times New Roman"/>
          <w:lang w:val="en-US"/>
        </w:rPr>
        <w:t>;25</w:t>
      </w:r>
      <w:proofErr w:type="gramEnd"/>
      <w:r w:rsidRPr="0066313B">
        <w:rPr>
          <w:rFonts w:cs="Times New Roman"/>
          <w:lang w:val="en-US"/>
        </w:rPr>
        <w:t xml:space="preserve">(11):2244–51. </w:t>
      </w:r>
    </w:p>
    <w:p w:rsidR="00FB4CBC" w:rsidRPr="0066313B" w:rsidRDefault="00FB4CBC" w:rsidP="00FB4CBC">
      <w:pPr>
        <w:pStyle w:val="Bibliographie"/>
        <w:rPr>
          <w:rFonts w:cs="Times New Roman"/>
          <w:lang w:val="en-US"/>
        </w:rPr>
      </w:pPr>
      <w:r w:rsidRPr="0066313B">
        <w:rPr>
          <w:rFonts w:cs="Times New Roman"/>
          <w:lang w:val="en-US"/>
        </w:rPr>
        <w:t>4</w:t>
      </w:r>
      <w:r>
        <w:rPr>
          <w:rFonts w:cs="Times New Roman"/>
          <w:lang w:val="en-US"/>
        </w:rPr>
        <w:t>1</w:t>
      </w:r>
      <w:r w:rsidRPr="0066313B">
        <w:rPr>
          <w:rFonts w:cs="Times New Roman"/>
          <w:lang w:val="en-US"/>
        </w:rPr>
        <w:t xml:space="preserve">. </w:t>
      </w:r>
      <w:r w:rsidRPr="0066313B">
        <w:rPr>
          <w:rFonts w:cs="Times New Roman"/>
          <w:lang w:val="en-US"/>
        </w:rPr>
        <w:tab/>
      </w:r>
      <w:proofErr w:type="spellStart"/>
      <w:r w:rsidRPr="0066313B">
        <w:rPr>
          <w:rFonts w:cs="Times New Roman"/>
          <w:lang w:val="en-US"/>
        </w:rPr>
        <w:t>Katoh</w:t>
      </w:r>
      <w:proofErr w:type="spellEnd"/>
      <w:r w:rsidRPr="0066313B">
        <w:rPr>
          <w:rFonts w:cs="Times New Roman"/>
          <w:lang w:val="en-US"/>
        </w:rPr>
        <w:t xml:space="preserve"> M. FGFR inhibitors: Effects on cancer cells, tumor microenvironment and whole-body homeostasis (Review). </w:t>
      </w:r>
      <w:proofErr w:type="spellStart"/>
      <w:r w:rsidRPr="0066313B">
        <w:rPr>
          <w:rFonts w:cs="Times New Roman"/>
          <w:lang w:val="en-US"/>
        </w:rPr>
        <w:t>Int</w:t>
      </w:r>
      <w:proofErr w:type="spellEnd"/>
      <w:r w:rsidRPr="0066313B">
        <w:rPr>
          <w:rFonts w:cs="Times New Roman"/>
          <w:lang w:val="en-US"/>
        </w:rPr>
        <w:t xml:space="preserve"> J </w:t>
      </w:r>
      <w:proofErr w:type="spellStart"/>
      <w:r w:rsidRPr="0066313B">
        <w:rPr>
          <w:rFonts w:cs="Times New Roman"/>
          <w:lang w:val="en-US"/>
        </w:rPr>
        <w:t>Mol</w:t>
      </w:r>
      <w:proofErr w:type="spellEnd"/>
      <w:r w:rsidRPr="0066313B">
        <w:rPr>
          <w:rFonts w:cs="Times New Roman"/>
          <w:lang w:val="en-US"/>
        </w:rPr>
        <w:t xml:space="preserve"> Med. 2016 Jul</w:t>
      </w:r>
      <w:proofErr w:type="gramStart"/>
      <w:r w:rsidRPr="0066313B">
        <w:rPr>
          <w:rFonts w:cs="Times New Roman"/>
          <w:lang w:val="en-US"/>
        </w:rPr>
        <w:t>;38</w:t>
      </w:r>
      <w:proofErr w:type="gramEnd"/>
      <w:r w:rsidRPr="0066313B">
        <w:rPr>
          <w:rFonts w:cs="Times New Roman"/>
          <w:lang w:val="en-US"/>
        </w:rPr>
        <w:t xml:space="preserve">(1):3–15. </w:t>
      </w:r>
    </w:p>
    <w:p w:rsidR="00FB4CBC" w:rsidRPr="0066313B" w:rsidRDefault="00FB4CBC" w:rsidP="00FB4CBC">
      <w:pPr>
        <w:pStyle w:val="Bibliographie"/>
        <w:rPr>
          <w:rFonts w:cs="Times New Roman"/>
          <w:lang w:val="en-US"/>
        </w:rPr>
      </w:pPr>
      <w:r w:rsidRPr="0066313B">
        <w:rPr>
          <w:rFonts w:cs="Times New Roman"/>
          <w:lang w:val="en-US"/>
        </w:rPr>
        <w:t>4</w:t>
      </w:r>
      <w:r>
        <w:rPr>
          <w:rFonts w:cs="Times New Roman"/>
          <w:lang w:val="en-US"/>
        </w:rPr>
        <w:t>2</w:t>
      </w:r>
      <w:r w:rsidRPr="0066313B">
        <w:rPr>
          <w:rFonts w:cs="Times New Roman"/>
          <w:lang w:val="en-US"/>
        </w:rPr>
        <w:t xml:space="preserve">. </w:t>
      </w:r>
      <w:r w:rsidRPr="0066313B">
        <w:rPr>
          <w:rFonts w:cs="Times New Roman"/>
          <w:lang w:val="en-US"/>
        </w:rPr>
        <w:tab/>
        <w:t>André F, Cortés J. Rationale for targeting fibroblast growth factor receptor signaling in breast cancer. Breast Cancer Res Treat. 2015 Feb</w:t>
      </w:r>
      <w:proofErr w:type="gramStart"/>
      <w:r w:rsidRPr="0066313B">
        <w:rPr>
          <w:rFonts w:cs="Times New Roman"/>
          <w:lang w:val="en-US"/>
        </w:rPr>
        <w:t>;150</w:t>
      </w:r>
      <w:proofErr w:type="gramEnd"/>
      <w:r w:rsidRPr="0066313B">
        <w:rPr>
          <w:rFonts w:cs="Times New Roman"/>
          <w:lang w:val="en-US"/>
        </w:rPr>
        <w:t xml:space="preserve">(1):1–8. </w:t>
      </w:r>
    </w:p>
    <w:p w:rsidR="00FB4CBC" w:rsidRPr="0066313B" w:rsidRDefault="00FB4CBC" w:rsidP="00FB4CBC">
      <w:pPr>
        <w:pStyle w:val="Bibliographie"/>
        <w:rPr>
          <w:rFonts w:cs="Times New Roman"/>
          <w:lang w:val="en-US"/>
        </w:rPr>
      </w:pPr>
      <w:r w:rsidRPr="0066313B">
        <w:rPr>
          <w:rFonts w:cs="Times New Roman"/>
          <w:lang w:val="en-US"/>
        </w:rPr>
        <w:t>4</w:t>
      </w:r>
      <w:r>
        <w:rPr>
          <w:rFonts w:cs="Times New Roman"/>
          <w:lang w:val="en-US"/>
        </w:rPr>
        <w:t>3</w:t>
      </w:r>
      <w:r w:rsidRPr="0066313B">
        <w:rPr>
          <w:rFonts w:cs="Times New Roman"/>
          <w:lang w:val="en-US"/>
        </w:rPr>
        <w:t xml:space="preserve">. </w:t>
      </w:r>
      <w:r w:rsidRPr="0066313B">
        <w:rPr>
          <w:rFonts w:cs="Times New Roman"/>
          <w:lang w:val="en-US"/>
        </w:rPr>
        <w:tab/>
      </w:r>
      <w:proofErr w:type="spellStart"/>
      <w:r w:rsidRPr="0066313B">
        <w:rPr>
          <w:rFonts w:cs="Times New Roman"/>
          <w:lang w:val="en-US"/>
        </w:rPr>
        <w:t>Bitler</w:t>
      </w:r>
      <w:proofErr w:type="spellEnd"/>
      <w:r w:rsidRPr="0066313B">
        <w:rPr>
          <w:rFonts w:cs="Times New Roman"/>
          <w:lang w:val="en-US"/>
        </w:rPr>
        <w:t xml:space="preserve"> BG, </w:t>
      </w:r>
      <w:proofErr w:type="spellStart"/>
      <w:r w:rsidRPr="0066313B">
        <w:rPr>
          <w:rFonts w:cs="Times New Roman"/>
          <w:lang w:val="en-US"/>
        </w:rPr>
        <w:t>Aird</w:t>
      </w:r>
      <w:proofErr w:type="spellEnd"/>
      <w:r w:rsidRPr="0066313B">
        <w:rPr>
          <w:rFonts w:cs="Times New Roman"/>
          <w:lang w:val="en-US"/>
        </w:rPr>
        <w:t xml:space="preserve"> KM, </w:t>
      </w:r>
      <w:proofErr w:type="spellStart"/>
      <w:r w:rsidRPr="0066313B">
        <w:rPr>
          <w:rFonts w:cs="Times New Roman"/>
          <w:lang w:val="en-US"/>
        </w:rPr>
        <w:t>Garipov</w:t>
      </w:r>
      <w:proofErr w:type="spellEnd"/>
      <w:r w:rsidRPr="0066313B">
        <w:rPr>
          <w:rFonts w:cs="Times New Roman"/>
          <w:lang w:val="en-US"/>
        </w:rPr>
        <w:t xml:space="preserve"> A, Li H, </w:t>
      </w:r>
      <w:proofErr w:type="spellStart"/>
      <w:r w:rsidRPr="0066313B">
        <w:rPr>
          <w:rFonts w:cs="Times New Roman"/>
          <w:lang w:val="en-US"/>
        </w:rPr>
        <w:t>Amatangelo</w:t>
      </w:r>
      <w:proofErr w:type="spellEnd"/>
      <w:r w:rsidRPr="0066313B">
        <w:rPr>
          <w:rFonts w:cs="Times New Roman"/>
          <w:lang w:val="en-US"/>
        </w:rPr>
        <w:t xml:space="preserve"> M, </w:t>
      </w:r>
      <w:proofErr w:type="spellStart"/>
      <w:r w:rsidRPr="0066313B">
        <w:rPr>
          <w:rFonts w:cs="Times New Roman"/>
          <w:lang w:val="en-US"/>
        </w:rPr>
        <w:t>Kossenkov</w:t>
      </w:r>
      <w:proofErr w:type="spellEnd"/>
      <w:r w:rsidRPr="0066313B">
        <w:rPr>
          <w:rFonts w:cs="Times New Roman"/>
          <w:lang w:val="en-US"/>
        </w:rPr>
        <w:t xml:space="preserve"> AV, et al. Synthetic lethality by targeting EZH2 </w:t>
      </w:r>
      <w:proofErr w:type="spellStart"/>
      <w:r w:rsidRPr="0066313B">
        <w:rPr>
          <w:rFonts w:cs="Times New Roman"/>
          <w:lang w:val="en-US"/>
        </w:rPr>
        <w:t>methyltransferase</w:t>
      </w:r>
      <w:proofErr w:type="spellEnd"/>
      <w:r w:rsidRPr="0066313B">
        <w:rPr>
          <w:rFonts w:cs="Times New Roman"/>
          <w:lang w:val="en-US"/>
        </w:rPr>
        <w:t xml:space="preserve"> activity in ARID1A-mutated cancers. Nat Med. 2015 Feb 16</w:t>
      </w:r>
      <w:proofErr w:type="gramStart"/>
      <w:r w:rsidRPr="0066313B">
        <w:rPr>
          <w:rFonts w:cs="Times New Roman"/>
          <w:lang w:val="en-US"/>
        </w:rPr>
        <w:t>;21:231</w:t>
      </w:r>
      <w:proofErr w:type="gramEnd"/>
      <w:r w:rsidRPr="0066313B">
        <w:rPr>
          <w:rFonts w:cs="Times New Roman"/>
          <w:lang w:val="en-US"/>
        </w:rPr>
        <w:t xml:space="preserve">. </w:t>
      </w:r>
    </w:p>
    <w:p w:rsidR="00FB4CBC" w:rsidRPr="0066313B" w:rsidRDefault="00FB4CBC" w:rsidP="00FB4CBC">
      <w:pPr>
        <w:pStyle w:val="Bibliographie"/>
        <w:rPr>
          <w:rFonts w:cs="Times New Roman"/>
          <w:lang w:val="en-US"/>
        </w:rPr>
      </w:pPr>
      <w:r w:rsidRPr="0066313B">
        <w:rPr>
          <w:rFonts w:cs="Times New Roman"/>
          <w:lang w:val="en-US"/>
        </w:rPr>
        <w:t>4</w:t>
      </w:r>
      <w:r>
        <w:rPr>
          <w:rFonts w:cs="Times New Roman"/>
          <w:lang w:val="en-US"/>
        </w:rPr>
        <w:t>4</w:t>
      </w:r>
      <w:r w:rsidRPr="0066313B">
        <w:rPr>
          <w:rFonts w:cs="Times New Roman"/>
          <w:lang w:val="en-US"/>
        </w:rPr>
        <w:t xml:space="preserve">. </w:t>
      </w:r>
      <w:r w:rsidRPr="0066313B">
        <w:rPr>
          <w:rFonts w:cs="Times New Roman"/>
          <w:lang w:val="en-US"/>
        </w:rPr>
        <w:tab/>
        <w:t xml:space="preserve">Kim H, George E, Ragland R, </w:t>
      </w:r>
      <w:proofErr w:type="spellStart"/>
      <w:r w:rsidRPr="0066313B">
        <w:rPr>
          <w:rFonts w:cs="Times New Roman"/>
          <w:lang w:val="en-US"/>
        </w:rPr>
        <w:t>Rafial</w:t>
      </w:r>
      <w:proofErr w:type="spellEnd"/>
      <w:r w:rsidRPr="0066313B">
        <w:rPr>
          <w:rFonts w:cs="Times New Roman"/>
          <w:lang w:val="en-US"/>
        </w:rPr>
        <w:t xml:space="preserve"> S, Zhang R, </w:t>
      </w:r>
      <w:proofErr w:type="spellStart"/>
      <w:r w:rsidRPr="0066313B">
        <w:rPr>
          <w:rFonts w:cs="Times New Roman"/>
          <w:lang w:val="en-US"/>
        </w:rPr>
        <w:t>Krepler</w:t>
      </w:r>
      <w:proofErr w:type="spellEnd"/>
      <w:r w:rsidRPr="0066313B">
        <w:rPr>
          <w:rFonts w:cs="Times New Roman"/>
          <w:lang w:val="en-US"/>
        </w:rPr>
        <w:t xml:space="preserve"> C, et al. Targeting the ATR/CHK1 Axis with PARP Inhibition Results in Tumor Regression in BRCA-Mutant Ovarian Cancer Models. </w:t>
      </w:r>
      <w:proofErr w:type="spellStart"/>
      <w:r w:rsidRPr="0066313B">
        <w:rPr>
          <w:rFonts w:cs="Times New Roman"/>
          <w:lang w:val="en-US"/>
        </w:rPr>
        <w:t>Clin</w:t>
      </w:r>
      <w:proofErr w:type="spellEnd"/>
      <w:r w:rsidRPr="0066313B">
        <w:rPr>
          <w:rFonts w:cs="Times New Roman"/>
          <w:lang w:val="en-US"/>
        </w:rPr>
        <w:t xml:space="preserve"> Cancer Res Off J Am </w:t>
      </w:r>
      <w:proofErr w:type="spellStart"/>
      <w:r w:rsidRPr="0066313B">
        <w:rPr>
          <w:rFonts w:cs="Times New Roman"/>
          <w:lang w:val="en-US"/>
        </w:rPr>
        <w:t>Assoc</w:t>
      </w:r>
      <w:proofErr w:type="spellEnd"/>
      <w:r w:rsidRPr="0066313B">
        <w:rPr>
          <w:rFonts w:cs="Times New Roman"/>
          <w:lang w:val="en-US"/>
        </w:rPr>
        <w:t xml:space="preserve"> Cancer Res. 2017 Jun 15</w:t>
      </w:r>
      <w:proofErr w:type="gramStart"/>
      <w:r w:rsidRPr="0066313B">
        <w:rPr>
          <w:rFonts w:cs="Times New Roman"/>
          <w:lang w:val="en-US"/>
        </w:rPr>
        <w:t>;23</w:t>
      </w:r>
      <w:proofErr w:type="gramEnd"/>
      <w:r w:rsidRPr="0066313B">
        <w:rPr>
          <w:rFonts w:cs="Times New Roman"/>
          <w:lang w:val="en-US"/>
        </w:rPr>
        <w:t xml:space="preserve">(12):3097–108. </w:t>
      </w:r>
    </w:p>
    <w:p w:rsidR="00FB4CBC" w:rsidRPr="0066313B" w:rsidRDefault="00FB4CBC" w:rsidP="00FB4CBC">
      <w:pPr>
        <w:pStyle w:val="Bibliographie"/>
        <w:rPr>
          <w:rFonts w:cs="Times New Roman"/>
          <w:lang w:val="en-US"/>
        </w:rPr>
      </w:pPr>
      <w:r w:rsidRPr="0066313B">
        <w:rPr>
          <w:rFonts w:cs="Times New Roman"/>
          <w:lang w:val="en-US"/>
        </w:rPr>
        <w:t>4</w:t>
      </w:r>
      <w:r>
        <w:rPr>
          <w:rFonts w:cs="Times New Roman"/>
          <w:lang w:val="en-US"/>
        </w:rPr>
        <w:t>5</w:t>
      </w:r>
      <w:r w:rsidRPr="0066313B">
        <w:rPr>
          <w:rFonts w:cs="Times New Roman"/>
          <w:lang w:val="en-US"/>
        </w:rPr>
        <w:t xml:space="preserve">. </w:t>
      </w:r>
      <w:r w:rsidRPr="0066313B">
        <w:rPr>
          <w:rFonts w:cs="Times New Roman"/>
          <w:lang w:val="en-US"/>
        </w:rPr>
        <w:tab/>
        <w:t xml:space="preserve">Evans KW, </w:t>
      </w:r>
      <w:proofErr w:type="spellStart"/>
      <w:r w:rsidRPr="0066313B">
        <w:rPr>
          <w:rFonts w:cs="Times New Roman"/>
          <w:lang w:val="en-US"/>
        </w:rPr>
        <w:t>Yuca</w:t>
      </w:r>
      <w:proofErr w:type="spellEnd"/>
      <w:r w:rsidRPr="0066313B">
        <w:rPr>
          <w:rFonts w:cs="Times New Roman"/>
          <w:lang w:val="en-US"/>
        </w:rPr>
        <w:t xml:space="preserve"> E, </w:t>
      </w:r>
      <w:proofErr w:type="spellStart"/>
      <w:r w:rsidRPr="0066313B">
        <w:rPr>
          <w:rFonts w:cs="Times New Roman"/>
          <w:lang w:val="en-US"/>
        </w:rPr>
        <w:t>Akcakanat</w:t>
      </w:r>
      <w:proofErr w:type="spellEnd"/>
      <w:r w:rsidRPr="0066313B">
        <w:rPr>
          <w:rFonts w:cs="Times New Roman"/>
          <w:lang w:val="en-US"/>
        </w:rPr>
        <w:t xml:space="preserve"> A, Scott SM, </w:t>
      </w:r>
      <w:proofErr w:type="spellStart"/>
      <w:r w:rsidRPr="0066313B">
        <w:rPr>
          <w:rFonts w:cs="Times New Roman"/>
          <w:lang w:val="en-US"/>
        </w:rPr>
        <w:t>Arango</w:t>
      </w:r>
      <w:proofErr w:type="spellEnd"/>
      <w:r w:rsidRPr="0066313B">
        <w:rPr>
          <w:rFonts w:cs="Times New Roman"/>
          <w:lang w:val="en-US"/>
        </w:rPr>
        <w:t xml:space="preserve"> NP, </w:t>
      </w:r>
      <w:proofErr w:type="spellStart"/>
      <w:r w:rsidRPr="0066313B">
        <w:rPr>
          <w:rFonts w:cs="Times New Roman"/>
          <w:lang w:val="en-US"/>
        </w:rPr>
        <w:t>Zheng</w:t>
      </w:r>
      <w:proofErr w:type="spellEnd"/>
      <w:r w:rsidRPr="0066313B">
        <w:rPr>
          <w:rFonts w:cs="Times New Roman"/>
          <w:lang w:val="en-US"/>
        </w:rPr>
        <w:t xml:space="preserve"> X, et al. A Population of Heterogeneous Breast Cancer Patient-Derived </w:t>
      </w:r>
      <w:proofErr w:type="spellStart"/>
      <w:r w:rsidRPr="0066313B">
        <w:rPr>
          <w:rFonts w:cs="Times New Roman"/>
          <w:lang w:val="en-US"/>
        </w:rPr>
        <w:t>Xenografts</w:t>
      </w:r>
      <w:proofErr w:type="spellEnd"/>
      <w:r w:rsidRPr="0066313B">
        <w:rPr>
          <w:rFonts w:cs="Times New Roman"/>
          <w:lang w:val="en-US"/>
        </w:rPr>
        <w:t xml:space="preserve"> Demonstrate Broad Activity of PARP Inhibitor in BRCA1/2 Wild-Type Tumors. </w:t>
      </w:r>
      <w:proofErr w:type="spellStart"/>
      <w:r w:rsidRPr="0066313B">
        <w:rPr>
          <w:rFonts w:cs="Times New Roman"/>
          <w:lang w:val="en-US"/>
        </w:rPr>
        <w:t>Clin</w:t>
      </w:r>
      <w:proofErr w:type="spellEnd"/>
      <w:r w:rsidRPr="0066313B">
        <w:rPr>
          <w:rFonts w:cs="Times New Roman"/>
          <w:lang w:val="en-US"/>
        </w:rPr>
        <w:t xml:space="preserve"> Cancer Res Off J Am </w:t>
      </w:r>
      <w:proofErr w:type="spellStart"/>
      <w:r w:rsidRPr="0066313B">
        <w:rPr>
          <w:rFonts w:cs="Times New Roman"/>
          <w:lang w:val="en-US"/>
        </w:rPr>
        <w:t>Assoc</w:t>
      </w:r>
      <w:proofErr w:type="spellEnd"/>
      <w:r w:rsidRPr="0066313B">
        <w:rPr>
          <w:rFonts w:cs="Times New Roman"/>
          <w:lang w:val="en-US"/>
        </w:rPr>
        <w:t xml:space="preserve"> Cancer Res. 2017 Nov 1</w:t>
      </w:r>
      <w:proofErr w:type="gramStart"/>
      <w:r w:rsidRPr="0066313B">
        <w:rPr>
          <w:rFonts w:cs="Times New Roman"/>
          <w:lang w:val="en-US"/>
        </w:rPr>
        <w:t>;23</w:t>
      </w:r>
      <w:proofErr w:type="gramEnd"/>
      <w:r w:rsidRPr="0066313B">
        <w:rPr>
          <w:rFonts w:cs="Times New Roman"/>
          <w:lang w:val="en-US"/>
        </w:rPr>
        <w:t xml:space="preserve">(21):6468–77. </w:t>
      </w:r>
    </w:p>
    <w:p w:rsidR="00FB4CBC" w:rsidRPr="0066313B" w:rsidRDefault="00FB4CBC" w:rsidP="00FB4CBC">
      <w:pPr>
        <w:pStyle w:val="Bibliographie"/>
        <w:rPr>
          <w:rFonts w:cs="Times New Roman"/>
          <w:lang w:val="en-US"/>
        </w:rPr>
      </w:pPr>
      <w:r w:rsidRPr="0066313B">
        <w:rPr>
          <w:rFonts w:cs="Times New Roman"/>
          <w:lang w:val="en-US"/>
        </w:rPr>
        <w:t>4</w:t>
      </w:r>
      <w:r>
        <w:rPr>
          <w:rFonts w:cs="Times New Roman"/>
          <w:lang w:val="en-US"/>
        </w:rPr>
        <w:t>6</w:t>
      </w:r>
      <w:r w:rsidRPr="0066313B">
        <w:rPr>
          <w:rFonts w:cs="Times New Roman"/>
          <w:lang w:val="en-US"/>
        </w:rPr>
        <w:t xml:space="preserve">. </w:t>
      </w:r>
      <w:r w:rsidRPr="0066313B">
        <w:rPr>
          <w:rFonts w:cs="Times New Roman"/>
          <w:lang w:val="en-US"/>
        </w:rPr>
        <w:tab/>
      </w:r>
      <w:proofErr w:type="spellStart"/>
      <w:r w:rsidRPr="0066313B">
        <w:rPr>
          <w:rFonts w:cs="Times New Roman"/>
          <w:lang w:val="en-US"/>
        </w:rPr>
        <w:t>Perkhofer</w:t>
      </w:r>
      <w:proofErr w:type="spellEnd"/>
      <w:r w:rsidRPr="0066313B">
        <w:rPr>
          <w:rFonts w:cs="Times New Roman"/>
          <w:lang w:val="en-US"/>
        </w:rPr>
        <w:t xml:space="preserve"> L, Schmitt A, Romero Carrasco MC, </w:t>
      </w:r>
      <w:proofErr w:type="spellStart"/>
      <w:r w:rsidRPr="0066313B">
        <w:rPr>
          <w:rFonts w:cs="Times New Roman"/>
          <w:lang w:val="en-US"/>
        </w:rPr>
        <w:t>Ihle</w:t>
      </w:r>
      <w:proofErr w:type="spellEnd"/>
      <w:r w:rsidRPr="0066313B">
        <w:rPr>
          <w:rFonts w:cs="Times New Roman"/>
          <w:lang w:val="en-US"/>
        </w:rPr>
        <w:t xml:space="preserve"> M, </w:t>
      </w:r>
      <w:proofErr w:type="spellStart"/>
      <w:r w:rsidRPr="0066313B">
        <w:rPr>
          <w:rFonts w:cs="Times New Roman"/>
          <w:lang w:val="en-US"/>
        </w:rPr>
        <w:t>Hampp</w:t>
      </w:r>
      <w:proofErr w:type="spellEnd"/>
      <w:r w:rsidRPr="0066313B">
        <w:rPr>
          <w:rFonts w:cs="Times New Roman"/>
          <w:lang w:val="en-US"/>
        </w:rPr>
        <w:t xml:space="preserve"> S, </w:t>
      </w:r>
      <w:proofErr w:type="spellStart"/>
      <w:r w:rsidRPr="0066313B">
        <w:rPr>
          <w:rFonts w:cs="Times New Roman"/>
          <w:lang w:val="en-US"/>
        </w:rPr>
        <w:t>Ruess</w:t>
      </w:r>
      <w:proofErr w:type="spellEnd"/>
      <w:r w:rsidRPr="0066313B">
        <w:rPr>
          <w:rFonts w:cs="Times New Roman"/>
          <w:lang w:val="en-US"/>
        </w:rPr>
        <w:t xml:space="preserve"> DA, et al. ATM Deficiency Generating Genomic Instability Sensitizes Pancreatic Ductal Adenocarcinoma Cells to Therapy-Induced DNA Damage. Cancer Res. 2017 15</w:t>
      </w:r>
      <w:proofErr w:type="gramStart"/>
      <w:r w:rsidRPr="0066313B">
        <w:rPr>
          <w:rFonts w:cs="Times New Roman"/>
          <w:lang w:val="en-US"/>
        </w:rPr>
        <w:t>;77</w:t>
      </w:r>
      <w:proofErr w:type="gramEnd"/>
      <w:r w:rsidRPr="0066313B">
        <w:rPr>
          <w:rFonts w:cs="Times New Roman"/>
          <w:lang w:val="en-US"/>
        </w:rPr>
        <w:t xml:space="preserve">(20):5576–90. </w:t>
      </w:r>
    </w:p>
    <w:p w:rsidR="00FB4CBC" w:rsidRPr="0066313B" w:rsidRDefault="00FB4CBC" w:rsidP="00FB4CBC">
      <w:pPr>
        <w:pStyle w:val="Bibliographie"/>
        <w:rPr>
          <w:rFonts w:cs="Times New Roman"/>
          <w:lang w:val="en-US"/>
        </w:rPr>
      </w:pPr>
      <w:r w:rsidRPr="0066313B">
        <w:rPr>
          <w:rFonts w:cs="Times New Roman"/>
          <w:lang w:val="en-US"/>
        </w:rPr>
        <w:t>4</w:t>
      </w:r>
      <w:r>
        <w:rPr>
          <w:rFonts w:cs="Times New Roman"/>
          <w:lang w:val="en-US"/>
        </w:rPr>
        <w:t>7</w:t>
      </w:r>
      <w:r w:rsidRPr="0066313B">
        <w:rPr>
          <w:rFonts w:cs="Times New Roman"/>
          <w:lang w:val="en-US"/>
        </w:rPr>
        <w:t xml:space="preserve">. </w:t>
      </w:r>
      <w:r w:rsidRPr="0066313B">
        <w:rPr>
          <w:rFonts w:cs="Times New Roman"/>
          <w:lang w:val="en-US"/>
        </w:rPr>
        <w:tab/>
        <w:t xml:space="preserve">Smith MA, Hampton OA, Reynolds CP, Kang MH, Maris JM, </w:t>
      </w:r>
      <w:proofErr w:type="spellStart"/>
      <w:r w:rsidRPr="0066313B">
        <w:rPr>
          <w:rFonts w:cs="Times New Roman"/>
          <w:lang w:val="en-US"/>
        </w:rPr>
        <w:t>Gorlick</w:t>
      </w:r>
      <w:proofErr w:type="spellEnd"/>
      <w:r w:rsidRPr="0066313B">
        <w:rPr>
          <w:rFonts w:cs="Times New Roman"/>
          <w:lang w:val="en-US"/>
        </w:rPr>
        <w:t xml:space="preserve"> R, et al. Initial testing (stage 1) of the PARP inhibitor BMN 673 by the pediatric preclinical testing program: PALB2 mutation predicts exceptional in vivo response to BMN 673. </w:t>
      </w:r>
      <w:proofErr w:type="spellStart"/>
      <w:proofErr w:type="gramStart"/>
      <w:r w:rsidRPr="0066313B">
        <w:rPr>
          <w:rFonts w:cs="Times New Roman"/>
          <w:lang w:val="en-US"/>
        </w:rPr>
        <w:t>Pediatr</w:t>
      </w:r>
      <w:proofErr w:type="spellEnd"/>
      <w:r w:rsidRPr="0066313B">
        <w:rPr>
          <w:rFonts w:cs="Times New Roman"/>
          <w:lang w:val="en-US"/>
        </w:rPr>
        <w:t xml:space="preserve"> Blood Cancer.</w:t>
      </w:r>
      <w:proofErr w:type="gramEnd"/>
      <w:r w:rsidRPr="0066313B">
        <w:rPr>
          <w:rFonts w:cs="Times New Roman"/>
          <w:lang w:val="en-US"/>
        </w:rPr>
        <w:t xml:space="preserve"> 2015 Jan</w:t>
      </w:r>
      <w:proofErr w:type="gramStart"/>
      <w:r w:rsidRPr="0066313B">
        <w:rPr>
          <w:rFonts w:cs="Times New Roman"/>
          <w:lang w:val="en-US"/>
        </w:rPr>
        <w:t>;62</w:t>
      </w:r>
      <w:proofErr w:type="gramEnd"/>
      <w:r w:rsidRPr="0066313B">
        <w:rPr>
          <w:rFonts w:cs="Times New Roman"/>
          <w:lang w:val="en-US"/>
        </w:rPr>
        <w:t xml:space="preserve">(1):91–8. </w:t>
      </w:r>
    </w:p>
    <w:p w:rsidR="00FB4CBC" w:rsidRPr="0066313B" w:rsidRDefault="00FB4CBC" w:rsidP="00FB4CBC">
      <w:pPr>
        <w:pStyle w:val="Bibliographie"/>
        <w:rPr>
          <w:rFonts w:cs="Times New Roman"/>
          <w:lang w:val="en-US"/>
        </w:rPr>
      </w:pPr>
      <w:r w:rsidRPr="0066313B">
        <w:rPr>
          <w:rFonts w:cs="Times New Roman"/>
          <w:lang w:val="en-US"/>
        </w:rPr>
        <w:t>4</w:t>
      </w:r>
      <w:r>
        <w:rPr>
          <w:rFonts w:cs="Times New Roman"/>
          <w:lang w:val="en-US"/>
        </w:rPr>
        <w:t>8</w:t>
      </w:r>
      <w:r w:rsidRPr="0066313B">
        <w:rPr>
          <w:rFonts w:cs="Times New Roman"/>
          <w:lang w:val="en-US"/>
        </w:rPr>
        <w:t xml:space="preserve">. </w:t>
      </w:r>
      <w:r w:rsidRPr="0066313B">
        <w:rPr>
          <w:rFonts w:cs="Times New Roman"/>
          <w:lang w:val="en-US"/>
        </w:rPr>
        <w:tab/>
        <w:t xml:space="preserve">Min A, </w:t>
      </w:r>
      <w:proofErr w:type="spellStart"/>
      <w:r w:rsidRPr="0066313B">
        <w:rPr>
          <w:rFonts w:cs="Times New Roman"/>
          <w:lang w:val="en-US"/>
        </w:rPr>
        <w:t>Im</w:t>
      </w:r>
      <w:proofErr w:type="spellEnd"/>
      <w:r w:rsidRPr="0066313B">
        <w:rPr>
          <w:rFonts w:cs="Times New Roman"/>
          <w:lang w:val="en-US"/>
        </w:rPr>
        <w:t xml:space="preserve"> S-A, Jang H, Kim S, Lee M, Kim DK, et al. AZD6738, A Novel Oral Inhibitor of ATR, Induces Synthetic Lethality with ATM Deficiency in Gastric Cancer Cells. </w:t>
      </w:r>
      <w:proofErr w:type="spellStart"/>
      <w:proofErr w:type="gramStart"/>
      <w:r w:rsidRPr="0066313B">
        <w:rPr>
          <w:rFonts w:cs="Times New Roman"/>
          <w:lang w:val="en-US"/>
        </w:rPr>
        <w:t>Mol</w:t>
      </w:r>
      <w:proofErr w:type="spellEnd"/>
      <w:r w:rsidRPr="0066313B">
        <w:rPr>
          <w:rFonts w:cs="Times New Roman"/>
          <w:lang w:val="en-US"/>
        </w:rPr>
        <w:t xml:space="preserve"> Cancer </w:t>
      </w:r>
      <w:proofErr w:type="spellStart"/>
      <w:r w:rsidRPr="0066313B">
        <w:rPr>
          <w:rFonts w:cs="Times New Roman"/>
          <w:lang w:val="en-US"/>
        </w:rPr>
        <w:t>Ther</w:t>
      </w:r>
      <w:proofErr w:type="spellEnd"/>
      <w:r w:rsidRPr="0066313B">
        <w:rPr>
          <w:rFonts w:cs="Times New Roman"/>
          <w:lang w:val="en-US"/>
        </w:rPr>
        <w:t>.</w:t>
      </w:r>
      <w:proofErr w:type="gramEnd"/>
      <w:r w:rsidRPr="0066313B">
        <w:rPr>
          <w:rFonts w:cs="Times New Roman"/>
          <w:lang w:val="en-US"/>
        </w:rPr>
        <w:t xml:space="preserve"> 2017</w:t>
      </w:r>
      <w:proofErr w:type="gramStart"/>
      <w:r w:rsidRPr="0066313B">
        <w:rPr>
          <w:rFonts w:cs="Times New Roman"/>
          <w:lang w:val="en-US"/>
        </w:rPr>
        <w:t>;16</w:t>
      </w:r>
      <w:proofErr w:type="gramEnd"/>
      <w:r w:rsidRPr="0066313B">
        <w:rPr>
          <w:rFonts w:cs="Times New Roman"/>
          <w:lang w:val="en-US"/>
        </w:rPr>
        <w:t xml:space="preserve">(4):566–77. </w:t>
      </w:r>
    </w:p>
    <w:p w:rsidR="00FB4CBC" w:rsidRPr="0066313B" w:rsidRDefault="00FB4CBC" w:rsidP="00FB4CBC">
      <w:pPr>
        <w:pStyle w:val="Bibliographie"/>
        <w:rPr>
          <w:rFonts w:cs="Times New Roman"/>
          <w:lang w:val="en-US"/>
        </w:rPr>
      </w:pPr>
      <w:r w:rsidRPr="0066313B">
        <w:rPr>
          <w:rFonts w:cs="Times New Roman"/>
          <w:lang w:val="en-US"/>
        </w:rPr>
        <w:t>4</w:t>
      </w:r>
      <w:r>
        <w:rPr>
          <w:rFonts w:cs="Times New Roman"/>
          <w:lang w:val="en-US"/>
        </w:rPr>
        <w:t>9</w:t>
      </w:r>
      <w:r w:rsidRPr="0066313B">
        <w:rPr>
          <w:rFonts w:cs="Times New Roman"/>
          <w:lang w:val="en-US"/>
        </w:rPr>
        <w:t xml:space="preserve">. </w:t>
      </w:r>
      <w:r w:rsidRPr="0066313B">
        <w:rPr>
          <w:rFonts w:cs="Times New Roman"/>
          <w:lang w:val="en-US"/>
        </w:rPr>
        <w:tab/>
      </w:r>
      <w:proofErr w:type="spellStart"/>
      <w:r w:rsidRPr="0066313B">
        <w:rPr>
          <w:rFonts w:cs="Times New Roman"/>
          <w:lang w:val="en-US"/>
        </w:rPr>
        <w:t>Bajrami</w:t>
      </w:r>
      <w:proofErr w:type="spellEnd"/>
      <w:r w:rsidRPr="0066313B">
        <w:rPr>
          <w:rFonts w:cs="Times New Roman"/>
          <w:lang w:val="en-US"/>
        </w:rPr>
        <w:t xml:space="preserve"> I, Marlow R, van de </w:t>
      </w:r>
      <w:proofErr w:type="spellStart"/>
      <w:r w:rsidRPr="0066313B">
        <w:rPr>
          <w:rFonts w:cs="Times New Roman"/>
          <w:lang w:val="en-US"/>
        </w:rPr>
        <w:t>Ven</w:t>
      </w:r>
      <w:proofErr w:type="spellEnd"/>
      <w:r w:rsidRPr="0066313B">
        <w:rPr>
          <w:rFonts w:cs="Times New Roman"/>
          <w:lang w:val="en-US"/>
        </w:rPr>
        <w:t xml:space="preserve"> M, </w:t>
      </w:r>
      <w:proofErr w:type="spellStart"/>
      <w:r w:rsidRPr="0066313B">
        <w:rPr>
          <w:rFonts w:cs="Times New Roman"/>
          <w:lang w:val="en-US"/>
        </w:rPr>
        <w:t>Brough</w:t>
      </w:r>
      <w:proofErr w:type="spellEnd"/>
      <w:r w:rsidRPr="0066313B">
        <w:rPr>
          <w:rFonts w:cs="Times New Roman"/>
          <w:lang w:val="en-US"/>
        </w:rPr>
        <w:t xml:space="preserve"> R, Pemberton HN, </w:t>
      </w:r>
      <w:proofErr w:type="spellStart"/>
      <w:r w:rsidRPr="0066313B">
        <w:rPr>
          <w:rFonts w:cs="Times New Roman"/>
          <w:lang w:val="en-US"/>
        </w:rPr>
        <w:t>Frankum</w:t>
      </w:r>
      <w:proofErr w:type="spellEnd"/>
      <w:r w:rsidRPr="0066313B">
        <w:rPr>
          <w:rFonts w:cs="Times New Roman"/>
          <w:lang w:val="en-US"/>
        </w:rPr>
        <w:t xml:space="preserve"> J, et al. E-Cadherin/ROS1 Inhibitor Synthetic Lethality in Breast Cancer. </w:t>
      </w:r>
      <w:proofErr w:type="gramStart"/>
      <w:r w:rsidRPr="0066313B">
        <w:rPr>
          <w:rFonts w:cs="Times New Roman"/>
          <w:lang w:val="en-US"/>
        </w:rPr>
        <w:t xml:space="preserve">Cancer </w:t>
      </w:r>
      <w:proofErr w:type="spellStart"/>
      <w:r w:rsidRPr="0066313B">
        <w:rPr>
          <w:rFonts w:cs="Times New Roman"/>
          <w:lang w:val="en-US"/>
        </w:rPr>
        <w:t>Discov</w:t>
      </w:r>
      <w:proofErr w:type="spellEnd"/>
      <w:r w:rsidRPr="0066313B">
        <w:rPr>
          <w:rFonts w:cs="Times New Roman"/>
          <w:lang w:val="en-US"/>
        </w:rPr>
        <w:t>.</w:t>
      </w:r>
      <w:proofErr w:type="gramEnd"/>
      <w:r w:rsidRPr="0066313B">
        <w:rPr>
          <w:rFonts w:cs="Times New Roman"/>
          <w:lang w:val="en-US"/>
        </w:rPr>
        <w:t xml:space="preserve"> 2018 Apr</w:t>
      </w:r>
      <w:proofErr w:type="gramStart"/>
      <w:r w:rsidRPr="0066313B">
        <w:rPr>
          <w:rFonts w:cs="Times New Roman"/>
          <w:lang w:val="en-US"/>
        </w:rPr>
        <w:t>;8</w:t>
      </w:r>
      <w:proofErr w:type="gramEnd"/>
      <w:r w:rsidRPr="0066313B">
        <w:rPr>
          <w:rFonts w:cs="Times New Roman"/>
          <w:lang w:val="en-US"/>
        </w:rPr>
        <w:t xml:space="preserve">(4):498–515. </w:t>
      </w:r>
    </w:p>
    <w:p w:rsidR="00FB4CBC" w:rsidRPr="0066313B" w:rsidRDefault="00FB4CBC" w:rsidP="00FB4CBC">
      <w:pPr>
        <w:pStyle w:val="Bibliographie"/>
        <w:rPr>
          <w:rFonts w:cs="Times New Roman"/>
          <w:lang w:val="en-US"/>
        </w:rPr>
      </w:pPr>
      <w:r>
        <w:rPr>
          <w:rFonts w:cs="Times New Roman"/>
          <w:lang w:val="en-US"/>
        </w:rPr>
        <w:t>50</w:t>
      </w:r>
      <w:r w:rsidRPr="0066313B">
        <w:rPr>
          <w:rFonts w:cs="Times New Roman"/>
          <w:lang w:val="en-US"/>
        </w:rPr>
        <w:t xml:space="preserve">. </w:t>
      </w:r>
      <w:r w:rsidRPr="0066313B">
        <w:rPr>
          <w:rFonts w:cs="Times New Roman"/>
          <w:lang w:val="en-US"/>
        </w:rPr>
        <w:tab/>
        <w:t xml:space="preserve">de Lint K, </w:t>
      </w:r>
      <w:proofErr w:type="spellStart"/>
      <w:r w:rsidRPr="0066313B">
        <w:rPr>
          <w:rFonts w:cs="Times New Roman"/>
          <w:lang w:val="en-US"/>
        </w:rPr>
        <w:t>Poell</w:t>
      </w:r>
      <w:proofErr w:type="spellEnd"/>
      <w:r w:rsidRPr="0066313B">
        <w:rPr>
          <w:rFonts w:cs="Times New Roman"/>
          <w:lang w:val="en-US"/>
        </w:rPr>
        <w:t xml:space="preserve"> JB, </w:t>
      </w:r>
      <w:proofErr w:type="spellStart"/>
      <w:r w:rsidRPr="0066313B">
        <w:rPr>
          <w:rFonts w:cs="Times New Roman"/>
          <w:lang w:val="en-US"/>
        </w:rPr>
        <w:t>Soueidan</w:t>
      </w:r>
      <w:proofErr w:type="spellEnd"/>
      <w:r w:rsidRPr="0066313B">
        <w:rPr>
          <w:rFonts w:cs="Times New Roman"/>
          <w:lang w:val="en-US"/>
        </w:rPr>
        <w:t xml:space="preserve"> H, </w:t>
      </w:r>
      <w:proofErr w:type="spellStart"/>
      <w:r w:rsidRPr="0066313B">
        <w:rPr>
          <w:rFonts w:cs="Times New Roman"/>
          <w:lang w:val="en-US"/>
        </w:rPr>
        <w:t>Jastrzebski</w:t>
      </w:r>
      <w:proofErr w:type="spellEnd"/>
      <w:r w:rsidRPr="0066313B">
        <w:rPr>
          <w:rFonts w:cs="Times New Roman"/>
          <w:lang w:val="en-US"/>
        </w:rPr>
        <w:t xml:space="preserve"> K, Vidal Rodriguez J, </w:t>
      </w:r>
      <w:proofErr w:type="spellStart"/>
      <w:r w:rsidRPr="0066313B">
        <w:rPr>
          <w:rFonts w:cs="Times New Roman"/>
          <w:lang w:val="en-US"/>
        </w:rPr>
        <w:t>Lieftink</w:t>
      </w:r>
      <w:proofErr w:type="spellEnd"/>
      <w:r w:rsidRPr="0066313B">
        <w:rPr>
          <w:rFonts w:cs="Times New Roman"/>
          <w:lang w:val="en-US"/>
        </w:rPr>
        <w:t xml:space="preserve"> C, et al. Sensitizing Triple-Negative Breast Cancer to PI3K Inhibition by </w:t>
      </w:r>
      <w:proofErr w:type="spellStart"/>
      <w:r w:rsidRPr="0066313B">
        <w:rPr>
          <w:rFonts w:cs="Times New Roman"/>
          <w:lang w:val="en-US"/>
        </w:rPr>
        <w:t>Cotargeting</w:t>
      </w:r>
      <w:proofErr w:type="spellEnd"/>
      <w:r w:rsidRPr="0066313B">
        <w:rPr>
          <w:rFonts w:cs="Times New Roman"/>
          <w:lang w:val="en-US"/>
        </w:rPr>
        <w:t xml:space="preserve"> IGF1R. </w:t>
      </w:r>
      <w:proofErr w:type="spellStart"/>
      <w:proofErr w:type="gramStart"/>
      <w:r w:rsidRPr="0066313B">
        <w:rPr>
          <w:rFonts w:cs="Times New Roman"/>
          <w:lang w:val="en-US"/>
        </w:rPr>
        <w:t>Mol</w:t>
      </w:r>
      <w:proofErr w:type="spellEnd"/>
      <w:r w:rsidRPr="0066313B">
        <w:rPr>
          <w:rFonts w:cs="Times New Roman"/>
          <w:lang w:val="en-US"/>
        </w:rPr>
        <w:t xml:space="preserve"> Cancer </w:t>
      </w:r>
      <w:proofErr w:type="spellStart"/>
      <w:r w:rsidRPr="0066313B">
        <w:rPr>
          <w:rFonts w:cs="Times New Roman"/>
          <w:lang w:val="en-US"/>
        </w:rPr>
        <w:t>Ther</w:t>
      </w:r>
      <w:proofErr w:type="spellEnd"/>
      <w:r w:rsidRPr="0066313B">
        <w:rPr>
          <w:rFonts w:cs="Times New Roman"/>
          <w:lang w:val="en-US"/>
        </w:rPr>
        <w:t>.</w:t>
      </w:r>
      <w:proofErr w:type="gramEnd"/>
      <w:r w:rsidRPr="0066313B">
        <w:rPr>
          <w:rFonts w:cs="Times New Roman"/>
          <w:lang w:val="en-US"/>
        </w:rPr>
        <w:t xml:space="preserve"> 2016</w:t>
      </w:r>
      <w:proofErr w:type="gramStart"/>
      <w:r w:rsidRPr="0066313B">
        <w:rPr>
          <w:rFonts w:cs="Times New Roman"/>
          <w:lang w:val="en-US"/>
        </w:rPr>
        <w:t>;15</w:t>
      </w:r>
      <w:proofErr w:type="gramEnd"/>
      <w:r w:rsidRPr="0066313B">
        <w:rPr>
          <w:rFonts w:cs="Times New Roman"/>
          <w:lang w:val="en-US"/>
        </w:rPr>
        <w:t xml:space="preserve">(7):1545–56. </w:t>
      </w:r>
    </w:p>
    <w:p w:rsidR="00FB4CBC" w:rsidRPr="0066313B" w:rsidRDefault="00FB4CBC" w:rsidP="00FB4CBC">
      <w:pPr>
        <w:pStyle w:val="Bibliographie"/>
        <w:rPr>
          <w:rFonts w:cs="Times New Roman"/>
          <w:lang w:val="en-US"/>
        </w:rPr>
      </w:pPr>
      <w:r w:rsidRPr="0066313B">
        <w:rPr>
          <w:rFonts w:cs="Times New Roman"/>
          <w:lang w:val="en-US"/>
        </w:rPr>
        <w:t>5</w:t>
      </w:r>
      <w:r>
        <w:rPr>
          <w:rFonts w:cs="Times New Roman"/>
          <w:lang w:val="en-US"/>
        </w:rPr>
        <w:t>1</w:t>
      </w:r>
      <w:r w:rsidRPr="0066313B">
        <w:rPr>
          <w:rFonts w:cs="Times New Roman"/>
          <w:lang w:val="en-US"/>
        </w:rPr>
        <w:t xml:space="preserve">. </w:t>
      </w:r>
      <w:r w:rsidRPr="0066313B">
        <w:rPr>
          <w:rFonts w:cs="Times New Roman"/>
          <w:lang w:val="en-US"/>
        </w:rPr>
        <w:tab/>
        <w:t xml:space="preserve">Reed DE, </w:t>
      </w:r>
      <w:proofErr w:type="spellStart"/>
      <w:r w:rsidRPr="0066313B">
        <w:rPr>
          <w:rFonts w:cs="Times New Roman"/>
          <w:lang w:val="en-US"/>
        </w:rPr>
        <w:t>Shokat</w:t>
      </w:r>
      <w:proofErr w:type="spellEnd"/>
      <w:r w:rsidRPr="0066313B">
        <w:rPr>
          <w:rFonts w:cs="Times New Roman"/>
          <w:lang w:val="en-US"/>
        </w:rPr>
        <w:t xml:space="preserve"> KM. INPP4B and PTEN Loss Leads to PI-3</w:t>
      </w:r>
      <w:proofErr w:type="gramStart"/>
      <w:r w:rsidRPr="0066313B">
        <w:rPr>
          <w:rFonts w:cs="Times New Roman"/>
          <w:lang w:val="en-US"/>
        </w:rPr>
        <w:t>,4</w:t>
      </w:r>
      <w:proofErr w:type="gramEnd"/>
      <w:r w:rsidRPr="0066313B">
        <w:rPr>
          <w:rFonts w:cs="Times New Roman"/>
          <w:lang w:val="en-US"/>
        </w:rPr>
        <w:t xml:space="preserve">-P2 Accumulation and Inhibition of PI3K in TNBC. </w:t>
      </w:r>
      <w:proofErr w:type="spellStart"/>
      <w:proofErr w:type="gramStart"/>
      <w:r w:rsidRPr="0066313B">
        <w:rPr>
          <w:rFonts w:cs="Times New Roman"/>
          <w:lang w:val="en-US"/>
        </w:rPr>
        <w:t>Mol</w:t>
      </w:r>
      <w:proofErr w:type="spellEnd"/>
      <w:r w:rsidRPr="0066313B">
        <w:rPr>
          <w:rFonts w:cs="Times New Roman"/>
          <w:lang w:val="en-US"/>
        </w:rPr>
        <w:t xml:space="preserve"> Cancer Res MCR.</w:t>
      </w:r>
      <w:proofErr w:type="gramEnd"/>
      <w:r w:rsidRPr="0066313B">
        <w:rPr>
          <w:rFonts w:cs="Times New Roman"/>
          <w:lang w:val="en-US"/>
        </w:rPr>
        <w:t xml:space="preserve"> 2017</w:t>
      </w:r>
      <w:proofErr w:type="gramStart"/>
      <w:r w:rsidRPr="0066313B">
        <w:rPr>
          <w:rFonts w:cs="Times New Roman"/>
          <w:lang w:val="en-US"/>
        </w:rPr>
        <w:t>;15</w:t>
      </w:r>
      <w:proofErr w:type="gramEnd"/>
      <w:r w:rsidRPr="0066313B">
        <w:rPr>
          <w:rFonts w:cs="Times New Roman"/>
          <w:lang w:val="en-US"/>
        </w:rPr>
        <w:t xml:space="preserve">(6):765–75. </w:t>
      </w:r>
    </w:p>
    <w:p w:rsidR="00FB4CBC" w:rsidRPr="0066313B" w:rsidRDefault="00FB4CBC" w:rsidP="00FB4CBC">
      <w:pPr>
        <w:pStyle w:val="Bibliographie"/>
        <w:rPr>
          <w:rFonts w:cs="Times New Roman"/>
          <w:lang w:val="en-US"/>
        </w:rPr>
      </w:pPr>
      <w:r w:rsidRPr="0066313B">
        <w:rPr>
          <w:rFonts w:cs="Times New Roman"/>
          <w:lang w:val="en-US"/>
        </w:rPr>
        <w:t>5</w:t>
      </w:r>
      <w:r>
        <w:rPr>
          <w:rFonts w:cs="Times New Roman"/>
          <w:lang w:val="en-US"/>
        </w:rPr>
        <w:t>2</w:t>
      </w:r>
      <w:r w:rsidRPr="0066313B">
        <w:rPr>
          <w:rFonts w:cs="Times New Roman"/>
          <w:lang w:val="en-US"/>
        </w:rPr>
        <w:t xml:space="preserve">. </w:t>
      </w:r>
      <w:r w:rsidRPr="0066313B">
        <w:rPr>
          <w:rFonts w:cs="Times New Roman"/>
          <w:lang w:val="en-US"/>
        </w:rPr>
        <w:tab/>
      </w:r>
      <w:proofErr w:type="spellStart"/>
      <w:r w:rsidRPr="0066313B">
        <w:rPr>
          <w:rFonts w:cs="Times New Roman"/>
          <w:lang w:val="en-US"/>
        </w:rPr>
        <w:t>Xue</w:t>
      </w:r>
      <w:proofErr w:type="spellEnd"/>
      <w:r w:rsidRPr="0066313B">
        <w:rPr>
          <w:rFonts w:cs="Times New Roman"/>
          <w:lang w:val="en-US"/>
        </w:rPr>
        <w:t xml:space="preserve"> Z, Vis DJ, </w:t>
      </w:r>
      <w:proofErr w:type="spellStart"/>
      <w:r w:rsidRPr="0066313B">
        <w:rPr>
          <w:rFonts w:cs="Times New Roman"/>
          <w:lang w:val="en-US"/>
        </w:rPr>
        <w:t>Bruna</w:t>
      </w:r>
      <w:proofErr w:type="spellEnd"/>
      <w:r w:rsidRPr="0066313B">
        <w:rPr>
          <w:rFonts w:cs="Times New Roman"/>
          <w:lang w:val="en-US"/>
        </w:rPr>
        <w:t xml:space="preserve"> A, </w:t>
      </w:r>
      <w:proofErr w:type="spellStart"/>
      <w:r w:rsidRPr="0066313B">
        <w:rPr>
          <w:rFonts w:cs="Times New Roman"/>
          <w:lang w:val="en-US"/>
        </w:rPr>
        <w:t>Sustic</w:t>
      </w:r>
      <w:proofErr w:type="spellEnd"/>
      <w:r w:rsidRPr="0066313B">
        <w:rPr>
          <w:rFonts w:cs="Times New Roman"/>
          <w:lang w:val="en-US"/>
        </w:rPr>
        <w:t xml:space="preserve"> T, van </w:t>
      </w:r>
      <w:proofErr w:type="spellStart"/>
      <w:r w:rsidRPr="0066313B">
        <w:rPr>
          <w:rFonts w:cs="Times New Roman"/>
          <w:lang w:val="en-US"/>
        </w:rPr>
        <w:t>Wageningen</w:t>
      </w:r>
      <w:proofErr w:type="spellEnd"/>
      <w:r w:rsidRPr="0066313B">
        <w:rPr>
          <w:rFonts w:cs="Times New Roman"/>
          <w:lang w:val="en-US"/>
        </w:rPr>
        <w:t xml:space="preserve"> S, </w:t>
      </w:r>
      <w:proofErr w:type="spellStart"/>
      <w:r w:rsidRPr="0066313B">
        <w:rPr>
          <w:rFonts w:cs="Times New Roman"/>
          <w:lang w:val="en-US"/>
        </w:rPr>
        <w:t>Batra</w:t>
      </w:r>
      <w:proofErr w:type="spellEnd"/>
      <w:r w:rsidRPr="0066313B">
        <w:rPr>
          <w:rFonts w:cs="Times New Roman"/>
          <w:lang w:val="en-US"/>
        </w:rPr>
        <w:t xml:space="preserve"> AS, et al. MAP3K1 and MAP2K4 mutations are associated with sensitivity to MEK inhibitors in multiple cancer models. Cell Res. 2018 Jul</w:t>
      </w:r>
      <w:proofErr w:type="gramStart"/>
      <w:r w:rsidRPr="0066313B">
        <w:rPr>
          <w:rFonts w:cs="Times New Roman"/>
          <w:lang w:val="en-US"/>
        </w:rPr>
        <w:t>;28</w:t>
      </w:r>
      <w:proofErr w:type="gramEnd"/>
      <w:r w:rsidRPr="0066313B">
        <w:rPr>
          <w:rFonts w:cs="Times New Roman"/>
          <w:lang w:val="en-US"/>
        </w:rPr>
        <w:t xml:space="preserve">(7):719–29. </w:t>
      </w:r>
    </w:p>
    <w:p w:rsidR="00FB4CBC" w:rsidRPr="0066313B" w:rsidRDefault="00FB4CBC" w:rsidP="00FB4CBC">
      <w:pPr>
        <w:pStyle w:val="Bibliographie"/>
        <w:rPr>
          <w:rFonts w:cs="Times New Roman"/>
          <w:lang w:val="en-US"/>
        </w:rPr>
      </w:pPr>
      <w:r w:rsidRPr="0066313B">
        <w:rPr>
          <w:rFonts w:cs="Times New Roman"/>
          <w:lang w:val="en-US"/>
        </w:rPr>
        <w:lastRenderedPageBreak/>
        <w:t>5</w:t>
      </w:r>
      <w:r>
        <w:rPr>
          <w:rFonts w:cs="Times New Roman"/>
          <w:lang w:val="en-US"/>
        </w:rPr>
        <w:t>3</w:t>
      </w:r>
      <w:r w:rsidRPr="0066313B">
        <w:rPr>
          <w:rFonts w:cs="Times New Roman"/>
          <w:lang w:val="en-US"/>
        </w:rPr>
        <w:t xml:space="preserve">. </w:t>
      </w:r>
      <w:r w:rsidRPr="0066313B">
        <w:rPr>
          <w:rFonts w:cs="Times New Roman"/>
          <w:lang w:val="en-US"/>
        </w:rPr>
        <w:tab/>
        <w:t xml:space="preserve">Yip C, </w:t>
      </w:r>
      <w:proofErr w:type="spellStart"/>
      <w:r w:rsidRPr="0066313B">
        <w:rPr>
          <w:rFonts w:cs="Times New Roman"/>
          <w:lang w:val="en-US"/>
        </w:rPr>
        <w:t>Foidart</w:t>
      </w:r>
      <w:proofErr w:type="spellEnd"/>
      <w:r w:rsidRPr="0066313B">
        <w:rPr>
          <w:rFonts w:cs="Times New Roman"/>
          <w:lang w:val="en-US"/>
        </w:rPr>
        <w:t xml:space="preserve"> P, </w:t>
      </w:r>
      <w:proofErr w:type="spellStart"/>
      <w:r w:rsidRPr="0066313B">
        <w:rPr>
          <w:rFonts w:cs="Times New Roman"/>
          <w:lang w:val="en-US"/>
        </w:rPr>
        <w:t>Somja</w:t>
      </w:r>
      <w:proofErr w:type="spellEnd"/>
      <w:r w:rsidRPr="0066313B">
        <w:rPr>
          <w:rFonts w:cs="Times New Roman"/>
          <w:lang w:val="en-US"/>
        </w:rPr>
        <w:t xml:space="preserve"> J, Truong A, </w:t>
      </w:r>
      <w:proofErr w:type="spellStart"/>
      <w:r w:rsidRPr="0066313B">
        <w:rPr>
          <w:rFonts w:cs="Times New Roman"/>
          <w:lang w:val="en-US"/>
        </w:rPr>
        <w:t>Lienard</w:t>
      </w:r>
      <w:proofErr w:type="spellEnd"/>
      <w:r w:rsidRPr="0066313B">
        <w:rPr>
          <w:rFonts w:cs="Times New Roman"/>
          <w:lang w:val="en-US"/>
        </w:rPr>
        <w:t xml:space="preserve"> M, </w:t>
      </w:r>
      <w:proofErr w:type="spellStart"/>
      <w:r w:rsidRPr="0066313B">
        <w:rPr>
          <w:rFonts w:cs="Times New Roman"/>
          <w:lang w:val="en-US"/>
        </w:rPr>
        <w:t>Feyereisen</w:t>
      </w:r>
      <w:proofErr w:type="spellEnd"/>
      <w:r w:rsidRPr="0066313B">
        <w:rPr>
          <w:rFonts w:cs="Times New Roman"/>
          <w:lang w:val="en-US"/>
        </w:rPr>
        <w:t xml:space="preserve"> E, et al. MT4-MMP and EGFR expression levels are key biomarkers for breast cancer patient response to chemotherapy and </w:t>
      </w:r>
      <w:proofErr w:type="spellStart"/>
      <w:r w:rsidRPr="0066313B">
        <w:rPr>
          <w:rFonts w:cs="Times New Roman"/>
          <w:lang w:val="en-US"/>
        </w:rPr>
        <w:t>erlotinib</w:t>
      </w:r>
      <w:proofErr w:type="spellEnd"/>
      <w:r w:rsidRPr="0066313B">
        <w:rPr>
          <w:rFonts w:cs="Times New Roman"/>
          <w:lang w:val="en-US"/>
        </w:rPr>
        <w:t xml:space="preserve">. </w:t>
      </w:r>
      <w:proofErr w:type="gramStart"/>
      <w:r w:rsidRPr="0066313B">
        <w:rPr>
          <w:rFonts w:cs="Times New Roman"/>
          <w:lang w:val="en-US"/>
        </w:rPr>
        <w:t>Br J Cancer.</w:t>
      </w:r>
      <w:proofErr w:type="gramEnd"/>
      <w:r w:rsidRPr="0066313B">
        <w:rPr>
          <w:rFonts w:cs="Times New Roman"/>
          <w:lang w:val="en-US"/>
        </w:rPr>
        <w:t xml:space="preserve"> 2017 Mar 14</w:t>
      </w:r>
      <w:proofErr w:type="gramStart"/>
      <w:r w:rsidRPr="0066313B">
        <w:rPr>
          <w:rFonts w:cs="Times New Roman"/>
          <w:lang w:val="en-US"/>
        </w:rPr>
        <w:t>;116</w:t>
      </w:r>
      <w:proofErr w:type="gramEnd"/>
      <w:r w:rsidRPr="0066313B">
        <w:rPr>
          <w:rFonts w:cs="Times New Roman"/>
          <w:lang w:val="en-US"/>
        </w:rPr>
        <w:t xml:space="preserve">(6):742–51. </w:t>
      </w:r>
    </w:p>
    <w:p w:rsidR="00FB4CBC" w:rsidRPr="0066313B" w:rsidRDefault="00FB4CBC" w:rsidP="00FB4CBC">
      <w:pPr>
        <w:pStyle w:val="Bibliographie"/>
        <w:rPr>
          <w:rFonts w:cs="Times New Roman"/>
          <w:lang w:val="en-US"/>
        </w:rPr>
      </w:pPr>
      <w:r w:rsidRPr="0066313B">
        <w:rPr>
          <w:rFonts w:cs="Times New Roman"/>
          <w:lang w:val="en-US"/>
        </w:rPr>
        <w:t>5</w:t>
      </w:r>
      <w:r>
        <w:rPr>
          <w:rFonts w:cs="Times New Roman"/>
          <w:lang w:val="en-US"/>
        </w:rPr>
        <w:t>4</w:t>
      </w:r>
      <w:r w:rsidRPr="0066313B">
        <w:rPr>
          <w:rFonts w:cs="Times New Roman"/>
          <w:lang w:val="en-US"/>
        </w:rPr>
        <w:t xml:space="preserve">. </w:t>
      </w:r>
      <w:r w:rsidRPr="0066313B">
        <w:rPr>
          <w:rFonts w:cs="Times New Roman"/>
          <w:lang w:val="en-US"/>
        </w:rPr>
        <w:tab/>
      </w:r>
      <w:proofErr w:type="spellStart"/>
      <w:r w:rsidRPr="0066313B">
        <w:rPr>
          <w:rFonts w:cs="Times New Roman"/>
          <w:lang w:val="en-US"/>
        </w:rPr>
        <w:t>Brasó-Maristany</w:t>
      </w:r>
      <w:proofErr w:type="spellEnd"/>
      <w:r w:rsidRPr="0066313B">
        <w:rPr>
          <w:rFonts w:cs="Times New Roman"/>
          <w:lang w:val="en-US"/>
        </w:rPr>
        <w:t xml:space="preserve"> F, </w:t>
      </w:r>
      <w:proofErr w:type="spellStart"/>
      <w:r w:rsidRPr="0066313B">
        <w:rPr>
          <w:rFonts w:cs="Times New Roman"/>
          <w:lang w:val="en-US"/>
        </w:rPr>
        <w:t>Filosto</w:t>
      </w:r>
      <w:proofErr w:type="spellEnd"/>
      <w:r w:rsidRPr="0066313B">
        <w:rPr>
          <w:rFonts w:cs="Times New Roman"/>
          <w:lang w:val="en-US"/>
        </w:rPr>
        <w:t xml:space="preserve"> S, Catchpole S, Marlow R, Quist J, </w:t>
      </w:r>
      <w:proofErr w:type="spellStart"/>
      <w:r w:rsidRPr="0066313B">
        <w:rPr>
          <w:rFonts w:cs="Times New Roman"/>
          <w:lang w:val="en-US"/>
        </w:rPr>
        <w:t>Francesch-Domenech</w:t>
      </w:r>
      <w:proofErr w:type="spellEnd"/>
      <w:r w:rsidRPr="0066313B">
        <w:rPr>
          <w:rFonts w:cs="Times New Roman"/>
          <w:lang w:val="en-US"/>
        </w:rPr>
        <w:t xml:space="preserve"> E, et al. PIM1 kinase regulates cell death, tumor growth and chemotherapy response in triple-negative breast cancer. Nat Med. 2016</w:t>
      </w:r>
      <w:proofErr w:type="gramStart"/>
      <w:r w:rsidRPr="0066313B">
        <w:rPr>
          <w:rFonts w:cs="Times New Roman"/>
          <w:lang w:val="en-US"/>
        </w:rPr>
        <w:t>;22</w:t>
      </w:r>
      <w:proofErr w:type="gramEnd"/>
      <w:r w:rsidRPr="0066313B">
        <w:rPr>
          <w:rFonts w:cs="Times New Roman"/>
          <w:lang w:val="en-US"/>
        </w:rPr>
        <w:t xml:space="preserve">(11):1303–13. </w:t>
      </w:r>
    </w:p>
    <w:p w:rsidR="00FB4CBC" w:rsidRPr="0066313B" w:rsidRDefault="00FB4CBC" w:rsidP="00FB4CBC">
      <w:pPr>
        <w:pStyle w:val="Bibliographie"/>
        <w:rPr>
          <w:rFonts w:cs="Times New Roman"/>
          <w:lang w:val="en-US"/>
        </w:rPr>
      </w:pPr>
      <w:r w:rsidRPr="0066313B">
        <w:rPr>
          <w:rFonts w:cs="Times New Roman"/>
          <w:lang w:val="en-US"/>
        </w:rPr>
        <w:t>5</w:t>
      </w:r>
      <w:r>
        <w:rPr>
          <w:rFonts w:cs="Times New Roman"/>
          <w:lang w:val="en-US"/>
        </w:rPr>
        <w:t>5</w:t>
      </w:r>
      <w:r w:rsidRPr="0066313B">
        <w:rPr>
          <w:rFonts w:cs="Times New Roman"/>
          <w:lang w:val="en-US"/>
        </w:rPr>
        <w:t xml:space="preserve">. </w:t>
      </w:r>
      <w:r w:rsidRPr="0066313B">
        <w:rPr>
          <w:rFonts w:cs="Times New Roman"/>
          <w:lang w:val="en-US"/>
        </w:rPr>
        <w:tab/>
        <w:t xml:space="preserve">Cheung LWT, Yu S, Zhang D, Li J, Ng PKS, </w:t>
      </w:r>
      <w:proofErr w:type="spellStart"/>
      <w:r w:rsidRPr="0066313B">
        <w:rPr>
          <w:rFonts w:cs="Times New Roman"/>
          <w:lang w:val="en-US"/>
        </w:rPr>
        <w:t>Panupinthu</w:t>
      </w:r>
      <w:proofErr w:type="spellEnd"/>
      <w:r w:rsidRPr="0066313B">
        <w:rPr>
          <w:rFonts w:cs="Times New Roman"/>
          <w:lang w:val="en-US"/>
        </w:rPr>
        <w:t xml:space="preserve"> N, et al. Naturally occurring </w:t>
      </w:r>
      <w:proofErr w:type="spellStart"/>
      <w:r w:rsidRPr="0066313B">
        <w:rPr>
          <w:rFonts w:cs="Times New Roman"/>
          <w:lang w:val="en-US"/>
        </w:rPr>
        <w:t>neomorphic</w:t>
      </w:r>
      <w:proofErr w:type="spellEnd"/>
      <w:r w:rsidRPr="0066313B">
        <w:rPr>
          <w:rFonts w:cs="Times New Roman"/>
          <w:lang w:val="en-US"/>
        </w:rPr>
        <w:t xml:space="preserve"> PIK3R1 mutations activate the MAPK pathway, dictating therapeutic response to MAPK pathway inhibitors. </w:t>
      </w:r>
      <w:proofErr w:type="gramStart"/>
      <w:r w:rsidRPr="0066313B">
        <w:rPr>
          <w:rFonts w:cs="Times New Roman"/>
          <w:lang w:val="en-US"/>
        </w:rPr>
        <w:t>Cancer Cell.</w:t>
      </w:r>
      <w:proofErr w:type="gramEnd"/>
      <w:r w:rsidRPr="0066313B">
        <w:rPr>
          <w:rFonts w:cs="Times New Roman"/>
          <w:lang w:val="en-US"/>
        </w:rPr>
        <w:t xml:space="preserve"> 2014 Oct 13</w:t>
      </w:r>
      <w:proofErr w:type="gramStart"/>
      <w:r w:rsidRPr="0066313B">
        <w:rPr>
          <w:rFonts w:cs="Times New Roman"/>
          <w:lang w:val="en-US"/>
        </w:rPr>
        <w:t>;26</w:t>
      </w:r>
      <w:proofErr w:type="gramEnd"/>
      <w:r w:rsidRPr="0066313B">
        <w:rPr>
          <w:rFonts w:cs="Times New Roman"/>
          <w:lang w:val="en-US"/>
        </w:rPr>
        <w:t xml:space="preserve">(4):479–94. </w:t>
      </w:r>
    </w:p>
    <w:p w:rsidR="00FB4CBC" w:rsidRPr="0066313B" w:rsidRDefault="00FB4CBC" w:rsidP="00FB4CBC">
      <w:pPr>
        <w:pStyle w:val="Bibliographie"/>
        <w:rPr>
          <w:rFonts w:cs="Times New Roman"/>
          <w:lang w:val="en-US"/>
        </w:rPr>
      </w:pPr>
      <w:r w:rsidRPr="0066313B">
        <w:rPr>
          <w:rFonts w:cs="Times New Roman"/>
          <w:lang w:val="en-US"/>
        </w:rPr>
        <w:t>5</w:t>
      </w:r>
      <w:r>
        <w:rPr>
          <w:rFonts w:cs="Times New Roman"/>
          <w:lang w:val="en-US"/>
        </w:rPr>
        <w:t>6</w:t>
      </w:r>
      <w:r w:rsidRPr="0066313B">
        <w:rPr>
          <w:rFonts w:cs="Times New Roman"/>
          <w:lang w:val="en-US"/>
        </w:rPr>
        <w:t xml:space="preserve">. </w:t>
      </w:r>
      <w:r w:rsidRPr="0066313B">
        <w:rPr>
          <w:rFonts w:cs="Times New Roman"/>
          <w:lang w:val="en-US"/>
        </w:rPr>
        <w:tab/>
        <w:t xml:space="preserve">Seiler M, Yoshimi A, </w:t>
      </w:r>
      <w:proofErr w:type="spellStart"/>
      <w:r w:rsidRPr="0066313B">
        <w:rPr>
          <w:rFonts w:cs="Times New Roman"/>
          <w:lang w:val="en-US"/>
        </w:rPr>
        <w:t>Darman</w:t>
      </w:r>
      <w:proofErr w:type="spellEnd"/>
      <w:r w:rsidRPr="0066313B">
        <w:rPr>
          <w:rFonts w:cs="Times New Roman"/>
          <w:lang w:val="en-US"/>
        </w:rPr>
        <w:t xml:space="preserve"> R, Chan B, </w:t>
      </w:r>
      <w:proofErr w:type="spellStart"/>
      <w:r w:rsidRPr="0066313B">
        <w:rPr>
          <w:rFonts w:cs="Times New Roman"/>
          <w:lang w:val="en-US"/>
        </w:rPr>
        <w:t>Keaney</w:t>
      </w:r>
      <w:proofErr w:type="spellEnd"/>
      <w:r w:rsidRPr="0066313B">
        <w:rPr>
          <w:rFonts w:cs="Times New Roman"/>
          <w:lang w:val="en-US"/>
        </w:rPr>
        <w:t xml:space="preserve"> G, Thomas M, et al. H3B-8800, an orally available small-molecule splicing modulator, induces lethality in </w:t>
      </w:r>
      <w:proofErr w:type="spellStart"/>
      <w:r w:rsidRPr="0066313B">
        <w:rPr>
          <w:rFonts w:cs="Times New Roman"/>
          <w:lang w:val="en-US"/>
        </w:rPr>
        <w:t>spliceosome</w:t>
      </w:r>
      <w:proofErr w:type="spellEnd"/>
      <w:r w:rsidRPr="0066313B">
        <w:rPr>
          <w:rFonts w:cs="Times New Roman"/>
          <w:lang w:val="en-US"/>
        </w:rPr>
        <w:t>-mutant cancers. Nat Med. 2018 May</w:t>
      </w:r>
      <w:proofErr w:type="gramStart"/>
      <w:r w:rsidRPr="0066313B">
        <w:rPr>
          <w:rFonts w:cs="Times New Roman"/>
          <w:lang w:val="en-US"/>
        </w:rPr>
        <w:t>;24</w:t>
      </w:r>
      <w:proofErr w:type="gramEnd"/>
      <w:r w:rsidRPr="0066313B">
        <w:rPr>
          <w:rFonts w:cs="Times New Roman"/>
          <w:lang w:val="en-US"/>
        </w:rPr>
        <w:t xml:space="preserve">(4):497–504. </w:t>
      </w:r>
    </w:p>
    <w:p w:rsidR="00FB4CBC" w:rsidRPr="0066313B" w:rsidRDefault="00FB4CBC" w:rsidP="00FB4CBC">
      <w:pPr>
        <w:pStyle w:val="Bibliographie"/>
        <w:rPr>
          <w:rFonts w:cs="Times New Roman"/>
        </w:rPr>
      </w:pPr>
      <w:r w:rsidRPr="0066313B">
        <w:rPr>
          <w:rFonts w:cs="Times New Roman"/>
          <w:lang w:val="en-US"/>
        </w:rPr>
        <w:t>5</w:t>
      </w:r>
      <w:r>
        <w:rPr>
          <w:rFonts w:cs="Times New Roman"/>
          <w:lang w:val="en-US"/>
        </w:rPr>
        <w:t>7</w:t>
      </w:r>
      <w:r w:rsidRPr="0066313B">
        <w:rPr>
          <w:rFonts w:cs="Times New Roman"/>
          <w:lang w:val="en-US"/>
        </w:rPr>
        <w:t xml:space="preserve">. </w:t>
      </w:r>
      <w:r w:rsidRPr="0066313B">
        <w:rPr>
          <w:rFonts w:cs="Times New Roman"/>
          <w:lang w:val="en-US"/>
        </w:rPr>
        <w:tab/>
        <w:t xml:space="preserve">Zhang Q, </w:t>
      </w:r>
      <w:proofErr w:type="spellStart"/>
      <w:r w:rsidRPr="0066313B">
        <w:rPr>
          <w:rFonts w:cs="Times New Roman"/>
          <w:lang w:val="en-US"/>
        </w:rPr>
        <w:t>Bykov</w:t>
      </w:r>
      <w:proofErr w:type="spellEnd"/>
      <w:r w:rsidRPr="0066313B">
        <w:rPr>
          <w:rFonts w:cs="Times New Roman"/>
          <w:lang w:val="en-US"/>
        </w:rPr>
        <w:t xml:space="preserve"> VJN, </w:t>
      </w:r>
      <w:proofErr w:type="spellStart"/>
      <w:r w:rsidRPr="0066313B">
        <w:rPr>
          <w:rFonts w:cs="Times New Roman"/>
          <w:lang w:val="en-US"/>
        </w:rPr>
        <w:t>Wiman</w:t>
      </w:r>
      <w:proofErr w:type="spellEnd"/>
      <w:r w:rsidRPr="0066313B">
        <w:rPr>
          <w:rFonts w:cs="Times New Roman"/>
          <w:lang w:val="en-US"/>
        </w:rPr>
        <w:t xml:space="preserve"> KG, </w:t>
      </w:r>
      <w:proofErr w:type="spellStart"/>
      <w:r w:rsidRPr="0066313B">
        <w:rPr>
          <w:rFonts w:cs="Times New Roman"/>
          <w:lang w:val="en-US"/>
        </w:rPr>
        <w:t>Zawacka-Pankau</w:t>
      </w:r>
      <w:proofErr w:type="spellEnd"/>
      <w:r w:rsidRPr="0066313B">
        <w:rPr>
          <w:rFonts w:cs="Times New Roman"/>
          <w:lang w:val="en-US"/>
        </w:rPr>
        <w:t xml:space="preserve"> J. APR-246 reactivates mutant p53 by targeting </w:t>
      </w:r>
      <w:proofErr w:type="spellStart"/>
      <w:r w:rsidRPr="0066313B">
        <w:rPr>
          <w:rFonts w:cs="Times New Roman"/>
          <w:lang w:val="en-US"/>
        </w:rPr>
        <w:t>cysteines</w:t>
      </w:r>
      <w:proofErr w:type="spellEnd"/>
      <w:r w:rsidRPr="0066313B">
        <w:rPr>
          <w:rFonts w:cs="Times New Roman"/>
          <w:lang w:val="en-US"/>
        </w:rPr>
        <w:t xml:space="preserve"> 124 and 277. </w:t>
      </w:r>
      <w:proofErr w:type="spellStart"/>
      <w:r w:rsidRPr="0066313B">
        <w:rPr>
          <w:rFonts w:cs="Times New Roman"/>
        </w:rPr>
        <w:t>Cell</w:t>
      </w:r>
      <w:proofErr w:type="spellEnd"/>
      <w:r w:rsidRPr="0066313B">
        <w:rPr>
          <w:rFonts w:cs="Times New Roman"/>
        </w:rPr>
        <w:t xml:space="preserve"> </w:t>
      </w:r>
      <w:proofErr w:type="spellStart"/>
      <w:r w:rsidRPr="0066313B">
        <w:rPr>
          <w:rFonts w:cs="Times New Roman"/>
        </w:rPr>
        <w:t>Death</w:t>
      </w:r>
      <w:proofErr w:type="spellEnd"/>
      <w:r w:rsidRPr="0066313B">
        <w:rPr>
          <w:rFonts w:cs="Times New Roman"/>
        </w:rPr>
        <w:t xml:space="preserve"> Dis. 2018 01;9(5):439. </w:t>
      </w:r>
    </w:p>
    <w:p w:rsidR="00FC31F0" w:rsidRPr="00AB0283" w:rsidRDefault="00FC31F0">
      <w:pPr>
        <w:rPr>
          <w:lang w:val="en-US"/>
        </w:rPr>
      </w:pPr>
      <w:bookmarkStart w:id="1" w:name="_GoBack"/>
      <w:bookmarkEnd w:id="1"/>
    </w:p>
    <w:sectPr w:rsidR="00FC31F0" w:rsidRPr="00AB0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4ljtx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41F2B"/>
    <w:multiLevelType w:val="hybridMultilevel"/>
    <w:tmpl w:val="D0A00D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83"/>
    <w:rsid w:val="00084F35"/>
    <w:rsid w:val="001305E7"/>
    <w:rsid w:val="00221D53"/>
    <w:rsid w:val="0056777D"/>
    <w:rsid w:val="0058292C"/>
    <w:rsid w:val="00AB0283"/>
    <w:rsid w:val="00FB4CBC"/>
    <w:rsid w:val="00FC3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B028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AR" w:eastAsia="es-A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283"/>
    <w:rPr>
      <w:rFonts w:asciiTheme="majorHAnsi" w:eastAsiaTheme="majorEastAsia" w:hAnsiTheme="majorHAnsi" w:cstheme="majorBidi"/>
      <w:color w:val="365F91" w:themeColor="accent1" w:themeShade="BF"/>
      <w:sz w:val="32"/>
      <w:szCs w:val="32"/>
      <w:lang w:val="es-AR" w:eastAsia="es-AR"/>
    </w:rPr>
  </w:style>
  <w:style w:type="paragraph" w:styleId="Bibliographie">
    <w:name w:val="Bibliography"/>
    <w:basedOn w:val="Normal"/>
    <w:next w:val="Normal"/>
    <w:uiPriority w:val="37"/>
    <w:unhideWhenUsed/>
    <w:rsid w:val="00AB0283"/>
    <w:pPr>
      <w:tabs>
        <w:tab w:val="left" w:pos="384"/>
      </w:tabs>
      <w:spacing w:after="240" w:line="240" w:lineRule="auto"/>
      <w:ind w:left="384" w:hanging="384"/>
    </w:pPr>
  </w:style>
  <w:style w:type="character" w:styleId="Marquedecommentaire">
    <w:name w:val="annotation reference"/>
    <w:basedOn w:val="Policepardfaut"/>
    <w:uiPriority w:val="99"/>
    <w:semiHidden/>
    <w:unhideWhenUsed/>
    <w:rsid w:val="00AB0283"/>
    <w:rPr>
      <w:sz w:val="16"/>
      <w:szCs w:val="16"/>
    </w:rPr>
  </w:style>
  <w:style w:type="paragraph" w:styleId="Commentaire">
    <w:name w:val="annotation text"/>
    <w:basedOn w:val="Normal"/>
    <w:link w:val="CommentaireCar"/>
    <w:uiPriority w:val="99"/>
    <w:semiHidden/>
    <w:unhideWhenUsed/>
    <w:rsid w:val="00AB0283"/>
    <w:pPr>
      <w:spacing w:line="240" w:lineRule="auto"/>
    </w:pPr>
    <w:rPr>
      <w:sz w:val="20"/>
      <w:szCs w:val="20"/>
    </w:rPr>
  </w:style>
  <w:style w:type="character" w:customStyle="1" w:styleId="CommentaireCar">
    <w:name w:val="Commentaire Car"/>
    <w:basedOn w:val="Policepardfaut"/>
    <w:link w:val="Commentaire"/>
    <w:uiPriority w:val="99"/>
    <w:semiHidden/>
    <w:rsid w:val="00AB0283"/>
    <w:rPr>
      <w:sz w:val="20"/>
      <w:szCs w:val="20"/>
    </w:rPr>
  </w:style>
  <w:style w:type="paragraph" w:styleId="Objetducommentaire">
    <w:name w:val="annotation subject"/>
    <w:basedOn w:val="Commentaire"/>
    <w:next w:val="Commentaire"/>
    <w:link w:val="ObjetducommentaireCar"/>
    <w:uiPriority w:val="99"/>
    <w:semiHidden/>
    <w:unhideWhenUsed/>
    <w:rsid w:val="00AB0283"/>
    <w:rPr>
      <w:b/>
      <w:bCs/>
    </w:rPr>
  </w:style>
  <w:style w:type="character" w:customStyle="1" w:styleId="ObjetducommentaireCar">
    <w:name w:val="Objet du commentaire Car"/>
    <w:basedOn w:val="CommentaireCar"/>
    <w:link w:val="Objetducommentaire"/>
    <w:uiPriority w:val="99"/>
    <w:semiHidden/>
    <w:rsid w:val="00AB0283"/>
    <w:rPr>
      <w:b/>
      <w:bCs/>
      <w:sz w:val="20"/>
      <w:szCs w:val="20"/>
    </w:rPr>
  </w:style>
  <w:style w:type="paragraph" w:styleId="Textedebulles">
    <w:name w:val="Balloon Text"/>
    <w:basedOn w:val="Normal"/>
    <w:link w:val="TextedebullesCar"/>
    <w:uiPriority w:val="99"/>
    <w:semiHidden/>
    <w:unhideWhenUsed/>
    <w:rsid w:val="00AB0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283"/>
    <w:rPr>
      <w:rFonts w:ascii="Tahoma" w:hAnsi="Tahoma" w:cs="Tahoma"/>
      <w:sz w:val="16"/>
      <w:szCs w:val="16"/>
    </w:rPr>
  </w:style>
  <w:style w:type="character" w:customStyle="1" w:styleId="shorttext">
    <w:name w:val="short_text"/>
    <w:basedOn w:val="Policepardfaut"/>
    <w:rsid w:val="00AB0283"/>
  </w:style>
  <w:style w:type="character" w:customStyle="1" w:styleId="highlight">
    <w:name w:val="highlight"/>
    <w:basedOn w:val="Policepardfaut"/>
    <w:rsid w:val="00AB0283"/>
  </w:style>
  <w:style w:type="table" w:styleId="Grillemoyenne3-Accent1">
    <w:name w:val="Medium Grid 3 Accent 1"/>
    <w:basedOn w:val="TableauNormal"/>
    <w:uiPriority w:val="69"/>
    <w:rsid w:val="00AB02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shd w:val="clear" w:color="auto" w:fill="95B3D7" w:themeFill="accent1" w:themeFillTint="9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tblPr/>
      <w:tcPr>
        <w:shd w:val="clear" w:color="auto" w:fill="DBE5F1" w:themeFill="accent1" w:themeFillTint="33"/>
      </w:tcPr>
    </w:tblStylePr>
  </w:style>
  <w:style w:type="table" w:styleId="Grilledutableau">
    <w:name w:val="Table Grid"/>
    <w:basedOn w:val="TableauNormal"/>
    <w:uiPriority w:val="59"/>
    <w:rsid w:val="00AB0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moyenne1-Accent1">
    <w:name w:val="Medium Shading 1 Accent 1"/>
    <w:basedOn w:val="TableauNormal"/>
    <w:uiPriority w:val="63"/>
    <w:rsid w:val="00AB02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claire-Accent1">
    <w:name w:val="Light Grid Accent 1"/>
    <w:basedOn w:val="TableauNormal"/>
    <w:uiPriority w:val="62"/>
    <w:rsid w:val="00AB02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ansinterligne">
    <w:name w:val="No Spacing"/>
    <w:uiPriority w:val="1"/>
    <w:qFormat/>
    <w:rsid w:val="00AB0283"/>
    <w:pPr>
      <w:spacing w:after="0" w:line="240" w:lineRule="auto"/>
    </w:pPr>
  </w:style>
  <w:style w:type="paragraph" w:styleId="En-tte">
    <w:name w:val="header"/>
    <w:basedOn w:val="Normal"/>
    <w:link w:val="En-tteCar"/>
    <w:uiPriority w:val="99"/>
    <w:unhideWhenUsed/>
    <w:rsid w:val="00AB0283"/>
    <w:pPr>
      <w:tabs>
        <w:tab w:val="center" w:pos="4536"/>
        <w:tab w:val="right" w:pos="9072"/>
      </w:tabs>
      <w:spacing w:after="0" w:line="240" w:lineRule="auto"/>
    </w:pPr>
  </w:style>
  <w:style w:type="character" w:customStyle="1" w:styleId="En-tteCar">
    <w:name w:val="En-tête Car"/>
    <w:basedOn w:val="Policepardfaut"/>
    <w:link w:val="En-tte"/>
    <w:uiPriority w:val="99"/>
    <w:rsid w:val="00AB0283"/>
  </w:style>
  <w:style w:type="paragraph" w:styleId="Pieddepage">
    <w:name w:val="footer"/>
    <w:basedOn w:val="Normal"/>
    <w:link w:val="PieddepageCar"/>
    <w:uiPriority w:val="99"/>
    <w:unhideWhenUsed/>
    <w:rsid w:val="00AB02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283"/>
  </w:style>
  <w:style w:type="table" w:styleId="Listeclaire-Accent1">
    <w:name w:val="Light List Accent 1"/>
    <w:basedOn w:val="TableauNormal"/>
    <w:uiPriority w:val="61"/>
    <w:rsid w:val="00AB02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gende">
    <w:name w:val="caption"/>
    <w:basedOn w:val="Normal"/>
    <w:next w:val="Normal"/>
    <w:uiPriority w:val="35"/>
    <w:unhideWhenUsed/>
    <w:qFormat/>
    <w:rsid w:val="00AB0283"/>
    <w:pPr>
      <w:spacing w:line="240" w:lineRule="auto"/>
    </w:pPr>
    <w:rPr>
      <w:b/>
      <w:bCs/>
      <w:color w:val="4F81BD" w:themeColor="accent1"/>
      <w:sz w:val="18"/>
      <w:szCs w:val="18"/>
    </w:rPr>
  </w:style>
  <w:style w:type="table" w:styleId="Trameclaire-Accent1">
    <w:name w:val="Light Shading Accent 1"/>
    <w:basedOn w:val="TableauNormal"/>
    <w:uiPriority w:val="60"/>
    <w:rsid w:val="00AB02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ouleur-Accent1">
    <w:name w:val="Colorful Grid Accent 1"/>
    <w:basedOn w:val="TableauNormal"/>
    <w:uiPriority w:val="73"/>
    <w:rsid w:val="00AB02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ccentuation">
    <w:name w:val="Emphasis"/>
    <w:basedOn w:val="Policepardfaut"/>
    <w:uiPriority w:val="20"/>
    <w:qFormat/>
    <w:rsid w:val="00AB0283"/>
    <w:rPr>
      <w:i/>
      <w:iCs/>
    </w:rPr>
  </w:style>
  <w:style w:type="character" w:styleId="lev">
    <w:name w:val="Strong"/>
    <w:basedOn w:val="Policepardfaut"/>
    <w:uiPriority w:val="22"/>
    <w:qFormat/>
    <w:rsid w:val="00AB0283"/>
    <w:rPr>
      <w:b/>
      <w:bCs/>
    </w:rPr>
  </w:style>
  <w:style w:type="paragraph" w:styleId="Rvision">
    <w:name w:val="Revision"/>
    <w:hidden/>
    <w:uiPriority w:val="99"/>
    <w:semiHidden/>
    <w:rsid w:val="00AB02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B028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AR" w:eastAsia="es-A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283"/>
    <w:rPr>
      <w:rFonts w:asciiTheme="majorHAnsi" w:eastAsiaTheme="majorEastAsia" w:hAnsiTheme="majorHAnsi" w:cstheme="majorBidi"/>
      <w:color w:val="365F91" w:themeColor="accent1" w:themeShade="BF"/>
      <w:sz w:val="32"/>
      <w:szCs w:val="32"/>
      <w:lang w:val="es-AR" w:eastAsia="es-AR"/>
    </w:rPr>
  </w:style>
  <w:style w:type="paragraph" w:styleId="Bibliographie">
    <w:name w:val="Bibliography"/>
    <w:basedOn w:val="Normal"/>
    <w:next w:val="Normal"/>
    <w:uiPriority w:val="37"/>
    <w:unhideWhenUsed/>
    <w:rsid w:val="00AB0283"/>
    <w:pPr>
      <w:tabs>
        <w:tab w:val="left" w:pos="384"/>
      </w:tabs>
      <w:spacing w:after="240" w:line="240" w:lineRule="auto"/>
      <w:ind w:left="384" w:hanging="384"/>
    </w:pPr>
  </w:style>
  <w:style w:type="character" w:styleId="Marquedecommentaire">
    <w:name w:val="annotation reference"/>
    <w:basedOn w:val="Policepardfaut"/>
    <w:uiPriority w:val="99"/>
    <w:semiHidden/>
    <w:unhideWhenUsed/>
    <w:rsid w:val="00AB0283"/>
    <w:rPr>
      <w:sz w:val="16"/>
      <w:szCs w:val="16"/>
    </w:rPr>
  </w:style>
  <w:style w:type="paragraph" w:styleId="Commentaire">
    <w:name w:val="annotation text"/>
    <w:basedOn w:val="Normal"/>
    <w:link w:val="CommentaireCar"/>
    <w:uiPriority w:val="99"/>
    <w:semiHidden/>
    <w:unhideWhenUsed/>
    <w:rsid w:val="00AB0283"/>
    <w:pPr>
      <w:spacing w:line="240" w:lineRule="auto"/>
    </w:pPr>
    <w:rPr>
      <w:sz w:val="20"/>
      <w:szCs w:val="20"/>
    </w:rPr>
  </w:style>
  <w:style w:type="character" w:customStyle="1" w:styleId="CommentaireCar">
    <w:name w:val="Commentaire Car"/>
    <w:basedOn w:val="Policepardfaut"/>
    <w:link w:val="Commentaire"/>
    <w:uiPriority w:val="99"/>
    <w:semiHidden/>
    <w:rsid w:val="00AB0283"/>
    <w:rPr>
      <w:sz w:val="20"/>
      <w:szCs w:val="20"/>
    </w:rPr>
  </w:style>
  <w:style w:type="paragraph" w:styleId="Objetducommentaire">
    <w:name w:val="annotation subject"/>
    <w:basedOn w:val="Commentaire"/>
    <w:next w:val="Commentaire"/>
    <w:link w:val="ObjetducommentaireCar"/>
    <w:uiPriority w:val="99"/>
    <w:semiHidden/>
    <w:unhideWhenUsed/>
    <w:rsid w:val="00AB0283"/>
    <w:rPr>
      <w:b/>
      <w:bCs/>
    </w:rPr>
  </w:style>
  <w:style w:type="character" w:customStyle="1" w:styleId="ObjetducommentaireCar">
    <w:name w:val="Objet du commentaire Car"/>
    <w:basedOn w:val="CommentaireCar"/>
    <w:link w:val="Objetducommentaire"/>
    <w:uiPriority w:val="99"/>
    <w:semiHidden/>
    <w:rsid w:val="00AB0283"/>
    <w:rPr>
      <w:b/>
      <w:bCs/>
      <w:sz w:val="20"/>
      <w:szCs w:val="20"/>
    </w:rPr>
  </w:style>
  <w:style w:type="paragraph" w:styleId="Textedebulles">
    <w:name w:val="Balloon Text"/>
    <w:basedOn w:val="Normal"/>
    <w:link w:val="TextedebullesCar"/>
    <w:uiPriority w:val="99"/>
    <w:semiHidden/>
    <w:unhideWhenUsed/>
    <w:rsid w:val="00AB0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283"/>
    <w:rPr>
      <w:rFonts w:ascii="Tahoma" w:hAnsi="Tahoma" w:cs="Tahoma"/>
      <w:sz w:val="16"/>
      <w:szCs w:val="16"/>
    </w:rPr>
  </w:style>
  <w:style w:type="character" w:customStyle="1" w:styleId="shorttext">
    <w:name w:val="short_text"/>
    <w:basedOn w:val="Policepardfaut"/>
    <w:rsid w:val="00AB0283"/>
  </w:style>
  <w:style w:type="character" w:customStyle="1" w:styleId="highlight">
    <w:name w:val="highlight"/>
    <w:basedOn w:val="Policepardfaut"/>
    <w:rsid w:val="00AB0283"/>
  </w:style>
  <w:style w:type="table" w:styleId="Grillemoyenne3-Accent1">
    <w:name w:val="Medium Grid 3 Accent 1"/>
    <w:basedOn w:val="TableauNormal"/>
    <w:uiPriority w:val="69"/>
    <w:rsid w:val="00AB02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shd w:val="clear" w:color="auto" w:fill="95B3D7" w:themeFill="accent1" w:themeFillTint="9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tblPr/>
      <w:tcPr>
        <w:shd w:val="clear" w:color="auto" w:fill="DBE5F1" w:themeFill="accent1" w:themeFillTint="33"/>
      </w:tcPr>
    </w:tblStylePr>
  </w:style>
  <w:style w:type="table" w:styleId="Grilledutableau">
    <w:name w:val="Table Grid"/>
    <w:basedOn w:val="TableauNormal"/>
    <w:uiPriority w:val="59"/>
    <w:rsid w:val="00AB0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moyenne1-Accent1">
    <w:name w:val="Medium Shading 1 Accent 1"/>
    <w:basedOn w:val="TableauNormal"/>
    <w:uiPriority w:val="63"/>
    <w:rsid w:val="00AB02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claire-Accent1">
    <w:name w:val="Light Grid Accent 1"/>
    <w:basedOn w:val="TableauNormal"/>
    <w:uiPriority w:val="62"/>
    <w:rsid w:val="00AB02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ansinterligne">
    <w:name w:val="No Spacing"/>
    <w:uiPriority w:val="1"/>
    <w:qFormat/>
    <w:rsid w:val="00AB0283"/>
    <w:pPr>
      <w:spacing w:after="0" w:line="240" w:lineRule="auto"/>
    </w:pPr>
  </w:style>
  <w:style w:type="paragraph" w:styleId="En-tte">
    <w:name w:val="header"/>
    <w:basedOn w:val="Normal"/>
    <w:link w:val="En-tteCar"/>
    <w:uiPriority w:val="99"/>
    <w:unhideWhenUsed/>
    <w:rsid w:val="00AB0283"/>
    <w:pPr>
      <w:tabs>
        <w:tab w:val="center" w:pos="4536"/>
        <w:tab w:val="right" w:pos="9072"/>
      </w:tabs>
      <w:spacing w:after="0" w:line="240" w:lineRule="auto"/>
    </w:pPr>
  </w:style>
  <w:style w:type="character" w:customStyle="1" w:styleId="En-tteCar">
    <w:name w:val="En-tête Car"/>
    <w:basedOn w:val="Policepardfaut"/>
    <w:link w:val="En-tte"/>
    <w:uiPriority w:val="99"/>
    <w:rsid w:val="00AB0283"/>
  </w:style>
  <w:style w:type="paragraph" w:styleId="Pieddepage">
    <w:name w:val="footer"/>
    <w:basedOn w:val="Normal"/>
    <w:link w:val="PieddepageCar"/>
    <w:uiPriority w:val="99"/>
    <w:unhideWhenUsed/>
    <w:rsid w:val="00AB02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283"/>
  </w:style>
  <w:style w:type="table" w:styleId="Listeclaire-Accent1">
    <w:name w:val="Light List Accent 1"/>
    <w:basedOn w:val="TableauNormal"/>
    <w:uiPriority w:val="61"/>
    <w:rsid w:val="00AB02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gende">
    <w:name w:val="caption"/>
    <w:basedOn w:val="Normal"/>
    <w:next w:val="Normal"/>
    <w:uiPriority w:val="35"/>
    <w:unhideWhenUsed/>
    <w:qFormat/>
    <w:rsid w:val="00AB0283"/>
    <w:pPr>
      <w:spacing w:line="240" w:lineRule="auto"/>
    </w:pPr>
    <w:rPr>
      <w:b/>
      <w:bCs/>
      <w:color w:val="4F81BD" w:themeColor="accent1"/>
      <w:sz w:val="18"/>
      <w:szCs w:val="18"/>
    </w:rPr>
  </w:style>
  <w:style w:type="table" w:styleId="Trameclaire-Accent1">
    <w:name w:val="Light Shading Accent 1"/>
    <w:basedOn w:val="TableauNormal"/>
    <w:uiPriority w:val="60"/>
    <w:rsid w:val="00AB02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ouleur-Accent1">
    <w:name w:val="Colorful Grid Accent 1"/>
    <w:basedOn w:val="TableauNormal"/>
    <w:uiPriority w:val="73"/>
    <w:rsid w:val="00AB02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ccentuation">
    <w:name w:val="Emphasis"/>
    <w:basedOn w:val="Policepardfaut"/>
    <w:uiPriority w:val="20"/>
    <w:qFormat/>
    <w:rsid w:val="00AB0283"/>
    <w:rPr>
      <w:i/>
      <w:iCs/>
    </w:rPr>
  </w:style>
  <w:style w:type="character" w:styleId="lev">
    <w:name w:val="Strong"/>
    <w:basedOn w:val="Policepardfaut"/>
    <w:uiPriority w:val="22"/>
    <w:qFormat/>
    <w:rsid w:val="00AB0283"/>
    <w:rPr>
      <w:b/>
      <w:bCs/>
    </w:rPr>
  </w:style>
  <w:style w:type="paragraph" w:styleId="Rvision">
    <w:name w:val="Revision"/>
    <w:hidden/>
    <w:uiPriority w:val="99"/>
    <w:semiHidden/>
    <w:rsid w:val="00AB0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6285</Words>
  <Characters>34571</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Institut de Cancérologie Gustave ROUSSY</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2019-01-21T19:32:00Z</dcterms:created>
  <dcterms:modified xsi:type="dcterms:W3CDTF">2019-01-21T19:47:00Z</dcterms:modified>
</cp:coreProperties>
</file>