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74FB4" w14:textId="0DEC7160" w:rsidR="004015D0" w:rsidRPr="004015D0" w:rsidRDefault="006706D5" w:rsidP="00635431">
      <w:pPr>
        <w:pStyle w:val="Heading1"/>
        <w:jc w:val="both"/>
        <w:rPr>
          <w:lang w:val="en-GB"/>
        </w:rPr>
      </w:pPr>
      <w:r>
        <w:rPr>
          <w:lang w:val="en-GB"/>
        </w:rPr>
        <w:t>T</w:t>
      </w:r>
      <w:r w:rsidR="004015D0">
        <w:rPr>
          <w:lang w:val="en-GB"/>
        </w:rPr>
        <w:t xml:space="preserve">argeting </w:t>
      </w:r>
      <w:r w:rsidR="000C02A7" w:rsidRPr="007B0718">
        <w:rPr>
          <w:i/>
          <w:lang w:val="en-GB"/>
        </w:rPr>
        <w:t>P</w:t>
      </w:r>
      <w:r w:rsidR="00763BCA" w:rsidRPr="007B0718">
        <w:rPr>
          <w:i/>
          <w:lang w:val="en-GB"/>
        </w:rPr>
        <w:t>IK3CA</w:t>
      </w:r>
      <w:r w:rsidR="00763BCA">
        <w:rPr>
          <w:lang w:val="en-GB"/>
        </w:rPr>
        <w:t xml:space="preserve"> muta</w:t>
      </w:r>
      <w:r w:rsidR="00D7695E">
        <w:rPr>
          <w:lang w:val="en-GB"/>
        </w:rPr>
        <w:t xml:space="preserve">nt </w:t>
      </w:r>
      <w:r w:rsidR="00D466C5">
        <w:rPr>
          <w:lang w:val="en-GB"/>
        </w:rPr>
        <w:t xml:space="preserve">advanced </w:t>
      </w:r>
      <w:r w:rsidR="00D7695E">
        <w:rPr>
          <w:lang w:val="en-GB"/>
        </w:rPr>
        <w:t>brea</w:t>
      </w:r>
      <w:r w:rsidR="000F7BE7">
        <w:rPr>
          <w:lang w:val="en-GB"/>
        </w:rPr>
        <w:t>s</w:t>
      </w:r>
      <w:r w:rsidR="00D7695E">
        <w:rPr>
          <w:lang w:val="en-GB"/>
        </w:rPr>
        <w:t xml:space="preserve">t cancer </w:t>
      </w:r>
      <w:r w:rsidR="004015D0">
        <w:rPr>
          <w:lang w:val="en-GB"/>
        </w:rPr>
        <w:t>in the clinic</w:t>
      </w:r>
    </w:p>
    <w:p w14:paraId="0312497E" w14:textId="7E19687E" w:rsidR="00763BCA" w:rsidRDefault="00763BCA" w:rsidP="00635431">
      <w:pPr>
        <w:jc w:val="both"/>
        <w:rPr>
          <w:color w:val="000000" w:themeColor="text1"/>
        </w:rPr>
      </w:pPr>
      <w:r>
        <w:rPr>
          <w:color w:val="000000" w:themeColor="text1"/>
        </w:rPr>
        <w:t>Neha Chopra</w:t>
      </w:r>
      <w:r>
        <w:rPr>
          <w:color w:val="000000" w:themeColor="text1"/>
          <w:vertAlign w:val="superscript"/>
        </w:rPr>
        <w:t>1</w:t>
      </w:r>
      <w:proofErr w:type="gramStart"/>
      <w:r>
        <w:rPr>
          <w:color w:val="000000" w:themeColor="text1"/>
          <w:vertAlign w:val="superscript"/>
        </w:rPr>
        <w:t>,2</w:t>
      </w:r>
      <w:proofErr w:type="gramEnd"/>
      <w:r w:rsidR="00C91FC2">
        <w:rPr>
          <w:color w:val="000000" w:themeColor="text1"/>
        </w:rPr>
        <w:t xml:space="preserve"> and</w:t>
      </w:r>
      <w:r w:rsidRPr="0026593D">
        <w:rPr>
          <w:color w:val="000000" w:themeColor="text1"/>
        </w:rPr>
        <w:t xml:space="preserve"> Nicholas C. Turner</w:t>
      </w:r>
      <w:r>
        <w:rPr>
          <w:color w:val="000000" w:themeColor="text1"/>
        </w:rPr>
        <w:t xml:space="preserve">* </w:t>
      </w:r>
      <w:r w:rsidRPr="0026593D">
        <w:rPr>
          <w:color w:val="000000" w:themeColor="text1"/>
          <w:vertAlign w:val="superscript"/>
        </w:rPr>
        <w:t>1,</w:t>
      </w:r>
      <w:r>
        <w:rPr>
          <w:color w:val="000000" w:themeColor="text1"/>
          <w:vertAlign w:val="superscript"/>
        </w:rPr>
        <w:t>2</w:t>
      </w:r>
      <w:r w:rsidRPr="0026593D">
        <w:rPr>
          <w:color w:val="000000" w:themeColor="text1"/>
        </w:rPr>
        <w:t>.</w:t>
      </w:r>
    </w:p>
    <w:p w14:paraId="6C979EEB" w14:textId="44739BE1" w:rsidR="00763BCA" w:rsidRPr="00A72B40" w:rsidRDefault="00763BCA" w:rsidP="00635431">
      <w:pPr>
        <w:jc w:val="both"/>
        <w:rPr>
          <w:color w:val="000000" w:themeColor="text1"/>
        </w:rPr>
      </w:pPr>
      <w:r>
        <w:rPr>
          <w:vertAlign w:val="superscript"/>
        </w:rPr>
        <w:t>1</w:t>
      </w:r>
      <w:r w:rsidRPr="00011386">
        <w:t xml:space="preserve"> Breast Unit, The Royal Marsden</w:t>
      </w:r>
      <w:r>
        <w:t xml:space="preserve"> Hospital, </w:t>
      </w:r>
      <w:proofErr w:type="spellStart"/>
      <w:r>
        <w:t>Fulham</w:t>
      </w:r>
      <w:proofErr w:type="spellEnd"/>
      <w:r>
        <w:t xml:space="preserve"> Road, London, </w:t>
      </w:r>
      <w:r w:rsidRPr="00011386">
        <w:t>SW3 6J</w:t>
      </w:r>
      <w:r>
        <w:t>J</w:t>
      </w:r>
      <w:r w:rsidRPr="00011386">
        <w:t>, UK</w:t>
      </w:r>
      <w:r>
        <w:t>.</w:t>
      </w:r>
    </w:p>
    <w:p w14:paraId="6F9A28C8" w14:textId="4BC38AE3" w:rsidR="00763BCA" w:rsidRPr="00011386" w:rsidRDefault="00763BCA" w:rsidP="00635431">
      <w:pPr>
        <w:spacing w:after="0" w:line="276" w:lineRule="auto"/>
        <w:jc w:val="both"/>
        <w:rPr>
          <w:bCs/>
        </w:rPr>
      </w:pPr>
      <w:r>
        <w:rPr>
          <w:vertAlign w:val="superscript"/>
        </w:rPr>
        <w:t>2</w:t>
      </w:r>
      <w:r w:rsidRPr="00011386">
        <w:t xml:space="preserve"> The Breast Cancer </w:t>
      </w:r>
      <w:r>
        <w:t xml:space="preserve">Now </w:t>
      </w:r>
      <w:r w:rsidRPr="00011386">
        <w:t>Research Centre, Institute of Cancer Research, London, SW3 6JB, UK.</w:t>
      </w:r>
    </w:p>
    <w:p w14:paraId="0EBBDE5C" w14:textId="29B0541D" w:rsidR="00763BCA" w:rsidRPr="00011386" w:rsidRDefault="00763BCA" w:rsidP="00635431">
      <w:pPr>
        <w:spacing w:after="0" w:line="276" w:lineRule="auto"/>
        <w:jc w:val="both"/>
        <w:rPr>
          <w:bCs/>
        </w:rPr>
      </w:pPr>
    </w:p>
    <w:p w14:paraId="18A152AC" w14:textId="77777777" w:rsidR="00763BCA" w:rsidRPr="00667C8B" w:rsidRDefault="00763BCA" w:rsidP="00635431">
      <w:pPr>
        <w:pStyle w:val="Heading1"/>
        <w:jc w:val="both"/>
      </w:pPr>
      <w:r w:rsidRPr="00667C8B">
        <w:t>Corresponding author:</w:t>
      </w:r>
    </w:p>
    <w:p w14:paraId="7FED4767" w14:textId="77777777" w:rsidR="00763BCA" w:rsidRDefault="00763BCA" w:rsidP="00635431">
      <w:pPr>
        <w:spacing w:after="0"/>
        <w:jc w:val="both"/>
        <w:rPr>
          <w:color w:val="000000" w:themeColor="text1"/>
        </w:rPr>
      </w:pPr>
      <w:r w:rsidRPr="004A77DC">
        <w:rPr>
          <w:color w:val="000000" w:themeColor="text1"/>
        </w:rPr>
        <w:t xml:space="preserve">Nicholas </w:t>
      </w:r>
      <w:r>
        <w:rPr>
          <w:color w:val="000000" w:themeColor="text1"/>
        </w:rPr>
        <w:t xml:space="preserve">C. </w:t>
      </w:r>
      <w:r w:rsidRPr="004A77DC">
        <w:rPr>
          <w:color w:val="000000" w:themeColor="text1"/>
        </w:rPr>
        <w:t xml:space="preserve">Turner, Institute of Cancer Research and Royal Marsden Hospital, </w:t>
      </w:r>
    </w:p>
    <w:p w14:paraId="4CD94017" w14:textId="77777777" w:rsidR="00763BCA" w:rsidRDefault="00763BCA" w:rsidP="00635431">
      <w:pPr>
        <w:spacing w:after="0"/>
        <w:jc w:val="both"/>
        <w:rPr>
          <w:color w:val="000000" w:themeColor="text1"/>
        </w:rPr>
      </w:pPr>
      <w:r w:rsidRPr="004A77DC">
        <w:rPr>
          <w:color w:val="000000" w:themeColor="text1"/>
        </w:rPr>
        <w:t xml:space="preserve">237 </w:t>
      </w:r>
      <w:proofErr w:type="spellStart"/>
      <w:r w:rsidRPr="004A77DC">
        <w:rPr>
          <w:color w:val="000000" w:themeColor="text1"/>
        </w:rPr>
        <w:t>Fulham</w:t>
      </w:r>
      <w:proofErr w:type="spellEnd"/>
      <w:r w:rsidRPr="004A77DC">
        <w:rPr>
          <w:color w:val="000000" w:themeColor="text1"/>
        </w:rPr>
        <w:t xml:space="preserve"> Road, London, SW3 6JB, UK, Tel +44 207 352 8133 </w:t>
      </w:r>
    </w:p>
    <w:p w14:paraId="457C8DFE" w14:textId="77777777" w:rsidR="00763BCA" w:rsidRPr="004A77DC" w:rsidRDefault="00763BCA" w:rsidP="00635431">
      <w:pPr>
        <w:spacing w:after="0"/>
        <w:jc w:val="both"/>
        <w:rPr>
          <w:color w:val="000000" w:themeColor="text1"/>
        </w:rPr>
      </w:pPr>
      <w:r w:rsidRPr="004A77DC">
        <w:rPr>
          <w:color w:val="000000" w:themeColor="text1"/>
        </w:rPr>
        <w:t xml:space="preserve">Email: </w:t>
      </w:r>
      <w:hyperlink r:id="rId8" w:history="1">
        <w:r w:rsidRPr="004A77DC">
          <w:rPr>
            <w:color w:val="000000" w:themeColor="text1"/>
          </w:rPr>
          <w:t>nicholas.turner@icr.ac.uk</w:t>
        </w:r>
      </w:hyperlink>
    </w:p>
    <w:p w14:paraId="566028BB" w14:textId="77777777" w:rsidR="00763BCA" w:rsidRDefault="00763BCA" w:rsidP="00635431">
      <w:pPr>
        <w:pStyle w:val="Heading1"/>
        <w:jc w:val="both"/>
      </w:pPr>
      <w:r>
        <w:t>Conflict of Interest</w:t>
      </w:r>
      <w:r w:rsidRPr="00667C8B">
        <w:t>:</w:t>
      </w:r>
    </w:p>
    <w:p w14:paraId="42077782" w14:textId="47BB0376" w:rsidR="00763BCA" w:rsidRPr="00A438E1" w:rsidRDefault="0052342E" w:rsidP="00635431">
      <w:pPr>
        <w:widowControl w:val="0"/>
        <w:autoSpaceDE w:val="0"/>
        <w:autoSpaceDN w:val="0"/>
        <w:adjustRightInd w:val="0"/>
        <w:spacing w:after="0"/>
        <w:jc w:val="both"/>
      </w:pPr>
      <w:r w:rsidRPr="0052342E">
        <w:t xml:space="preserve">Nicholas C. Turner has received advisory board honoraria in </w:t>
      </w:r>
      <w:bookmarkStart w:id="0" w:name="_GoBack"/>
      <w:bookmarkEnd w:id="0"/>
      <w:r w:rsidRPr="0052342E">
        <w:t xml:space="preserve">the last three years from Novartis, AstraZeneca, Roche/Genentech, Pfizer, Lilly, </w:t>
      </w:r>
      <w:proofErr w:type="spellStart"/>
      <w:r w:rsidRPr="0052342E">
        <w:t>Synthon</w:t>
      </w:r>
      <w:proofErr w:type="spellEnd"/>
      <w:r w:rsidRPr="0052342E">
        <w:t xml:space="preserve">, </w:t>
      </w:r>
      <w:proofErr w:type="gramStart"/>
      <w:r w:rsidRPr="0052342E">
        <w:t>ADC</w:t>
      </w:r>
      <w:proofErr w:type="gramEnd"/>
      <w:r w:rsidRPr="0052342E">
        <w:t xml:space="preserve"> therapeutics</w:t>
      </w:r>
      <w:r w:rsidR="002A5F96">
        <w:t xml:space="preserve">. </w:t>
      </w:r>
      <w:r w:rsidR="00763BCA" w:rsidRPr="004A77DC">
        <w:t>The other author disclose</w:t>
      </w:r>
      <w:r w:rsidR="004F69B3">
        <w:t>s</w:t>
      </w:r>
      <w:r w:rsidR="00763BCA" w:rsidRPr="004A77DC">
        <w:t xml:space="preserve"> no potential conflicts of interest. </w:t>
      </w:r>
    </w:p>
    <w:p w14:paraId="5078A452" w14:textId="77777777" w:rsidR="00763BCA" w:rsidRDefault="00763BCA" w:rsidP="00635431">
      <w:pPr>
        <w:jc w:val="both"/>
      </w:pPr>
    </w:p>
    <w:p w14:paraId="4C959285" w14:textId="77777777" w:rsidR="00763BCA" w:rsidRPr="00763BCA" w:rsidRDefault="00763BCA" w:rsidP="00635431">
      <w:pPr>
        <w:jc w:val="both"/>
      </w:pPr>
    </w:p>
    <w:p w14:paraId="3B606BA1" w14:textId="77777777" w:rsidR="00B64D05" w:rsidRDefault="00B64D05" w:rsidP="00635431">
      <w:pPr>
        <w:jc w:val="both"/>
      </w:pPr>
    </w:p>
    <w:p w14:paraId="65BF125F" w14:textId="77777777" w:rsidR="00763BCA" w:rsidRDefault="00763BCA" w:rsidP="00635431">
      <w:pPr>
        <w:spacing w:before="0" w:after="0" w:line="240" w:lineRule="auto"/>
        <w:jc w:val="both"/>
      </w:pPr>
      <w:r>
        <w:br w:type="page"/>
      </w:r>
    </w:p>
    <w:p w14:paraId="646F4D8B" w14:textId="6591F532" w:rsidR="005D25C4" w:rsidRDefault="00917A35" w:rsidP="00635431">
      <w:pPr>
        <w:jc w:val="both"/>
      </w:pPr>
      <w:r>
        <w:lastRenderedPageBreak/>
        <w:t xml:space="preserve">Activation mutations in </w:t>
      </w:r>
      <w:r>
        <w:rPr>
          <w:i/>
        </w:rPr>
        <w:t>PIK3CA</w:t>
      </w:r>
      <w:r>
        <w:t xml:space="preserve"> are the most common </w:t>
      </w:r>
      <w:r w:rsidR="000D76F6">
        <w:t>genetic event</w:t>
      </w:r>
      <w:r>
        <w:t xml:space="preserve"> in hormone recept</w:t>
      </w:r>
      <w:r w:rsidR="00AF2EEB">
        <w:t xml:space="preserve">or positive (HR+) breast cancer. </w:t>
      </w:r>
      <w:r>
        <w:t xml:space="preserve"> </w:t>
      </w:r>
      <w:r w:rsidR="00AF2EEB" w:rsidRPr="007B0718">
        <w:rPr>
          <w:i/>
        </w:rPr>
        <w:t>PIK3CA</w:t>
      </w:r>
      <w:r w:rsidR="00AF2EEB">
        <w:t xml:space="preserve"> encodes the </w:t>
      </w:r>
      <w:r w:rsidR="00E84201">
        <w:t xml:space="preserve">p110 </w:t>
      </w:r>
      <w:r w:rsidR="00AF2EEB">
        <w:t xml:space="preserve">alpha catalytic subunit of </w:t>
      </w:r>
      <w:r w:rsidR="00E84201">
        <w:t>phosphatidylinositol 3-kinase (</w:t>
      </w:r>
      <w:r w:rsidR="00BE2482">
        <w:t>PI3 kinase</w:t>
      </w:r>
      <w:r w:rsidR="00E84201">
        <w:t>)</w:t>
      </w:r>
      <w:r w:rsidR="00AF2EEB">
        <w:t xml:space="preserve">, </w:t>
      </w:r>
      <w:r w:rsidR="00DA2F86">
        <w:t>and</w:t>
      </w:r>
      <w:r w:rsidR="00B95784">
        <w:t xml:space="preserve"> </w:t>
      </w:r>
      <w:r>
        <w:t>activation of the</w:t>
      </w:r>
      <w:r w:rsidR="006E2917">
        <w:t xml:space="preserve"> </w:t>
      </w:r>
      <w:r w:rsidR="00BE2482">
        <w:t>PI3 kinase</w:t>
      </w:r>
      <w:r w:rsidR="00085E0A">
        <w:t>-AKT-</w:t>
      </w:r>
      <w:proofErr w:type="spellStart"/>
      <w:r w:rsidR="00085E0A">
        <w:t>mTOR</w:t>
      </w:r>
      <w:proofErr w:type="spellEnd"/>
      <w:r w:rsidR="00085E0A">
        <w:t xml:space="preserve"> pathway </w:t>
      </w:r>
      <w:r w:rsidR="00386A7B">
        <w:t xml:space="preserve">promotes </w:t>
      </w:r>
      <w:r w:rsidR="00893E89">
        <w:t>progression and endocrine therapy resistance</w:t>
      </w:r>
      <w:r w:rsidR="001F1D6A" w:rsidRPr="007B0718">
        <w:rPr>
          <w:vertAlign w:val="superscript"/>
        </w:rPr>
        <w:t>1</w:t>
      </w:r>
      <w:r w:rsidR="000768E1">
        <w:t xml:space="preserve">. </w:t>
      </w:r>
      <w:r w:rsidR="00A22665">
        <w:rPr>
          <w:i/>
        </w:rPr>
        <w:t>PIK3CA</w:t>
      </w:r>
      <w:r w:rsidR="00A22665">
        <w:t xml:space="preserve"> mutant cancer models are sensitive to </w:t>
      </w:r>
      <w:r w:rsidR="00BE2482">
        <w:t>PI3 kinase</w:t>
      </w:r>
      <w:r w:rsidR="001F62F2">
        <w:t xml:space="preserve"> </w:t>
      </w:r>
      <w:r w:rsidR="00A22665">
        <w:t>inhibitors</w:t>
      </w:r>
      <w:r w:rsidR="00150F10">
        <w:t xml:space="preserve"> pre-clinically</w:t>
      </w:r>
      <w:r w:rsidR="00DD5FFE">
        <w:t xml:space="preserve"> with </w:t>
      </w:r>
      <w:r w:rsidR="00A22665">
        <w:t xml:space="preserve">synergy between </w:t>
      </w:r>
      <w:r w:rsidR="00BE2482">
        <w:t xml:space="preserve">PI3K inhibitors and </w:t>
      </w:r>
      <w:r w:rsidR="00A22665">
        <w:t>endocrine therapies</w:t>
      </w:r>
      <w:r w:rsidR="008D5D66" w:rsidRPr="007B0718">
        <w:rPr>
          <w:vertAlign w:val="superscript"/>
        </w:rPr>
        <w:t>2</w:t>
      </w:r>
      <w:proofErr w:type="gramStart"/>
      <w:r w:rsidR="008D5D66" w:rsidRPr="007B0718">
        <w:rPr>
          <w:vertAlign w:val="superscript"/>
        </w:rPr>
        <w:t>,3</w:t>
      </w:r>
      <w:proofErr w:type="gramEnd"/>
      <w:r w:rsidR="00C75D05">
        <w:t xml:space="preserve">. </w:t>
      </w:r>
      <w:r w:rsidR="00086699">
        <w:t xml:space="preserve">Yet, despite </w:t>
      </w:r>
      <w:r w:rsidR="00A22665">
        <w:t xml:space="preserve">convincing pre-clinical data, multiple early </w:t>
      </w:r>
      <w:r w:rsidR="00E0173F">
        <w:t xml:space="preserve">phase </w:t>
      </w:r>
      <w:r w:rsidR="00A22665">
        <w:t xml:space="preserve">and </w:t>
      </w:r>
      <w:proofErr w:type="spellStart"/>
      <w:r w:rsidR="00A22665">
        <w:t>randomised</w:t>
      </w:r>
      <w:proofErr w:type="spellEnd"/>
      <w:r w:rsidR="00A22665">
        <w:t xml:space="preserve"> phase II studies </w:t>
      </w:r>
      <w:r w:rsidR="00ED0132">
        <w:t>have</w:t>
      </w:r>
      <w:r w:rsidR="00254257">
        <w:t xml:space="preserve"> failed to show significant benefit of </w:t>
      </w:r>
      <w:r w:rsidR="00BE2482">
        <w:t>PI3 kinase</w:t>
      </w:r>
      <w:r w:rsidR="00254257">
        <w:t xml:space="preserve"> inhibitors in </w:t>
      </w:r>
      <w:r w:rsidR="00254257">
        <w:rPr>
          <w:i/>
        </w:rPr>
        <w:t>PIK3CA</w:t>
      </w:r>
      <w:r w:rsidR="00254257">
        <w:t xml:space="preserve"> mutant cancers</w:t>
      </w:r>
      <w:r w:rsidR="00BD7E0E">
        <w:rPr>
          <w:vertAlign w:val="superscript"/>
        </w:rPr>
        <w:t>4</w:t>
      </w:r>
      <w:proofErr w:type="gramStart"/>
      <w:r w:rsidR="00BD7E0E">
        <w:rPr>
          <w:vertAlign w:val="superscript"/>
        </w:rPr>
        <w:t>,5,6</w:t>
      </w:r>
      <w:proofErr w:type="gramEnd"/>
      <w:r w:rsidR="00B94ED6">
        <w:t xml:space="preserve">, </w:t>
      </w:r>
      <w:r w:rsidR="00D032F0">
        <w:t>question</w:t>
      </w:r>
      <w:r w:rsidR="00B94ED6">
        <w:t>ing</w:t>
      </w:r>
      <w:r w:rsidR="00D032F0">
        <w:t xml:space="preserve"> whether </w:t>
      </w:r>
      <w:r w:rsidR="004038BC">
        <w:rPr>
          <w:i/>
        </w:rPr>
        <w:t>PIK3CA</w:t>
      </w:r>
      <w:r w:rsidR="00104FDA">
        <w:t xml:space="preserve"> mutations </w:t>
      </w:r>
      <w:r w:rsidR="00B537FD">
        <w:t>we</w:t>
      </w:r>
      <w:r w:rsidR="0024734B">
        <w:t xml:space="preserve">re </w:t>
      </w:r>
      <w:r w:rsidR="004038BC">
        <w:t>targetable in the clinic</w:t>
      </w:r>
      <w:r w:rsidR="00B61266">
        <w:t xml:space="preserve">. Set against this background, </w:t>
      </w:r>
      <w:r w:rsidR="005D25C4">
        <w:t>the BELLE-2 study</w:t>
      </w:r>
      <w:r w:rsidR="0045611B">
        <w:t xml:space="preserve"> </w:t>
      </w:r>
      <w:r w:rsidR="005D25C4">
        <w:t>reported in this issue of Lancet Oncology is</w:t>
      </w:r>
      <w:r w:rsidR="00B61266">
        <w:t xml:space="preserve"> important as</w:t>
      </w:r>
      <w:r w:rsidR="005D25C4">
        <w:t xml:space="preserve"> the first study to provide evidence that </w:t>
      </w:r>
      <w:r w:rsidR="005D25C4">
        <w:rPr>
          <w:i/>
        </w:rPr>
        <w:t>PIK3CA</w:t>
      </w:r>
      <w:r w:rsidR="005D25C4">
        <w:t xml:space="preserve"> can be targeted in the clinic</w:t>
      </w:r>
      <w:r w:rsidR="00BD7E0E">
        <w:rPr>
          <w:vertAlign w:val="superscript"/>
        </w:rPr>
        <w:t>7</w:t>
      </w:r>
      <w:r w:rsidR="005D25C4">
        <w:t>.</w:t>
      </w:r>
    </w:p>
    <w:p w14:paraId="73ECF74E" w14:textId="77777777" w:rsidR="005D25C4" w:rsidRDefault="005D25C4" w:rsidP="00635431">
      <w:pPr>
        <w:jc w:val="both"/>
      </w:pPr>
    </w:p>
    <w:p w14:paraId="3A45E74B" w14:textId="43A7C547" w:rsidR="0068446C" w:rsidRDefault="002A2E41" w:rsidP="00635431">
      <w:pPr>
        <w:jc w:val="both"/>
        <w:rPr>
          <w:lang w:val="en-GB"/>
        </w:rPr>
      </w:pPr>
      <w:r>
        <w:t xml:space="preserve">BELLE-2 </w:t>
      </w:r>
      <w:r w:rsidR="0068446C">
        <w:t xml:space="preserve">was </w:t>
      </w:r>
      <w:r w:rsidR="00B45BEE">
        <w:t xml:space="preserve">a phase III </w:t>
      </w:r>
      <w:proofErr w:type="spellStart"/>
      <w:r w:rsidR="002449C8">
        <w:t>randomised</w:t>
      </w:r>
      <w:proofErr w:type="spellEnd"/>
      <w:r w:rsidR="002449C8">
        <w:t xml:space="preserve">, </w:t>
      </w:r>
      <w:proofErr w:type="gramStart"/>
      <w:r w:rsidR="002449C8">
        <w:t>double-blind</w:t>
      </w:r>
      <w:proofErr w:type="gramEnd"/>
      <w:r w:rsidR="002449C8">
        <w:t>, placebo controlled</w:t>
      </w:r>
      <w:r w:rsidR="002E535B">
        <w:t xml:space="preserve"> </w:t>
      </w:r>
      <w:r w:rsidR="0068446C">
        <w:t xml:space="preserve">trial </w:t>
      </w:r>
      <w:r w:rsidR="00371FB1">
        <w:t xml:space="preserve">in </w:t>
      </w:r>
      <w:r w:rsidR="00D22099">
        <w:t>HR+</w:t>
      </w:r>
      <w:r w:rsidR="002449C8">
        <w:t xml:space="preserve"> HER2 negative</w:t>
      </w:r>
      <w:r w:rsidR="003E3024">
        <w:t xml:space="preserve"> </w:t>
      </w:r>
      <w:r w:rsidR="005C2104">
        <w:t xml:space="preserve">advanced </w:t>
      </w:r>
      <w:r w:rsidR="00ED0F3B">
        <w:t xml:space="preserve">breast cancer </w:t>
      </w:r>
      <w:r w:rsidR="00D22099">
        <w:t xml:space="preserve">patients </w:t>
      </w:r>
      <w:r w:rsidR="002449C8">
        <w:t>who had progressed o</w:t>
      </w:r>
      <w:r w:rsidR="00B017DB">
        <w:t>n or after aromatase inhibitors. The investigators</w:t>
      </w:r>
      <w:r w:rsidR="002449C8">
        <w:t xml:space="preserve"> </w:t>
      </w:r>
      <w:r w:rsidR="00123124">
        <w:t xml:space="preserve">compared </w:t>
      </w:r>
      <w:r w:rsidR="00875E99">
        <w:t xml:space="preserve">the combination </w:t>
      </w:r>
      <w:r w:rsidR="009A6F40">
        <w:t>of a</w:t>
      </w:r>
      <w:r w:rsidR="0068446C">
        <w:t xml:space="preserve"> </w:t>
      </w:r>
      <w:r w:rsidR="00FA474C">
        <w:t>pan-</w:t>
      </w:r>
      <w:r w:rsidR="0068446C">
        <w:t xml:space="preserve">class I </w:t>
      </w:r>
      <w:r w:rsidR="00BE2482">
        <w:t>PI3 kinase</w:t>
      </w:r>
      <w:r w:rsidR="00B45BEE">
        <w:t xml:space="preserve">-inhibitor </w:t>
      </w:r>
      <w:proofErr w:type="spellStart"/>
      <w:r w:rsidR="0068446C">
        <w:t>buparlisib</w:t>
      </w:r>
      <w:proofErr w:type="spellEnd"/>
      <w:r w:rsidR="0068446C">
        <w:t xml:space="preserve"> plus </w:t>
      </w:r>
      <w:proofErr w:type="spellStart"/>
      <w:r w:rsidR="0068446C">
        <w:t>fulvestrant</w:t>
      </w:r>
      <w:proofErr w:type="spellEnd"/>
      <w:r w:rsidR="0068446C">
        <w:t xml:space="preserve"> versu</w:t>
      </w:r>
      <w:r w:rsidR="00B45BEE">
        <w:t xml:space="preserve">s placebo </w:t>
      </w:r>
      <w:r w:rsidR="00CE45C5">
        <w:t>plus</w:t>
      </w:r>
      <w:r w:rsidR="00B45BEE">
        <w:t xml:space="preserve"> </w:t>
      </w:r>
      <w:proofErr w:type="spellStart"/>
      <w:r w:rsidR="00B45BEE">
        <w:t>fulvestrant</w:t>
      </w:r>
      <w:proofErr w:type="spellEnd"/>
      <w:r w:rsidR="0068446C">
        <w:t xml:space="preserve">. Overall median </w:t>
      </w:r>
      <w:r w:rsidR="00B45BEE">
        <w:t>PFS</w:t>
      </w:r>
      <w:r w:rsidR="00B56B13">
        <w:t xml:space="preserve"> was</w:t>
      </w:r>
      <w:r w:rsidR="00B45BEE">
        <w:t xml:space="preserve"> </w:t>
      </w:r>
      <w:r w:rsidR="0068446C">
        <w:t xml:space="preserve">improved modestly, </w:t>
      </w:r>
      <w:r w:rsidR="00B45BEE">
        <w:t xml:space="preserve">6.9 </w:t>
      </w:r>
      <w:proofErr w:type="spellStart"/>
      <w:r w:rsidR="00B45BEE">
        <w:t>vs</w:t>
      </w:r>
      <w:proofErr w:type="spellEnd"/>
      <w:r w:rsidR="00B45BEE">
        <w:t xml:space="preserve"> 5.0 months</w:t>
      </w:r>
      <w:r w:rsidR="0068446C">
        <w:t xml:space="preserve"> </w:t>
      </w:r>
      <w:r w:rsidR="005D25C4">
        <w:t xml:space="preserve">in </w:t>
      </w:r>
      <w:proofErr w:type="spellStart"/>
      <w:r w:rsidR="005D25C4">
        <w:t>favour</w:t>
      </w:r>
      <w:proofErr w:type="spellEnd"/>
      <w:r w:rsidR="005D25C4">
        <w:t xml:space="preserve"> of </w:t>
      </w:r>
      <w:proofErr w:type="spellStart"/>
      <w:r w:rsidR="005D25C4">
        <w:t>buparlisib</w:t>
      </w:r>
      <w:proofErr w:type="spellEnd"/>
      <w:r w:rsidR="005D25C4">
        <w:t xml:space="preserve"> </w:t>
      </w:r>
      <w:r w:rsidR="0068446C">
        <w:t>(</w:t>
      </w:r>
      <w:r w:rsidR="00B45BEE">
        <w:t>hazard ratio (HR) 0.78; 95% confidence interval 0.67-0.89</w:t>
      </w:r>
      <w:r w:rsidR="0068446C" w:rsidRPr="0068446C">
        <w:t xml:space="preserve"> </w:t>
      </w:r>
      <w:r w:rsidR="0068446C">
        <w:t>p= 0.0002)</w:t>
      </w:r>
      <w:r w:rsidR="00427648">
        <w:t xml:space="preserve">. </w:t>
      </w:r>
      <w:r w:rsidR="00D22099">
        <w:t xml:space="preserve">However, </w:t>
      </w:r>
      <w:proofErr w:type="spellStart"/>
      <w:r w:rsidR="00D22099">
        <w:t>b</w:t>
      </w:r>
      <w:r w:rsidR="0068446C">
        <w:t>uparlisib</w:t>
      </w:r>
      <w:proofErr w:type="spellEnd"/>
      <w:r w:rsidR="0068446C">
        <w:t xml:space="preserve"> was poorly tolerated with side effects characteristic of </w:t>
      </w:r>
      <w:r w:rsidR="00BE2482">
        <w:t>PI3 kinase</w:t>
      </w:r>
      <w:r w:rsidR="0068446C">
        <w:t xml:space="preserve"> inhibition (</w:t>
      </w:r>
      <w:proofErr w:type="spellStart"/>
      <w:r w:rsidR="0068446C">
        <w:t>hyperglycaemia</w:t>
      </w:r>
      <w:proofErr w:type="spellEnd"/>
      <w:r w:rsidR="0068446C">
        <w:t xml:space="preserve">, </w:t>
      </w:r>
      <w:proofErr w:type="spellStart"/>
      <w:r w:rsidR="0068446C">
        <w:t>diarrh</w:t>
      </w:r>
      <w:r w:rsidR="006304B7">
        <w:t>o</w:t>
      </w:r>
      <w:r w:rsidR="0068446C">
        <w:t>ea</w:t>
      </w:r>
      <w:proofErr w:type="spellEnd"/>
      <w:r w:rsidR="0068446C">
        <w:t>, stomatitis, and rash)</w:t>
      </w:r>
      <w:r w:rsidR="0014494C">
        <w:t xml:space="preserve">, </w:t>
      </w:r>
      <w:r w:rsidR="00D5007C">
        <w:t>live</w:t>
      </w:r>
      <w:r w:rsidR="0014494C">
        <w:t xml:space="preserve">r enzyme </w:t>
      </w:r>
      <w:r w:rsidR="00D22099">
        <w:t xml:space="preserve">(ALT and AST) </w:t>
      </w:r>
      <w:r w:rsidR="0014494C">
        <w:t xml:space="preserve">increases, and </w:t>
      </w:r>
      <w:r w:rsidR="00EE1FD1">
        <w:t>frequent</w:t>
      </w:r>
      <w:r w:rsidR="0068446C">
        <w:t xml:space="preserve"> </w:t>
      </w:r>
      <w:r w:rsidR="00EE1FD1">
        <w:t>mood disorders</w:t>
      </w:r>
      <w:r w:rsidR="0014494C">
        <w:t xml:space="preserve"> including</w:t>
      </w:r>
      <w:r w:rsidR="00EE1FD1">
        <w:t xml:space="preserve"> </w:t>
      </w:r>
      <w:r w:rsidR="00E76D3E">
        <w:rPr>
          <w:lang w:val="en-GB"/>
        </w:rPr>
        <w:t>t</w:t>
      </w:r>
      <w:r w:rsidR="0014494C">
        <w:rPr>
          <w:lang w:val="en-GB"/>
        </w:rPr>
        <w:t>hree cases of suicidal ideation</w:t>
      </w:r>
      <w:r w:rsidR="00E76D3E">
        <w:t xml:space="preserve"> </w:t>
      </w:r>
      <w:r w:rsidR="00EE1FD1">
        <w:t xml:space="preserve">attributed to </w:t>
      </w:r>
      <w:proofErr w:type="spellStart"/>
      <w:r w:rsidR="00EE1FD1">
        <w:t>buparlisib</w:t>
      </w:r>
      <w:proofErr w:type="spellEnd"/>
      <w:r w:rsidR="00EE1FD1">
        <w:t xml:space="preserve"> </w:t>
      </w:r>
      <w:r w:rsidR="00EE1FD1">
        <w:rPr>
          <w:lang w:val="en-GB"/>
        </w:rPr>
        <w:t xml:space="preserve">crossing the blood-brain barrier and inhibiting </w:t>
      </w:r>
      <w:r w:rsidR="00BE2482">
        <w:rPr>
          <w:lang w:val="en-GB"/>
        </w:rPr>
        <w:t>PI3 kinase</w:t>
      </w:r>
      <w:r w:rsidR="00EE1FD1">
        <w:rPr>
          <w:lang w:val="en-GB"/>
        </w:rPr>
        <w:t xml:space="preserve"> in the central nervous system</w:t>
      </w:r>
      <w:r w:rsidR="00D06BE4">
        <w:rPr>
          <w:lang w:val="en-GB"/>
        </w:rPr>
        <w:t xml:space="preserve">. </w:t>
      </w:r>
      <w:r w:rsidR="003A0949">
        <w:rPr>
          <w:lang w:val="en-GB"/>
        </w:rPr>
        <w:t>In a pre-</w:t>
      </w:r>
      <w:r w:rsidR="003A0949" w:rsidRPr="00097516">
        <w:t xml:space="preserve">specified </w:t>
      </w:r>
      <w:r w:rsidR="00DE72E3" w:rsidRPr="00097516">
        <w:t>analysis,</w:t>
      </w:r>
      <w:r w:rsidR="003A0949" w:rsidRPr="00097516">
        <w:t xml:space="preserve"> </w:t>
      </w:r>
      <w:r w:rsidR="00BE2482">
        <w:t>PI3 kinase</w:t>
      </w:r>
      <w:r w:rsidR="00DE72E3">
        <w:t xml:space="preserve"> pathway activation (</w:t>
      </w:r>
      <w:r w:rsidR="00DE72E3">
        <w:rPr>
          <w:lang w:val="en-GB"/>
        </w:rPr>
        <w:t xml:space="preserve">defined as </w:t>
      </w:r>
      <w:r w:rsidR="00DE72E3" w:rsidRPr="00577DD5">
        <w:rPr>
          <w:i/>
        </w:rPr>
        <w:t>PIK3CA</w:t>
      </w:r>
      <w:r w:rsidR="00DE72E3" w:rsidRPr="003748CD">
        <w:t xml:space="preserve"> </w:t>
      </w:r>
      <w:r w:rsidR="00DE72E3" w:rsidRPr="00371A34">
        <w:t xml:space="preserve">gene mutation </w:t>
      </w:r>
      <w:r w:rsidR="00DE72E3" w:rsidRPr="00097516">
        <w:t>and/</w:t>
      </w:r>
      <w:r w:rsidR="00DE72E3" w:rsidRPr="00DE72E3">
        <w:t xml:space="preserve">or loss of phosphatase and </w:t>
      </w:r>
      <w:proofErr w:type="spellStart"/>
      <w:r w:rsidR="00DE72E3" w:rsidRPr="00DE72E3">
        <w:t>tensin</w:t>
      </w:r>
      <w:proofErr w:type="spellEnd"/>
      <w:r w:rsidR="00DE72E3" w:rsidRPr="00DE72E3">
        <w:t xml:space="preserve"> homolog (PTEN) expression</w:t>
      </w:r>
      <w:r w:rsidR="00143488">
        <w:t>)</w:t>
      </w:r>
      <w:r w:rsidR="00683F8A">
        <w:t>,</w:t>
      </w:r>
      <w:r w:rsidR="00DE72E3" w:rsidRPr="00DE72E3">
        <w:t xml:space="preserve"> </w:t>
      </w:r>
      <w:r w:rsidR="00DE72E3">
        <w:rPr>
          <w:lang w:val="en-GB"/>
        </w:rPr>
        <w:t>assessed largely in archival primary tumours</w:t>
      </w:r>
      <w:r w:rsidR="00683F8A">
        <w:rPr>
          <w:lang w:val="en-GB"/>
        </w:rPr>
        <w:t>,</w:t>
      </w:r>
      <w:r w:rsidR="00DE72E3">
        <w:rPr>
          <w:lang w:val="en-GB"/>
        </w:rPr>
        <w:t xml:space="preserve"> </w:t>
      </w:r>
      <w:r w:rsidR="00E76D3E">
        <w:rPr>
          <w:lang w:val="en-GB"/>
        </w:rPr>
        <w:t xml:space="preserve">did not predict benefit </w:t>
      </w:r>
      <w:r w:rsidR="004572CA">
        <w:rPr>
          <w:lang w:val="en-GB"/>
        </w:rPr>
        <w:t xml:space="preserve">from </w:t>
      </w:r>
      <w:proofErr w:type="spellStart"/>
      <w:r w:rsidR="004572CA">
        <w:rPr>
          <w:lang w:val="en-GB"/>
        </w:rPr>
        <w:t>buparlisib</w:t>
      </w:r>
      <w:proofErr w:type="spellEnd"/>
      <w:r w:rsidR="004572CA">
        <w:rPr>
          <w:lang w:val="en-GB"/>
        </w:rPr>
        <w:t xml:space="preserve"> </w:t>
      </w:r>
      <w:r w:rsidR="00E76D3E">
        <w:rPr>
          <w:lang w:val="en-GB"/>
        </w:rPr>
        <w:t>(</w:t>
      </w:r>
      <w:r w:rsidR="0024313C">
        <w:rPr>
          <w:lang w:val="en-GB"/>
        </w:rPr>
        <w:t>median 6.8 versus 4.0 months</w:t>
      </w:r>
      <w:r w:rsidR="003748CD">
        <w:rPr>
          <w:lang w:val="en-GB"/>
        </w:rPr>
        <w:t xml:space="preserve">; </w:t>
      </w:r>
      <w:r w:rsidR="0024313C">
        <w:rPr>
          <w:lang w:val="en-GB"/>
        </w:rPr>
        <w:t xml:space="preserve">HR=0.76; </w:t>
      </w:r>
      <w:r w:rsidR="009A0F5D">
        <w:rPr>
          <w:lang w:val="en-GB"/>
        </w:rPr>
        <w:t>p</w:t>
      </w:r>
      <w:r w:rsidR="0024313C">
        <w:rPr>
          <w:lang w:val="en-GB"/>
        </w:rPr>
        <w:t>=0.014</w:t>
      </w:r>
      <w:r w:rsidR="009E5298">
        <w:rPr>
          <w:lang w:val="en-GB"/>
        </w:rPr>
        <w:t>)</w:t>
      </w:r>
      <w:r w:rsidR="009A0F5D">
        <w:rPr>
          <w:lang w:val="en-GB"/>
        </w:rPr>
        <w:t xml:space="preserve">. Overall, the risk-benefit balance seen with </w:t>
      </w:r>
      <w:proofErr w:type="spellStart"/>
      <w:r w:rsidR="009A0F5D">
        <w:rPr>
          <w:lang w:val="en-GB"/>
        </w:rPr>
        <w:t>buparlisib</w:t>
      </w:r>
      <w:proofErr w:type="spellEnd"/>
      <w:r w:rsidR="009A0F5D">
        <w:rPr>
          <w:lang w:val="en-GB"/>
        </w:rPr>
        <w:t xml:space="preserve"> in </w:t>
      </w:r>
      <w:r w:rsidR="00545409">
        <w:rPr>
          <w:lang w:val="en-GB"/>
        </w:rPr>
        <w:t xml:space="preserve">BELLE-2 </w:t>
      </w:r>
      <w:r w:rsidR="002F0CBA">
        <w:rPr>
          <w:lang w:val="en-GB"/>
        </w:rPr>
        <w:t>does not clearly support widespread clinical use.</w:t>
      </w:r>
    </w:p>
    <w:p w14:paraId="37FF045E" w14:textId="77777777" w:rsidR="008B6221" w:rsidRPr="007B0718" w:rsidRDefault="008B6221" w:rsidP="00635431">
      <w:pPr>
        <w:jc w:val="both"/>
      </w:pPr>
    </w:p>
    <w:p w14:paraId="27129377" w14:textId="77777777" w:rsidR="00C60D70" w:rsidRPr="00371FB1" w:rsidRDefault="00C60D70" w:rsidP="00635431">
      <w:pPr>
        <w:jc w:val="both"/>
        <w:rPr>
          <w:lang w:val="en-GB"/>
        </w:rPr>
      </w:pPr>
    </w:p>
    <w:p w14:paraId="09C67D52" w14:textId="34C8C551" w:rsidR="00EA4532" w:rsidRDefault="00371FB1" w:rsidP="00635431">
      <w:pPr>
        <w:jc w:val="both"/>
        <w:rPr>
          <w:lang w:val="en-GB"/>
        </w:rPr>
      </w:pPr>
      <w:r>
        <w:rPr>
          <w:lang w:val="en-GB"/>
        </w:rPr>
        <w:t xml:space="preserve">The importance of BELLE-2 comes from </w:t>
      </w:r>
      <w:r w:rsidR="007B6396">
        <w:rPr>
          <w:lang w:val="en-GB"/>
        </w:rPr>
        <w:t>an</w:t>
      </w:r>
      <w:r w:rsidR="00D12C0D">
        <w:rPr>
          <w:lang w:val="en-GB"/>
        </w:rPr>
        <w:t xml:space="preserve"> exploratory endpoint </w:t>
      </w:r>
      <w:r w:rsidR="00A1410C">
        <w:t xml:space="preserve">using circulating </w:t>
      </w:r>
      <w:proofErr w:type="spellStart"/>
      <w:r w:rsidR="00A1410C">
        <w:t>tumour</w:t>
      </w:r>
      <w:proofErr w:type="spellEnd"/>
      <w:r w:rsidR="00A1410C">
        <w:t xml:space="preserve"> DNA</w:t>
      </w:r>
      <w:r w:rsidR="00C02D58">
        <w:t xml:space="preserve"> </w:t>
      </w:r>
      <w:r w:rsidR="00A1410C">
        <w:t>(</w:t>
      </w:r>
      <w:proofErr w:type="spellStart"/>
      <w:r w:rsidR="00C02D58">
        <w:t>ctDNA</w:t>
      </w:r>
      <w:proofErr w:type="spellEnd"/>
      <w:r w:rsidR="00A1410C">
        <w:t>)</w:t>
      </w:r>
      <w:r w:rsidR="007B6396">
        <w:t xml:space="preserve"> analysis with </w:t>
      </w:r>
      <w:proofErr w:type="spellStart"/>
      <w:r w:rsidR="007B6396">
        <w:t>BEAMing</w:t>
      </w:r>
      <w:proofErr w:type="spellEnd"/>
      <w:r w:rsidR="007B6396">
        <w:t xml:space="preserve"> digital PCR to identify hot-spot </w:t>
      </w:r>
      <w:r w:rsidR="007B6396">
        <w:rPr>
          <w:i/>
        </w:rPr>
        <w:t xml:space="preserve">PIK3CA </w:t>
      </w:r>
      <w:r w:rsidR="007B6396">
        <w:t xml:space="preserve">mutations in </w:t>
      </w:r>
      <w:r w:rsidR="00D12C0D">
        <w:t xml:space="preserve">baseline plasma samples </w:t>
      </w:r>
      <w:r w:rsidR="008D5D66">
        <w:t xml:space="preserve">at study entry. </w:t>
      </w:r>
      <w:r w:rsidR="005A30F9">
        <w:t>P</w:t>
      </w:r>
      <w:r w:rsidR="00C02D58">
        <w:t>atients</w:t>
      </w:r>
      <w:r w:rsidR="00A1410C">
        <w:t xml:space="preserve"> with </w:t>
      </w:r>
      <w:r w:rsidR="00A1410C" w:rsidRPr="00A609EE">
        <w:rPr>
          <w:i/>
        </w:rPr>
        <w:t>PIK3CA</w:t>
      </w:r>
      <w:r w:rsidR="00C02D58" w:rsidRPr="002469D1">
        <w:t xml:space="preserve"> mutation </w:t>
      </w:r>
      <w:r w:rsidR="003158F9">
        <w:t xml:space="preserve">detected </w:t>
      </w:r>
      <w:r w:rsidR="00B9482A">
        <w:t xml:space="preserve">in </w:t>
      </w:r>
      <w:proofErr w:type="spellStart"/>
      <w:r w:rsidR="00B9482A">
        <w:t>ctDNA</w:t>
      </w:r>
      <w:proofErr w:type="spellEnd"/>
      <w:r w:rsidR="00B9482A">
        <w:t xml:space="preserve"> </w:t>
      </w:r>
      <w:r w:rsidR="005A30F9" w:rsidRPr="002469D1">
        <w:t>derived</w:t>
      </w:r>
      <w:r w:rsidR="00C02D58" w:rsidRPr="002469D1">
        <w:t xml:space="preserve"> benefit from </w:t>
      </w:r>
      <w:proofErr w:type="spellStart"/>
      <w:r w:rsidR="00A609EE">
        <w:t>buparlisib</w:t>
      </w:r>
      <w:proofErr w:type="spellEnd"/>
      <w:r w:rsidR="00A609EE">
        <w:t xml:space="preserve"> </w:t>
      </w:r>
      <w:r w:rsidR="005A30F9" w:rsidRPr="002469D1">
        <w:t>(</w:t>
      </w:r>
      <w:r w:rsidR="00D12C0D" w:rsidRPr="002469D1">
        <w:t xml:space="preserve">median 7.0 </w:t>
      </w:r>
      <w:proofErr w:type="spellStart"/>
      <w:r w:rsidR="00D12C0D" w:rsidRPr="002469D1">
        <w:t>vs</w:t>
      </w:r>
      <w:proofErr w:type="spellEnd"/>
      <w:r w:rsidR="00D12C0D" w:rsidRPr="002469D1">
        <w:t xml:space="preserve"> 3.2 months</w:t>
      </w:r>
      <w:r w:rsidR="003158F9">
        <w:t xml:space="preserve">, </w:t>
      </w:r>
      <w:r w:rsidR="00D12C0D" w:rsidRPr="002469D1">
        <w:t>stratified HR 0.58</w:t>
      </w:r>
      <w:r w:rsidR="003158F9">
        <w:t>)</w:t>
      </w:r>
      <w:r w:rsidR="00D12C0D" w:rsidRPr="002469D1">
        <w:t xml:space="preserve"> </w:t>
      </w:r>
      <w:r w:rsidR="005A30F9" w:rsidRPr="002469D1">
        <w:t>while patients with</w:t>
      </w:r>
      <w:r w:rsidR="004E12F1">
        <w:t>out</w:t>
      </w:r>
      <w:r w:rsidR="005A30F9" w:rsidRPr="002469D1">
        <w:t xml:space="preserve"> </w:t>
      </w:r>
      <w:r w:rsidR="005A30F9" w:rsidRPr="00D30EC2">
        <w:rPr>
          <w:i/>
        </w:rPr>
        <w:t>PIK3CA</w:t>
      </w:r>
      <w:r w:rsidR="005A30F9" w:rsidRPr="002469D1">
        <w:t xml:space="preserve"> mutation</w:t>
      </w:r>
      <w:r w:rsidR="007B0718">
        <w:t>s</w:t>
      </w:r>
      <w:r w:rsidR="005A30F9" w:rsidRPr="002469D1">
        <w:t xml:space="preserve"> detected derived no</w:t>
      </w:r>
      <w:r w:rsidR="008B6221">
        <w:t xml:space="preserve"> </w:t>
      </w:r>
      <w:r w:rsidR="005A30F9" w:rsidRPr="002469D1">
        <w:t xml:space="preserve">benefit </w:t>
      </w:r>
      <w:r w:rsidR="00C739EC" w:rsidRPr="002469D1">
        <w:t xml:space="preserve">from </w:t>
      </w:r>
      <w:proofErr w:type="spellStart"/>
      <w:r w:rsidR="00C739EC">
        <w:t>buparlisib</w:t>
      </w:r>
      <w:proofErr w:type="spellEnd"/>
      <w:r w:rsidR="00C739EC">
        <w:t xml:space="preserve"> </w:t>
      </w:r>
      <w:r w:rsidR="005A30F9" w:rsidRPr="002469D1">
        <w:t>(</w:t>
      </w:r>
      <w:r w:rsidR="004E12F1">
        <w:t>medi</w:t>
      </w:r>
      <w:r w:rsidR="00EA4532">
        <w:t>a</w:t>
      </w:r>
      <w:r w:rsidR="004E12F1">
        <w:t xml:space="preserve">n </w:t>
      </w:r>
      <w:r w:rsidR="00D20681" w:rsidRPr="002469D1">
        <w:t xml:space="preserve">6·8 </w:t>
      </w:r>
      <w:proofErr w:type="spellStart"/>
      <w:r w:rsidR="00D20681" w:rsidRPr="007B0718">
        <w:t>vs</w:t>
      </w:r>
      <w:proofErr w:type="spellEnd"/>
      <w:r w:rsidR="00D20681" w:rsidRPr="007B0718">
        <w:t xml:space="preserve"> 6·8 months</w:t>
      </w:r>
      <w:r w:rsidR="004E12F1">
        <w:t xml:space="preserve">, </w:t>
      </w:r>
      <w:r w:rsidR="00D20681" w:rsidRPr="007B0718">
        <w:t>stratifi</w:t>
      </w:r>
      <w:r w:rsidR="002469D1" w:rsidRPr="002469D1">
        <w:t>ed HR 1.02</w:t>
      </w:r>
      <w:r w:rsidR="005A30F9" w:rsidRPr="002469D1">
        <w:t>)</w:t>
      </w:r>
      <w:r w:rsidR="00260A22" w:rsidRPr="002469D1">
        <w:t xml:space="preserve">. This benefit was seen despite </w:t>
      </w:r>
      <w:r w:rsidR="00260A22" w:rsidRPr="007B0718">
        <w:t>70% of pati</w:t>
      </w:r>
      <w:r w:rsidR="00545409" w:rsidRPr="007B0718">
        <w:t xml:space="preserve">ents on </w:t>
      </w:r>
      <w:proofErr w:type="spellStart"/>
      <w:r w:rsidR="00545409" w:rsidRPr="007B0718">
        <w:t>buparlisib</w:t>
      </w:r>
      <w:proofErr w:type="spellEnd"/>
      <w:r w:rsidR="00545409" w:rsidRPr="007B0718">
        <w:t xml:space="preserve"> requiring</w:t>
      </w:r>
      <w:r w:rsidR="00260A22" w:rsidRPr="007B0718">
        <w:t xml:space="preserve"> a dose reduction, delay or discontinuation </w:t>
      </w:r>
      <w:r w:rsidR="00545409" w:rsidRPr="007B0718">
        <w:t>and</w:t>
      </w:r>
      <w:r w:rsidR="00260A22" w:rsidRPr="007B0718">
        <w:t xml:space="preserve"> </w:t>
      </w:r>
      <w:r w:rsidR="00545409" w:rsidRPr="007B0718">
        <w:t>a</w:t>
      </w:r>
      <w:r w:rsidR="00260A22" w:rsidRPr="007B0718">
        <w:t xml:space="preserve"> median </w:t>
      </w:r>
      <w:r w:rsidR="00545409" w:rsidRPr="007B0718">
        <w:t>exposure to</w:t>
      </w:r>
      <w:r w:rsidR="00260A22" w:rsidRPr="007B0718">
        <w:t xml:space="preserve"> </w:t>
      </w:r>
      <w:proofErr w:type="spellStart"/>
      <w:r w:rsidR="00260A22" w:rsidRPr="007B0718">
        <w:t>buparlisib</w:t>
      </w:r>
      <w:proofErr w:type="spellEnd"/>
      <w:r w:rsidR="00260A22" w:rsidRPr="007B0718">
        <w:t xml:space="preserve"> </w:t>
      </w:r>
      <w:r w:rsidR="00545409" w:rsidRPr="007B0718">
        <w:t xml:space="preserve">of </w:t>
      </w:r>
      <w:r w:rsidR="00260A22" w:rsidRPr="007B0718">
        <w:t>only 1.9 months</w:t>
      </w:r>
      <w:r w:rsidR="00545409" w:rsidRPr="007B0718">
        <w:t xml:space="preserve">. </w:t>
      </w:r>
      <w:r w:rsidR="00F05953" w:rsidRPr="007B0718">
        <w:t xml:space="preserve"> Although exploratory, </w:t>
      </w:r>
      <w:r w:rsidR="0050716A" w:rsidRPr="007B0718">
        <w:t>this</w:t>
      </w:r>
      <w:r w:rsidR="00FA20DF" w:rsidRPr="007B0718">
        <w:t xml:space="preserve"> analysis strongly suggests that </w:t>
      </w:r>
      <w:r w:rsidR="00FA20DF" w:rsidRPr="007B0718">
        <w:rPr>
          <w:i/>
        </w:rPr>
        <w:t>PIK3CA</w:t>
      </w:r>
      <w:r w:rsidR="00FA20DF" w:rsidRPr="007B0718">
        <w:t xml:space="preserve"> is targetable in the clinic, </w:t>
      </w:r>
      <w:r w:rsidR="0006403C" w:rsidRPr="007B0718">
        <w:t xml:space="preserve">although </w:t>
      </w:r>
      <w:r w:rsidR="009C0F28" w:rsidRPr="007B0718">
        <w:t>more</w:t>
      </w:r>
      <w:r w:rsidR="00FA20DF" w:rsidRPr="007B0718">
        <w:t xml:space="preserve"> tolerable </w:t>
      </w:r>
      <w:r w:rsidR="00BE2482">
        <w:t>PI3 kinase</w:t>
      </w:r>
      <w:r w:rsidR="00D20681" w:rsidRPr="007B0718">
        <w:t xml:space="preserve"> </w:t>
      </w:r>
      <w:r w:rsidR="00FA20DF" w:rsidRPr="007B0718">
        <w:t xml:space="preserve">inhibitors </w:t>
      </w:r>
      <w:r w:rsidR="009C0F28" w:rsidRPr="007B0718">
        <w:t>are required to</w:t>
      </w:r>
      <w:r w:rsidR="00FA20DF" w:rsidRPr="007B0718">
        <w:t xml:space="preserve"> </w:t>
      </w:r>
      <w:r w:rsidR="00EF4D4D" w:rsidRPr="007B0718">
        <w:t>exploit this potential</w:t>
      </w:r>
      <w:r w:rsidR="00FA20DF" w:rsidRPr="007B0718">
        <w:t>.</w:t>
      </w:r>
      <w:r w:rsidR="00FA20DF">
        <w:rPr>
          <w:lang w:val="en-GB"/>
        </w:rPr>
        <w:t xml:space="preserve"> </w:t>
      </w:r>
      <w:r w:rsidR="00EA4532">
        <w:rPr>
          <w:lang w:val="en-GB"/>
        </w:rPr>
        <w:t xml:space="preserve">PI3 kinase has multiple catalytic subunits, and the toxicity from </w:t>
      </w:r>
      <w:proofErr w:type="spellStart"/>
      <w:r w:rsidR="00EA4532">
        <w:rPr>
          <w:lang w:val="en-GB"/>
        </w:rPr>
        <w:t>buparlisib</w:t>
      </w:r>
      <w:proofErr w:type="spellEnd"/>
      <w:r w:rsidR="00EA4532">
        <w:rPr>
          <w:lang w:val="en-GB"/>
        </w:rPr>
        <w:t xml:space="preserve"> results</w:t>
      </w:r>
      <w:r w:rsidR="00635431">
        <w:rPr>
          <w:lang w:val="en-GB"/>
        </w:rPr>
        <w:t xml:space="preserve"> in part</w:t>
      </w:r>
      <w:r w:rsidR="00EA4532">
        <w:rPr>
          <w:lang w:val="en-GB"/>
        </w:rPr>
        <w:t xml:space="preserve"> from non-selective inhibition of all four isoforms of class I PI3 kinases (</w:t>
      </w:r>
      <w:r w:rsidR="00EA4532">
        <w:rPr>
          <w:lang w:val="en-GB"/>
        </w:rPr>
        <w:sym w:font="Symbol" w:char="F061"/>
      </w:r>
      <w:r w:rsidR="00EA4532">
        <w:rPr>
          <w:lang w:val="en-GB"/>
        </w:rPr>
        <w:t>,</w:t>
      </w:r>
      <w:r w:rsidR="00EA4532">
        <w:rPr>
          <w:lang w:val="en-GB"/>
        </w:rPr>
        <w:sym w:font="Symbol" w:char="F062"/>
      </w:r>
      <w:r w:rsidR="00EA4532">
        <w:rPr>
          <w:lang w:val="en-GB"/>
        </w:rPr>
        <w:t>,</w:t>
      </w:r>
      <w:r w:rsidR="00EA4532">
        <w:rPr>
          <w:lang w:val="en-GB"/>
        </w:rPr>
        <w:sym w:font="Symbol" w:char="F067"/>
      </w:r>
      <w:r w:rsidR="00EA4532">
        <w:rPr>
          <w:lang w:val="en-GB"/>
        </w:rPr>
        <w:t>,</w:t>
      </w:r>
      <w:r w:rsidR="00EA4532">
        <w:rPr>
          <w:lang w:val="en-GB"/>
        </w:rPr>
        <w:sym w:font="Symbol" w:char="F064"/>
      </w:r>
      <w:r w:rsidR="00EA4532">
        <w:rPr>
          <w:lang w:val="en-GB"/>
        </w:rPr>
        <w:t xml:space="preserve">). More selective inhibition of the mutant alpha </w:t>
      </w:r>
      <w:r w:rsidR="00EA4532" w:rsidRPr="00097516">
        <w:rPr>
          <w:i/>
          <w:lang w:val="en-GB"/>
        </w:rPr>
        <w:t>PIK3CA</w:t>
      </w:r>
      <w:r w:rsidR="00EA4532">
        <w:rPr>
          <w:lang w:val="en-GB"/>
        </w:rPr>
        <w:t xml:space="preserve"> subunit has the potential to open the therapeutic window, and improve efficacy through more potent inhibition of PI3 kinase in tumour cells</w:t>
      </w:r>
      <w:r w:rsidR="00BD7E0E">
        <w:rPr>
          <w:vertAlign w:val="superscript"/>
          <w:lang w:val="en-GB"/>
        </w:rPr>
        <w:t>8</w:t>
      </w:r>
      <w:proofErr w:type="gramStart"/>
      <w:r w:rsidR="00BD7E0E">
        <w:rPr>
          <w:vertAlign w:val="superscript"/>
          <w:lang w:val="en-GB"/>
        </w:rPr>
        <w:t>,9</w:t>
      </w:r>
      <w:proofErr w:type="gramEnd"/>
      <w:r w:rsidR="00EA4532">
        <w:rPr>
          <w:lang w:val="en-GB"/>
        </w:rPr>
        <w:t xml:space="preserve">. </w:t>
      </w:r>
      <w:proofErr w:type="gramStart"/>
      <w:r w:rsidR="00EA4532">
        <w:rPr>
          <w:lang w:val="en-GB"/>
        </w:rPr>
        <w:t>Results</w:t>
      </w:r>
      <w:proofErr w:type="gramEnd"/>
      <w:r w:rsidR="00EA4532">
        <w:rPr>
          <w:lang w:val="en-GB"/>
        </w:rPr>
        <w:t xml:space="preserve"> from two phase III studies of more </w:t>
      </w:r>
      <w:r w:rsidR="00345041">
        <w:rPr>
          <w:lang w:val="en-GB"/>
        </w:rPr>
        <w:t xml:space="preserve">alpha </w:t>
      </w:r>
      <w:r w:rsidR="00EA4532">
        <w:rPr>
          <w:lang w:val="en-GB"/>
        </w:rPr>
        <w:t>selective PI3 kinase inhibitors are awaited, SOLAR-1 (</w:t>
      </w:r>
      <w:proofErr w:type="spellStart"/>
      <w:r w:rsidR="00EA4532">
        <w:rPr>
          <w:lang w:val="en-GB"/>
        </w:rPr>
        <w:t>alpelisib</w:t>
      </w:r>
      <w:proofErr w:type="spellEnd"/>
      <w:r w:rsidR="00EA4532">
        <w:rPr>
          <w:lang w:val="en-GB"/>
        </w:rPr>
        <w:t xml:space="preserve"> and </w:t>
      </w:r>
      <w:proofErr w:type="spellStart"/>
      <w:r w:rsidR="00EA4532">
        <w:rPr>
          <w:lang w:val="en-GB"/>
        </w:rPr>
        <w:t>fulvestrant</w:t>
      </w:r>
      <w:proofErr w:type="spellEnd"/>
      <w:r w:rsidR="00EA4532">
        <w:rPr>
          <w:lang w:val="en-GB"/>
        </w:rPr>
        <w:t xml:space="preserve">, </w:t>
      </w:r>
      <w:r w:rsidR="00EA4532" w:rsidRPr="00CC17E2">
        <w:rPr>
          <w:lang w:val="en-GB"/>
        </w:rPr>
        <w:t>NCT02437318</w:t>
      </w:r>
      <w:r w:rsidR="00EA4532">
        <w:rPr>
          <w:lang w:val="en-GB"/>
        </w:rPr>
        <w:t>) and SANDPIPER (</w:t>
      </w:r>
      <w:proofErr w:type="spellStart"/>
      <w:r w:rsidR="00EA4532">
        <w:rPr>
          <w:lang w:val="en-GB"/>
        </w:rPr>
        <w:t>taselisib</w:t>
      </w:r>
      <w:proofErr w:type="spellEnd"/>
      <w:r w:rsidR="00EA4532">
        <w:rPr>
          <w:lang w:val="en-GB"/>
        </w:rPr>
        <w:t xml:space="preserve"> and </w:t>
      </w:r>
      <w:proofErr w:type="spellStart"/>
      <w:r w:rsidR="00EA4532">
        <w:rPr>
          <w:lang w:val="en-GB"/>
        </w:rPr>
        <w:t>fulvestrant</w:t>
      </w:r>
      <w:proofErr w:type="spellEnd"/>
      <w:r w:rsidR="00EA4532">
        <w:rPr>
          <w:lang w:val="en-GB"/>
        </w:rPr>
        <w:t xml:space="preserve">, </w:t>
      </w:r>
      <w:r w:rsidR="00EA4532" w:rsidRPr="00CC17E2">
        <w:rPr>
          <w:lang w:val="en-GB"/>
        </w:rPr>
        <w:t>NCT02340221</w:t>
      </w:r>
      <w:r w:rsidR="00EA4532">
        <w:rPr>
          <w:lang w:val="en-GB"/>
        </w:rPr>
        <w:t>).</w:t>
      </w:r>
    </w:p>
    <w:p w14:paraId="3A42DB6B" w14:textId="77777777" w:rsidR="00F05953" w:rsidRDefault="00F05953" w:rsidP="00635431">
      <w:pPr>
        <w:jc w:val="both"/>
        <w:rPr>
          <w:lang w:val="en-GB"/>
        </w:rPr>
      </w:pPr>
    </w:p>
    <w:p w14:paraId="1E6307DB" w14:textId="15F271ED" w:rsidR="006C20A3" w:rsidRDefault="004D415E" w:rsidP="00635431">
      <w:pPr>
        <w:jc w:val="both"/>
      </w:pPr>
      <w:r>
        <w:t>BELLE-2 is also important in providing exploratory</w:t>
      </w:r>
      <w:r w:rsidR="00C1330D">
        <w:t>,</w:t>
      </w:r>
      <w:r>
        <w:t xml:space="preserve"> and preliminary</w:t>
      </w:r>
      <w:r w:rsidR="00C1330D">
        <w:t xml:space="preserve"> </w:t>
      </w:r>
      <w:r>
        <w:t xml:space="preserve">evidence of clinical utility for </w:t>
      </w:r>
      <w:proofErr w:type="spellStart"/>
      <w:r w:rsidR="008D5D66">
        <w:t>ctDNA</w:t>
      </w:r>
      <w:proofErr w:type="spellEnd"/>
      <w:r w:rsidR="009B5DE2">
        <w:t xml:space="preserve"> analysis</w:t>
      </w:r>
      <w:r w:rsidR="00A50B17">
        <w:t xml:space="preserve"> </w:t>
      </w:r>
      <w:r>
        <w:t>in breast cancer.</w:t>
      </w:r>
      <w:r w:rsidR="00A50B17">
        <w:t xml:space="preserve"> </w:t>
      </w:r>
      <w:r w:rsidR="001960CF">
        <w:t xml:space="preserve">Identifying </w:t>
      </w:r>
      <w:r w:rsidR="000115DE" w:rsidRPr="003D5017">
        <w:rPr>
          <w:i/>
        </w:rPr>
        <w:t>PIK3CA</w:t>
      </w:r>
      <w:r w:rsidR="001960CF">
        <w:rPr>
          <w:i/>
        </w:rPr>
        <w:t xml:space="preserve"> </w:t>
      </w:r>
      <w:r w:rsidR="001960CF" w:rsidRPr="007B0718">
        <w:t>mutation</w:t>
      </w:r>
      <w:r w:rsidR="00E9731C">
        <w:t>s</w:t>
      </w:r>
      <w:r w:rsidR="001960CF" w:rsidRPr="008B6221">
        <w:rPr>
          <w:i/>
        </w:rPr>
        <w:t xml:space="preserve"> </w:t>
      </w:r>
      <w:r w:rsidR="001960CF" w:rsidRPr="007B0718">
        <w:t xml:space="preserve">by </w:t>
      </w:r>
      <w:proofErr w:type="spellStart"/>
      <w:r w:rsidR="001960CF" w:rsidRPr="007B0718">
        <w:t>ctDNA</w:t>
      </w:r>
      <w:proofErr w:type="spellEnd"/>
      <w:r w:rsidR="001960CF" w:rsidRPr="008B6221">
        <w:rPr>
          <w:i/>
        </w:rPr>
        <w:t xml:space="preserve"> </w:t>
      </w:r>
      <w:r w:rsidR="000115DE">
        <w:t xml:space="preserve">appeared to predict benefit from </w:t>
      </w:r>
      <w:proofErr w:type="spellStart"/>
      <w:r w:rsidR="000115DE">
        <w:t>buparlisib</w:t>
      </w:r>
      <w:proofErr w:type="spellEnd"/>
      <w:r w:rsidR="000115DE">
        <w:t xml:space="preserve"> more accurately than </w:t>
      </w:r>
      <w:r w:rsidR="008D5D66">
        <w:t xml:space="preserve">archival </w:t>
      </w:r>
      <w:r w:rsidR="000115DE">
        <w:t>tumor analysis</w:t>
      </w:r>
      <w:r w:rsidR="00F05953">
        <w:t xml:space="preserve">. </w:t>
      </w:r>
      <w:r w:rsidR="00B7752B">
        <w:t>Although p</w:t>
      </w:r>
      <w:r w:rsidR="00B408BD">
        <w:t>otentially providing</w:t>
      </w:r>
      <w:r w:rsidR="00B7752B">
        <w:t xml:space="preserve"> evidence that </w:t>
      </w:r>
      <w:proofErr w:type="spellStart"/>
      <w:r w:rsidR="00B7752B">
        <w:t>ctDNA</w:t>
      </w:r>
      <w:proofErr w:type="spellEnd"/>
      <w:r w:rsidR="00B7752B">
        <w:t xml:space="preserve"> provides a more current and accurate assessment of </w:t>
      </w:r>
      <w:proofErr w:type="spellStart"/>
      <w:r w:rsidR="00B7752B">
        <w:t>tumour</w:t>
      </w:r>
      <w:proofErr w:type="spellEnd"/>
      <w:r w:rsidR="00B7752B">
        <w:t xml:space="preserve"> genetics</w:t>
      </w:r>
      <w:r w:rsidR="00D566D0">
        <w:t xml:space="preserve">, in this particular instance the </w:t>
      </w:r>
      <w:r w:rsidR="00B7752B">
        <w:t xml:space="preserve">relatively high discordance between </w:t>
      </w:r>
      <w:proofErr w:type="spellStart"/>
      <w:r w:rsidR="00B7752B">
        <w:t>ctDNA</w:t>
      </w:r>
      <w:proofErr w:type="spellEnd"/>
      <w:r w:rsidR="00B7752B">
        <w:t xml:space="preserve"> and primary </w:t>
      </w:r>
      <w:proofErr w:type="spellStart"/>
      <w:r w:rsidR="00B7752B">
        <w:t>tumour</w:t>
      </w:r>
      <w:proofErr w:type="spellEnd"/>
      <w:r w:rsidR="00B7752B">
        <w:t xml:space="preserve"> (discordance in 25%</w:t>
      </w:r>
      <w:r w:rsidR="00DD405B">
        <w:t xml:space="preserve"> </w:t>
      </w:r>
      <w:r w:rsidR="008D5D66">
        <w:t xml:space="preserve">of </w:t>
      </w:r>
      <w:r w:rsidR="00DD405B">
        <w:t>patients</w:t>
      </w:r>
      <w:r w:rsidR="00B7752B">
        <w:t xml:space="preserve">) </w:t>
      </w:r>
      <w:r w:rsidR="00A97BE6">
        <w:t xml:space="preserve">may </w:t>
      </w:r>
      <w:r w:rsidR="00C31830">
        <w:t xml:space="preserve">originate </w:t>
      </w:r>
      <w:r w:rsidR="004C3E5D">
        <w:t xml:space="preserve">from </w:t>
      </w:r>
      <w:r w:rsidR="00A00C91">
        <w:t>technical</w:t>
      </w:r>
      <w:r w:rsidR="00BF76F8">
        <w:t xml:space="preserve"> </w:t>
      </w:r>
      <w:r w:rsidR="00B7752B">
        <w:t>differences</w:t>
      </w:r>
      <w:r w:rsidR="00B408BD">
        <w:t xml:space="preserve"> in analysis</w:t>
      </w:r>
      <w:r w:rsidR="00512C80">
        <w:t>;</w:t>
      </w:r>
      <w:r w:rsidR="00506A2B">
        <w:t xml:space="preserve"> </w:t>
      </w:r>
      <w:proofErr w:type="spellStart"/>
      <w:r w:rsidR="00E02D54">
        <w:t>c</w:t>
      </w:r>
      <w:r w:rsidR="00B408BD">
        <w:t>tDNA</w:t>
      </w:r>
      <w:proofErr w:type="spellEnd"/>
      <w:r w:rsidR="00B408BD">
        <w:t xml:space="preserve"> </w:t>
      </w:r>
      <w:r w:rsidR="00E02D54">
        <w:t xml:space="preserve">was </w:t>
      </w:r>
      <w:proofErr w:type="spellStart"/>
      <w:r w:rsidR="00E02D54">
        <w:t>analysed</w:t>
      </w:r>
      <w:proofErr w:type="spellEnd"/>
      <w:r w:rsidR="00E02D54">
        <w:t xml:space="preserve"> with</w:t>
      </w:r>
      <w:r w:rsidR="00B408BD">
        <w:t xml:space="preserve"> highly sensitive </w:t>
      </w:r>
      <w:proofErr w:type="spellStart"/>
      <w:r w:rsidR="00B408BD">
        <w:t>BEAMing</w:t>
      </w:r>
      <w:proofErr w:type="spellEnd"/>
      <w:r w:rsidR="00B408BD">
        <w:t xml:space="preserve"> digital PCR</w:t>
      </w:r>
      <w:r w:rsidR="00657621">
        <w:t xml:space="preserve">, </w:t>
      </w:r>
      <w:r w:rsidR="00B408BD">
        <w:t>while prima</w:t>
      </w:r>
      <w:r w:rsidR="00506A2B">
        <w:t xml:space="preserve">ry </w:t>
      </w:r>
      <w:proofErr w:type="spellStart"/>
      <w:r w:rsidR="00506A2B">
        <w:t>t</w:t>
      </w:r>
      <w:r w:rsidR="00B7752B">
        <w:t>umour</w:t>
      </w:r>
      <w:proofErr w:type="spellEnd"/>
      <w:r w:rsidR="00B7752B">
        <w:t xml:space="preserve"> analysis was do</w:t>
      </w:r>
      <w:r w:rsidR="00506A2B">
        <w:t xml:space="preserve">ne </w:t>
      </w:r>
      <w:r w:rsidR="005248F0">
        <w:t xml:space="preserve">by </w:t>
      </w:r>
      <w:r w:rsidR="00506A2B">
        <w:t>relatively insensitive S</w:t>
      </w:r>
      <w:r w:rsidR="00B7752B">
        <w:t>anger sequencing, a technique that h</w:t>
      </w:r>
      <w:r w:rsidR="00506A2B">
        <w:t>as now been largely superseded.</w:t>
      </w:r>
      <w:r w:rsidR="00B7752B">
        <w:t xml:space="preserve"> </w:t>
      </w:r>
      <w:r w:rsidR="00C36248">
        <w:t xml:space="preserve">Recently reported results from the phase III BELLE-3 </w:t>
      </w:r>
      <w:r w:rsidR="00BD7E0E">
        <w:t>trial</w:t>
      </w:r>
      <w:r w:rsidR="00BD7E0E">
        <w:rPr>
          <w:vertAlign w:val="superscript"/>
        </w:rPr>
        <w:t>10</w:t>
      </w:r>
      <w:r w:rsidR="00C36248">
        <w:t xml:space="preserve">, also of </w:t>
      </w:r>
      <w:proofErr w:type="spellStart"/>
      <w:r w:rsidR="00C36248">
        <w:t>buparlisib</w:t>
      </w:r>
      <w:proofErr w:type="spellEnd"/>
      <w:r w:rsidR="00C36248">
        <w:t xml:space="preserve"> and </w:t>
      </w:r>
      <w:proofErr w:type="spellStart"/>
      <w:r w:rsidR="00C36248">
        <w:t>fulvestrant</w:t>
      </w:r>
      <w:proofErr w:type="spellEnd"/>
      <w:r w:rsidR="00C36248">
        <w:t xml:space="preserve"> but </w:t>
      </w:r>
      <w:r w:rsidR="007B57CA">
        <w:t xml:space="preserve">after progression on </w:t>
      </w:r>
      <w:proofErr w:type="spellStart"/>
      <w:r w:rsidR="007B57CA">
        <w:t>everolimus</w:t>
      </w:r>
      <w:proofErr w:type="spellEnd"/>
      <w:r w:rsidR="00C36248">
        <w:t xml:space="preserve">, showed 17% discordance in </w:t>
      </w:r>
      <w:r w:rsidR="00C36248" w:rsidRPr="002E535B">
        <w:rPr>
          <w:i/>
        </w:rPr>
        <w:t>PIK3CA</w:t>
      </w:r>
      <w:r w:rsidR="00C36248">
        <w:t xml:space="preserve"> mutations between primary </w:t>
      </w:r>
      <w:proofErr w:type="spellStart"/>
      <w:r w:rsidR="00C36248">
        <w:t>tumour</w:t>
      </w:r>
      <w:proofErr w:type="spellEnd"/>
      <w:r w:rsidR="00C36248">
        <w:t xml:space="preserve"> by PCR and </w:t>
      </w:r>
      <w:proofErr w:type="spellStart"/>
      <w:r w:rsidR="00C36248">
        <w:t>ctDNA</w:t>
      </w:r>
      <w:proofErr w:type="spellEnd"/>
      <w:r w:rsidR="00C36248">
        <w:t xml:space="preserve"> by </w:t>
      </w:r>
      <w:proofErr w:type="spellStart"/>
      <w:r w:rsidR="00C36248">
        <w:t>BEAMing</w:t>
      </w:r>
      <w:proofErr w:type="spellEnd"/>
      <w:r w:rsidR="00C36248">
        <w:t xml:space="preserve">, and showed a significant PFS benefit from </w:t>
      </w:r>
      <w:proofErr w:type="spellStart"/>
      <w:r w:rsidR="00C36248">
        <w:t>buparlisib</w:t>
      </w:r>
      <w:proofErr w:type="spellEnd"/>
      <w:r w:rsidR="00C36248">
        <w:t xml:space="preserve"> in </w:t>
      </w:r>
      <w:r w:rsidR="00C36248" w:rsidRPr="00880CDA">
        <w:rPr>
          <w:i/>
        </w:rPr>
        <w:t>PIK3CA</w:t>
      </w:r>
      <w:r w:rsidR="00C36248">
        <w:t xml:space="preserve"> mutant cancers detected by both methods. </w:t>
      </w:r>
      <w:r w:rsidR="004F6615">
        <w:t xml:space="preserve">Nevertheless, </w:t>
      </w:r>
      <w:r w:rsidR="006B3AA9">
        <w:t>BELLE</w:t>
      </w:r>
      <w:r w:rsidR="003A5A25">
        <w:t>-</w:t>
      </w:r>
      <w:r w:rsidR="006B3AA9">
        <w:t>2</w:t>
      </w:r>
      <w:r w:rsidR="00593380">
        <w:t xml:space="preserve"> provides further evidence to support measuring </w:t>
      </w:r>
      <w:r w:rsidR="00821A78">
        <w:t xml:space="preserve">biomarkers at study entry, </w:t>
      </w:r>
      <w:r w:rsidR="005A6F32">
        <w:t>and</w:t>
      </w:r>
      <w:r w:rsidR="00821A78">
        <w:t xml:space="preserve"> </w:t>
      </w:r>
      <w:r w:rsidR="00D30EC2">
        <w:t xml:space="preserve">use of </w:t>
      </w:r>
      <w:proofErr w:type="spellStart"/>
      <w:r w:rsidR="00637AFE">
        <w:t>ctDNA</w:t>
      </w:r>
      <w:proofErr w:type="spellEnd"/>
      <w:r w:rsidR="00637AFE">
        <w:t xml:space="preserve"> </w:t>
      </w:r>
      <w:r w:rsidR="005A6F32">
        <w:t>liquid biopsies to assess mutation status</w:t>
      </w:r>
      <w:r w:rsidR="00C66490">
        <w:t>.</w:t>
      </w:r>
    </w:p>
    <w:p w14:paraId="1D24BA1C" w14:textId="77777777" w:rsidR="00821A78" w:rsidRDefault="00821A78" w:rsidP="00635431">
      <w:pPr>
        <w:jc w:val="both"/>
      </w:pPr>
    </w:p>
    <w:p w14:paraId="5BC2283A" w14:textId="78154D50" w:rsidR="00D93B8D" w:rsidRPr="00410CDB" w:rsidRDefault="009E3074" w:rsidP="00635431">
      <w:pPr>
        <w:jc w:val="both"/>
      </w:pPr>
      <w:r>
        <w:t xml:space="preserve">It </w:t>
      </w:r>
      <w:r w:rsidR="00D30EC2">
        <w:t xml:space="preserve">has been </w:t>
      </w:r>
      <w:r>
        <w:t>challeng</w:t>
      </w:r>
      <w:r w:rsidR="00D30EC2">
        <w:t>ing</w:t>
      </w:r>
      <w:r>
        <w:t xml:space="preserve"> to</w:t>
      </w:r>
      <w:r w:rsidR="00410CDB">
        <w:t xml:space="preserve"> </w:t>
      </w:r>
      <w:r>
        <w:t>translate</w:t>
      </w:r>
      <w:r w:rsidR="00410CDB">
        <w:t xml:space="preserve"> the potential of targeting </w:t>
      </w:r>
      <w:r w:rsidR="00410CDB">
        <w:rPr>
          <w:i/>
        </w:rPr>
        <w:t>PIK3CA</w:t>
      </w:r>
      <w:r w:rsidR="00410CDB">
        <w:t xml:space="preserve"> mutation</w:t>
      </w:r>
      <w:r w:rsidR="004B5ED0">
        <w:t>s</w:t>
      </w:r>
      <w:r w:rsidR="00410CDB">
        <w:t xml:space="preserve"> through to the clinic. BELLE-2 is a highly promising step along the way, providing the first convincing evidence that drugs that target </w:t>
      </w:r>
      <w:r w:rsidR="00BE2482">
        <w:t>PI3 kinase</w:t>
      </w:r>
      <w:r w:rsidR="00410CDB">
        <w:t xml:space="preserve"> can </w:t>
      </w:r>
      <w:r w:rsidR="00923A3C">
        <w:t xml:space="preserve">have </w:t>
      </w:r>
      <w:r w:rsidR="006F6BA6">
        <w:t xml:space="preserve">selective </w:t>
      </w:r>
      <w:r w:rsidR="00923A3C">
        <w:t xml:space="preserve">activity </w:t>
      </w:r>
      <w:r w:rsidR="00410CDB">
        <w:t xml:space="preserve">in patients with </w:t>
      </w:r>
      <w:r w:rsidR="00410CDB">
        <w:rPr>
          <w:i/>
        </w:rPr>
        <w:t>PIK3CA</w:t>
      </w:r>
      <w:r w:rsidR="00410CDB">
        <w:t xml:space="preserve"> mutant cancers. </w:t>
      </w:r>
      <w:r w:rsidR="00570AC0">
        <w:t xml:space="preserve">There is </w:t>
      </w:r>
      <w:r w:rsidR="00084CDB">
        <w:t xml:space="preserve">substantial </w:t>
      </w:r>
      <w:r w:rsidR="00570AC0">
        <w:t>cause for optimism that</w:t>
      </w:r>
      <w:r w:rsidR="00342B48">
        <w:t xml:space="preserve"> more</w:t>
      </w:r>
      <w:r w:rsidR="00570AC0">
        <w:t xml:space="preserve"> selective </w:t>
      </w:r>
      <w:r w:rsidR="00BE2482">
        <w:t>PI3 kinase</w:t>
      </w:r>
      <w:r w:rsidR="00570AC0">
        <w:t xml:space="preserve"> inhibitors w</w:t>
      </w:r>
      <w:r w:rsidR="00FA17E5">
        <w:t>ill emerge from current</w:t>
      </w:r>
      <w:r w:rsidR="00922461">
        <w:t xml:space="preserve"> </w:t>
      </w:r>
      <w:r w:rsidR="00FA17E5">
        <w:t>studies</w:t>
      </w:r>
      <w:r w:rsidR="00570AC0">
        <w:t xml:space="preserve"> into a routine clinical practice.</w:t>
      </w:r>
    </w:p>
    <w:p w14:paraId="71C4753A" w14:textId="77777777" w:rsidR="00943387" w:rsidRDefault="00943387" w:rsidP="00635431">
      <w:pPr>
        <w:jc w:val="both"/>
      </w:pPr>
    </w:p>
    <w:p w14:paraId="12517751" w14:textId="67AF3337" w:rsidR="0078473E" w:rsidRDefault="00A00B87" w:rsidP="00635431">
      <w:pPr>
        <w:spacing w:before="0" w:after="0" w:line="240" w:lineRule="auto"/>
        <w:jc w:val="both"/>
        <w:rPr>
          <w:lang w:val="en-GB"/>
        </w:rPr>
      </w:pPr>
      <w:r>
        <w:rPr>
          <w:lang w:val="en-GB"/>
        </w:rPr>
        <w:t>References</w:t>
      </w:r>
    </w:p>
    <w:p w14:paraId="7D764DCA" w14:textId="77777777" w:rsidR="001F1D6A" w:rsidRDefault="001F1D6A" w:rsidP="00635431">
      <w:pPr>
        <w:jc w:val="both"/>
      </w:pPr>
    </w:p>
    <w:p w14:paraId="731A805D" w14:textId="46EF644E" w:rsidR="008D5D66" w:rsidRDefault="008D5D66" w:rsidP="00635431">
      <w:pPr>
        <w:pStyle w:val="ListParagraph"/>
        <w:numPr>
          <w:ilvl w:val="0"/>
          <w:numId w:val="2"/>
        </w:numPr>
        <w:jc w:val="both"/>
      </w:pPr>
      <w:r w:rsidRPr="001F1D6A">
        <w:t>Miller TW, Hennessy BT, Gonzalez-</w:t>
      </w:r>
      <w:proofErr w:type="spellStart"/>
      <w:r w:rsidRPr="001F1D6A">
        <w:t>Angulo</w:t>
      </w:r>
      <w:proofErr w:type="spellEnd"/>
      <w:r w:rsidRPr="001F1D6A">
        <w:t xml:space="preserve"> AM, et al. </w:t>
      </w:r>
      <w:proofErr w:type="spellStart"/>
      <w:r w:rsidRPr="001F1D6A">
        <w:t>Hyperactivation</w:t>
      </w:r>
      <w:proofErr w:type="spellEnd"/>
      <w:r w:rsidRPr="001F1D6A">
        <w:t xml:space="preserve"> of phosphatidylinositol-3 kinase promotes escape from hormone dependence in estrogen receptor-positive human breast cancer. J </w:t>
      </w:r>
      <w:proofErr w:type="spellStart"/>
      <w:r w:rsidRPr="001F1D6A">
        <w:t>Clin</w:t>
      </w:r>
      <w:proofErr w:type="spellEnd"/>
      <w:r w:rsidRPr="001F1D6A">
        <w:t xml:space="preserve"> Invest 2010; 120: 2406-13</w:t>
      </w:r>
    </w:p>
    <w:p w14:paraId="68E7CC57" w14:textId="77777777" w:rsidR="008D5D66" w:rsidRDefault="008D5D66" w:rsidP="007B0718">
      <w:pPr>
        <w:pStyle w:val="ListParagraph"/>
        <w:jc w:val="both"/>
      </w:pPr>
    </w:p>
    <w:p w14:paraId="2E047E84" w14:textId="14500A7A" w:rsidR="001F1D6A" w:rsidRPr="001F1D6A" w:rsidRDefault="001F1D6A" w:rsidP="00635431">
      <w:pPr>
        <w:pStyle w:val="ListParagraph"/>
        <w:numPr>
          <w:ilvl w:val="0"/>
          <w:numId w:val="2"/>
        </w:numPr>
        <w:jc w:val="both"/>
      </w:pPr>
      <w:r w:rsidRPr="001F1D6A">
        <w:t xml:space="preserve">Bosch A, Li Z, </w:t>
      </w:r>
      <w:proofErr w:type="spellStart"/>
      <w:r w:rsidRPr="001F1D6A">
        <w:t>Bergamaschi</w:t>
      </w:r>
      <w:proofErr w:type="spellEnd"/>
      <w:r w:rsidRPr="001F1D6A">
        <w:t xml:space="preserve"> A, et al. </w:t>
      </w:r>
      <w:r w:rsidR="00BE2482">
        <w:t>PI3 kinase</w:t>
      </w:r>
      <w:r w:rsidRPr="001F1D6A">
        <w:t xml:space="preserve"> inhibition results in enhanced estrogen</w:t>
      </w:r>
      <w:r w:rsidRPr="001F1D6A">
        <w:rPr>
          <w:sz w:val="17"/>
          <w:szCs w:val="17"/>
        </w:rPr>
        <w:t xml:space="preserve"> </w:t>
      </w:r>
      <w:r w:rsidRPr="001F1D6A">
        <w:t xml:space="preserve">receptor function and dependence in hormone receptor–positive breast cancer. </w:t>
      </w:r>
      <w:proofErr w:type="spellStart"/>
      <w:r w:rsidRPr="001F1D6A">
        <w:t>Sci</w:t>
      </w:r>
      <w:proofErr w:type="spellEnd"/>
      <w:r w:rsidRPr="001F1D6A">
        <w:t xml:space="preserve"> </w:t>
      </w:r>
      <w:proofErr w:type="spellStart"/>
      <w:r w:rsidRPr="001F1D6A">
        <w:t>Transl</w:t>
      </w:r>
      <w:proofErr w:type="spellEnd"/>
      <w:r w:rsidRPr="001F1D6A">
        <w:t xml:space="preserve"> Med 2015; 7: 283ra51</w:t>
      </w:r>
    </w:p>
    <w:p w14:paraId="1A8EDBE1" w14:textId="77777777" w:rsidR="001F1D6A" w:rsidRDefault="001F1D6A" w:rsidP="00635431">
      <w:pPr>
        <w:jc w:val="both"/>
      </w:pPr>
    </w:p>
    <w:p w14:paraId="12BD10C8" w14:textId="11094EB1" w:rsidR="00BD7E0E" w:rsidRPr="001F1D6A" w:rsidRDefault="001F1D6A" w:rsidP="00635431">
      <w:pPr>
        <w:pStyle w:val="ListParagraph"/>
        <w:numPr>
          <w:ilvl w:val="0"/>
          <w:numId w:val="2"/>
        </w:numPr>
        <w:jc w:val="both"/>
      </w:pPr>
      <w:r w:rsidRPr="001F1D6A">
        <w:t xml:space="preserve">Miller TW, </w:t>
      </w:r>
      <w:proofErr w:type="spellStart"/>
      <w:r w:rsidRPr="001F1D6A">
        <w:t>Balko</w:t>
      </w:r>
      <w:proofErr w:type="spellEnd"/>
      <w:r w:rsidRPr="001F1D6A">
        <w:t xml:space="preserve"> JM, Fox EM, et al. ER-dependent E2F transcription can mediate resistance to estrogen deprivation in human breast cancer. Cancer </w:t>
      </w:r>
      <w:proofErr w:type="spellStart"/>
      <w:r w:rsidRPr="001F1D6A">
        <w:t>Discov</w:t>
      </w:r>
      <w:proofErr w:type="spellEnd"/>
      <w:r w:rsidRPr="001F1D6A">
        <w:t xml:space="preserve"> 2011; 1:338–51.</w:t>
      </w:r>
    </w:p>
    <w:p w14:paraId="3BD1E230" w14:textId="77777777" w:rsidR="009D1EF8" w:rsidRDefault="009D1EF8" w:rsidP="00BD7E0E">
      <w:pPr>
        <w:pStyle w:val="ListParagraph"/>
        <w:jc w:val="both"/>
      </w:pPr>
    </w:p>
    <w:p w14:paraId="52A5462E" w14:textId="10B17839" w:rsidR="002469D1" w:rsidRPr="002469D1" w:rsidRDefault="008874DB" w:rsidP="007B0718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hyperlink r:id="rId9" w:history="1">
        <w:proofErr w:type="spellStart"/>
        <w:r w:rsidR="009D1EF8" w:rsidRPr="009D1EF8">
          <w:rPr>
            <w:rStyle w:val="Hyperlink"/>
            <w:rFonts w:eastAsia="Times New Roman"/>
            <w:color w:val="000000" w:themeColor="text1"/>
            <w:u w:val="none"/>
          </w:rPr>
          <w:t>Krop</w:t>
        </w:r>
        <w:proofErr w:type="spellEnd"/>
        <w:r w:rsidR="009D1EF8" w:rsidRPr="009D1EF8">
          <w:rPr>
            <w:rStyle w:val="Hyperlink"/>
            <w:rFonts w:eastAsia="Times New Roman"/>
            <w:color w:val="000000" w:themeColor="text1"/>
            <w:u w:val="none"/>
          </w:rPr>
          <w:t xml:space="preserve"> IE</w:t>
        </w:r>
      </w:hyperlink>
      <w:r w:rsidR="009D1EF8" w:rsidRPr="009D1EF8">
        <w:t xml:space="preserve">, </w:t>
      </w:r>
      <w:hyperlink r:id="rId10" w:history="1">
        <w:r w:rsidR="009D1EF8" w:rsidRPr="009D1EF8">
          <w:rPr>
            <w:rStyle w:val="Hyperlink"/>
            <w:rFonts w:eastAsia="Times New Roman"/>
            <w:color w:val="000000" w:themeColor="text1"/>
            <w:u w:val="none"/>
          </w:rPr>
          <w:t>Mayer IA</w:t>
        </w:r>
      </w:hyperlink>
      <w:r w:rsidR="009D1EF8" w:rsidRPr="009D1EF8">
        <w:t xml:space="preserve">, </w:t>
      </w:r>
      <w:hyperlink r:id="rId11" w:history="1">
        <w:proofErr w:type="spellStart"/>
        <w:r w:rsidR="009D1EF8" w:rsidRPr="009D1EF8">
          <w:rPr>
            <w:rStyle w:val="Hyperlink"/>
            <w:rFonts w:eastAsia="Times New Roman"/>
            <w:color w:val="000000" w:themeColor="text1"/>
            <w:u w:val="none"/>
          </w:rPr>
          <w:t>Ganju</w:t>
        </w:r>
        <w:proofErr w:type="spellEnd"/>
        <w:r w:rsidR="009D1EF8" w:rsidRPr="009D1EF8">
          <w:rPr>
            <w:rStyle w:val="Hyperlink"/>
            <w:rFonts w:eastAsia="Times New Roman"/>
            <w:color w:val="000000" w:themeColor="text1"/>
            <w:u w:val="none"/>
          </w:rPr>
          <w:t xml:space="preserve"> V</w:t>
        </w:r>
      </w:hyperlink>
      <w:r w:rsidR="009D1EF8" w:rsidRPr="009D1EF8">
        <w:rPr>
          <w:vertAlign w:val="superscript"/>
        </w:rPr>
        <w:t xml:space="preserve"> </w:t>
      </w:r>
      <w:r w:rsidR="009D1EF8">
        <w:t xml:space="preserve">et al. </w:t>
      </w:r>
      <w:proofErr w:type="spellStart"/>
      <w:r w:rsidR="009D1EF8">
        <w:t>Pictilisib</w:t>
      </w:r>
      <w:proofErr w:type="spellEnd"/>
      <w:r w:rsidR="009D1EF8">
        <w:t xml:space="preserve"> for </w:t>
      </w:r>
      <w:proofErr w:type="spellStart"/>
      <w:r w:rsidR="009D1EF8">
        <w:t>oestrogen</w:t>
      </w:r>
      <w:proofErr w:type="spellEnd"/>
      <w:r w:rsidR="009D1EF8">
        <w:t xml:space="preserve"> receptor-positive, aromatase inhibitor-resistant, advanced or metastatic breast cancer (FERGI): a </w:t>
      </w:r>
      <w:proofErr w:type="spellStart"/>
      <w:r w:rsidR="009D1EF8">
        <w:t>randomised</w:t>
      </w:r>
      <w:proofErr w:type="spellEnd"/>
      <w:r w:rsidR="009D1EF8">
        <w:t xml:space="preserve">, double-blind, placebo-controlled, phase 2 trial. </w:t>
      </w:r>
      <w:hyperlink r:id="rId12" w:tooltip="The Lancet. Oncology." w:history="1">
        <w:r w:rsidR="009D1EF8" w:rsidRPr="009D1EF8">
          <w:rPr>
            <w:rStyle w:val="Hyperlink"/>
            <w:rFonts w:eastAsia="Times New Roman"/>
            <w:color w:val="000000" w:themeColor="text1"/>
            <w:u w:val="none"/>
          </w:rPr>
          <w:t xml:space="preserve">Lancet </w:t>
        </w:r>
        <w:proofErr w:type="spellStart"/>
        <w:r w:rsidR="009D1EF8" w:rsidRPr="009D1EF8">
          <w:rPr>
            <w:rStyle w:val="Hyperlink"/>
            <w:rFonts w:eastAsia="Times New Roman"/>
            <w:color w:val="000000" w:themeColor="text1"/>
            <w:u w:val="none"/>
          </w:rPr>
          <w:t>Oncol</w:t>
        </w:r>
        <w:proofErr w:type="spellEnd"/>
        <w:r w:rsidR="009D1EF8" w:rsidRPr="009D1EF8">
          <w:rPr>
            <w:rStyle w:val="Hyperlink"/>
            <w:rFonts w:eastAsia="Times New Roman"/>
            <w:color w:val="000000" w:themeColor="text1"/>
            <w:u w:val="none"/>
          </w:rPr>
          <w:t>.</w:t>
        </w:r>
      </w:hyperlink>
      <w:r w:rsidR="009D1EF8" w:rsidRPr="009D1EF8">
        <w:rPr>
          <w:rFonts w:eastAsia="Times New Roman"/>
          <w:color w:val="000000" w:themeColor="text1"/>
        </w:rPr>
        <w:t xml:space="preserve"> </w:t>
      </w:r>
      <w:r w:rsidR="009D1EF8">
        <w:rPr>
          <w:rFonts w:eastAsia="Times New Roman"/>
        </w:rPr>
        <w:t>2016 Jun</w:t>
      </w:r>
      <w:proofErr w:type="gramStart"/>
      <w:r w:rsidR="009D1EF8">
        <w:rPr>
          <w:rFonts w:eastAsia="Times New Roman"/>
        </w:rPr>
        <w:t>;17</w:t>
      </w:r>
      <w:proofErr w:type="gramEnd"/>
      <w:r w:rsidR="009D1EF8">
        <w:rPr>
          <w:rFonts w:eastAsia="Times New Roman"/>
        </w:rPr>
        <w:t>(6):811-21.</w:t>
      </w:r>
    </w:p>
    <w:p w14:paraId="37C56206" w14:textId="0040D0A7" w:rsidR="002469D1" w:rsidRDefault="002469D1" w:rsidP="007B0718">
      <w:pPr>
        <w:pStyle w:val="ListParagraph"/>
        <w:jc w:val="both"/>
        <w:rPr>
          <w:rFonts w:eastAsia="Times New Roman"/>
        </w:rPr>
      </w:pPr>
    </w:p>
    <w:p w14:paraId="7A446A76" w14:textId="67FD09FF" w:rsidR="002469D1" w:rsidRPr="00123856" w:rsidRDefault="008874DB" w:rsidP="007B0718">
      <w:pPr>
        <w:pStyle w:val="ListParagraph"/>
        <w:numPr>
          <w:ilvl w:val="0"/>
          <w:numId w:val="2"/>
        </w:numPr>
        <w:spacing w:before="0" w:after="0"/>
        <w:jc w:val="both"/>
        <w:rPr>
          <w:rFonts w:eastAsia="Times New Roman"/>
          <w:color w:val="000000" w:themeColor="text1"/>
        </w:rPr>
      </w:pPr>
      <w:hyperlink r:id="rId13" w:history="1"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>Martín M</w:t>
        </w:r>
      </w:hyperlink>
      <w:r w:rsidR="002469D1" w:rsidRPr="00123856">
        <w:rPr>
          <w:color w:val="000000" w:themeColor="text1"/>
        </w:rPr>
        <w:t xml:space="preserve">, </w:t>
      </w:r>
      <w:hyperlink r:id="rId14" w:history="1"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>Chan A</w:t>
        </w:r>
      </w:hyperlink>
      <w:r w:rsidR="002469D1" w:rsidRPr="00123856">
        <w:rPr>
          <w:color w:val="000000" w:themeColor="text1"/>
        </w:rPr>
        <w:t xml:space="preserve">, </w:t>
      </w:r>
      <w:hyperlink r:id="rId15" w:history="1">
        <w:proofErr w:type="spellStart"/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>Dirix</w:t>
        </w:r>
        <w:proofErr w:type="spellEnd"/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 xml:space="preserve"> L</w:t>
        </w:r>
      </w:hyperlink>
      <w:r w:rsidR="002469D1" w:rsidRPr="00123856">
        <w:rPr>
          <w:color w:val="000000" w:themeColor="text1"/>
        </w:rPr>
        <w:t xml:space="preserve">, </w:t>
      </w:r>
      <w:hyperlink r:id="rId16" w:history="1"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>O'Shaughnessy J</w:t>
        </w:r>
      </w:hyperlink>
      <w:r w:rsidR="002469D1" w:rsidRPr="00123856">
        <w:rPr>
          <w:color w:val="000000" w:themeColor="text1"/>
        </w:rPr>
        <w:t xml:space="preserve"> et al. </w:t>
      </w:r>
      <w:r w:rsidR="002469D1" w:rsidRPr="00123856">
        <w:rPr>
          <w:rFonts w:eastAsia="Times New Roman"/>
          <w:color w:val="000000" w:themeColor="text1"/>
        </w:rPr>
        <w:t xml:space="preserve">A randomized adaptive phase II/III study of </w:t>
      </w:r>
      <w:proofErr w:type="spellStart"/>
      <w:r w:rsidR="002469D1" w:rsidRPr="00123856">
        <w:rPr>
          <w:rFonts w:eastAsia="Times New Roman"/>
          <w:color w:val="000000" w:themeColor="text1"/>
        </w:rPr>
        <w:t>buparlisib</w:t>
      </w:r>
      <w:proofErr w:type="spellEnd"/>
      <w:r w:rsidR="002469D1" w:rsidRPr="00123856">
        <w:rPr>
          <w:rFonts w:eastAsia="Times New Roman"/>
          <w:color w:val="000000" w:themeColor="text1"/>
        </w:rPr>
        <w:t xml:space="preserve">, a pan-class I </w:t>
      </w:r>
      <w:r w:rsidR="00BE2482" w:rsidRPr="00123856">
        <w:rPr>
          <w:rFonts w:eastAsia="Times New Roman"/>
          <w:color w:val="000000" w:themeColor="text1"/>
        </w:rPr>
        <w:t>PI3 KINASE</w:t>
      </w:r>
      <w:r w:rsidR="002469D1" w:rsidRPr="00123856">
        <w:rPr>
          <w:rFonts w:eastAsia="Times New Roman"/>
          <w:color w:val="000000" w:themeColor="text1"/>
        </w:rPr>
        <w:t xml:space="preserve"> inhibitor, combined with paclitaxel for the treatment of HER2- advanced breast cancer (BELLE-4). </w:t>
      </w:r>
      <w:hyperlink r:id="rId17" w:tooltip="Annals of oncology : official journal of the European Society for Medical Oncology." w:history="1"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 xml:space="preserve">Ann </w:t>
        </w:r>
        <w:proofErr w:type="spellStart"/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>Oncol</w:t>
        </w:r>
        <w:proofErr w:type="spellEnd"/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>.</w:t>
        </w:r>
      </w:hyperlink>
      <w:r w:rsidR="002469D1" w:rsidRPr="00123856">
        <w:rPr>
          <w:rFonts w:eastAsia="Times New Roman"/>
          <w:color w:val="000000" w:themeColor="text1"/>
        </w:rPr>
        <w:t xml:space="preserve"> 2017 Feb</w:t>
      </w:r>
      <w:proofErr w:type="gramStart"/>
      <w:r w:rsidR="002469D1" w:rsidRPr="00123856">
        <w:rPr>
          <w:rFonts w:eastAsia="Times New Roman"/>
          <w:color w:val="000000" w:themeColor="text1"/>
        </w:rPr>
        <w:t>;28</w:t>
      </w:r>
      <w:proofErr w:type="gramEnd"/>
      <w:r w:rsidR="002469D1" w:rsidRPr="00123856">
        <w:rPr>
          <w:rFonts w:eastAsia="Times New Roman"/>
          <w:color w:val="000000" w:themeColor="text1"/>
        </w:rPr>
        <w:t xml:space="preserve">(2):313-320. </w:t>
      </w:r>
    </w:p>
    <w:p w14:paraId="64734766" w14:textId="77777777" w:rsidR="002469D1" w:rsidRPr="00123856" w:rsidRDefault="002469D1" w:rsidP="007B0718">
      <w:pPr>
        <w:pStyle w:val="ListParagraph"/>
        <w:spacing w:before="0" w:after="0"/>
        <w:jc w:val="both"/>
        <w:rPr>
          <w:rFonts w:eastAsia="Times New Roman"/>
          <w:color w:val="000000" w:themeColor="text1"/>
        </w:rPr>
      </w:pPr>
    </w:p>
    <w:p w14:paraId="736F1F2F" w14:textId="2832107F" w:rsidR="002469D1" w:rsidRDefault="008874DB" w:rsidP="007B0718">
      <w:pPr>
        <w:pStyle w:val="ListParagraph"/>
        <w:numPr>
          <w:ilvl w:val="0"/>
          <w:numId w:val="2"/>
        </w:numPr>
        <w:spacing w:before="0" w:after="0"/>
        <w:jc w:val="both"/>
        <w:rPr>
          <w:rFonts w:eastAsia="Times New Roman"/>
        </w:rPr>
      </w:pPr>
      <w:hyperlink r:id="rId18" w:history="1">
        <w:proofErr w:type="spellStart"/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>Vuylsteke</w:t>
        </w:r>
        <w:proofErr w:type="spellEnd"/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 xml:space="preserve"> P</w:t>
        </w:r>
      </w:hyperlink>
      <w:r w:rsidR="002469D1" w:rsidRPr="00123856">
        <w:rPr>
          <w:rFonts w:eastAsia="Times New Roman"/>
          <w:color w:val="000000" w:themeColor="text1"/>
        </w:rPr>
        <w:t xml:space="preserve">, </w:t>
      </w:r>
      <w:hyperlink r:id="rId19" w:history="1">
        <w:proofErr w:type="spellStart"/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>Huizing</w:t>
        </w:r>
        <w:proofErr w:type="spellEnd"/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 xml:space="preserve"> M</w:t>
        </w:r>
      </w:hyperlink>
      <w:r w:rsidR="002469D1" w:rsidRPr="00123856">
        <w:rPr>
          <w:rFonts w:eastAsia="Times New Roman"/>
          <w:color w:val="000000" w:themeColor="text1"/>
        </w:rPr>
        <w:t xml:space="preserve">, </w:t>
      </w:r>
      <w:hyperlink r:id="rId20" w:history="1">
        <w:proofErr w:type="spellStart"/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>Petrakova</w:t>
        </w:r>
        <w:proofErr w:type="spellEnd"/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 xml:space="preserve"> K</w:t>
        </w:r>
      </w:hyperlink>
      <w:r w:rsidR="002469D1" w:rsidRPr="00123856">
        <w:rPr>
          <w:rFonts w:eastAsia="Times New Roman"/>
          <w:color w:val="000000" w:themeColor="text1"/>
        </w:rPr>
        <w:t xml:space="preserve"> et al. </w:t>
      </w:r>
      <w:proofErr w:type="spellStart"/>
      <w:r w:rsidR="002469D1" w:rsidRPr="00123856">
        <w:rPr>
          <w:rFonts w:eastAsia="Times New Roman"/>
          <w:color w:val="000000" w:themeColor="text1"/>
        </w:rPr>
        <w:t>Pictilisib</w:t>
      </w:r>
      <w:proofErr w:type="spellEnd"/>
      <w:r w:rsidR="002469D1" w:rsidRPr="00123856">
        <w:rPr>
          <w:rFonts w:eastAsia="Times New Roman"/>
          <w:color w:val="000000" w:themeColor="text1"/>
        </w:rPr>
        <w:t xml:space="preserve"> </w:t>
      </w:r>
      <w:r w:rsidR="00BE2482" w:rsidRPr="00123856">
        <w:rPr>
          <w:rFonts w:eastAsia="Times New Roman"/>
          <w:color w:val="000000" w:themeColor="text1"/>
        </w:rPr>
        <w:t>PI3 k</w:t>
      </w:r>
      <w:r w:rsidR="002469D1" w:rsidRPr="00123856">
        <w:rPr>
          <w:rFonts w:eastAsia="Times New Roman"/>
          <w:color w:val="000000" w:themeColor="text1"/>
        </w:rPr>
        <w:t>inase inhibitor (a phosphatidylinositol 3-kinase [</w:t>
      </w:r>
      <w:r w:rsidR="00BE2482" w:rsidRPr="00123856">
        <w:rPr>
          <w:rFonts w:eastAsia="Times New Roman"/>
          <w:color w:val="000000" w:themeColor="text1"/>
        </w:rPr>
        <w:t>PI3 KINASE</w:t>
      </w:r>
      <w:r w:rsidR="002469D1" w:rsidRPr="00123856">
        <w:rPr>
          <w:rFonts w:eastAsia="Times New Roman"/>
          <w:color w:val="000000" w:themeColor="text1"/>
        </w:rPr>
        <w:t xml:space="preserve">] inhibitor) plus paclitaxel for the treatment of hormone receptor-positive, HER2-negative, locally recurrent, or metastatic breast cancer: interim analysis of the </w:t>
      </w:r>
      <w:proofErr w:type="spellStart"/>
      <w:r w:rsidR="002469D1" w:rsidRPr="00123856">
        <w:rPr>
          <w:rFonts w:eastAsia="Times New Roman"/>
          <w:color w:val="000000" w:themeColor="text1"/>
        </w:rPr>
        <w:t>multicentre</w:t>
      </w:r>
      <w:proofErr w:type="spellEnd"/>
      <w:r w:rsidR="002469D1" w:rsidRPr="00123856">
        <w:rPr>
          <w:rFonts w:eastAsia="Times New Roman"/>
          <w:color w:val="000000" w:themeColor="text1"/>
        </w:rPr>
        <w:t xml:space="preserve">, placebo-controlled, phase II </w:t>
      </w:r>
      <w:proofErr w:type="spellStart"/>
      <w:r w:rsidR="002469D1" w:rsidRPr="00123856">
        <w:rPr>
          <w:rFonts w:eastAsia="Times New Roman"/>
          <w:color w:val="000000" w:themeColor="text1"/>
        </w:rPr>
        <w:t>randomised</w:t>
      </w:r>
      <w:proofErr w:type="spellEnd"/>
      <w:r w:rsidR="002469D1" w:rsidRPr="00123856">
        <w:rPr>
          <w:rFonts w:eastAsia="Times New Roman"/>
          <w:color w:val="000000" w:themeColor="text1"/>
        </w:rPr>
        <w:t xml:space="preserve"> PEGGY study. </w:t>
      </w:r>
      <w:hyperlink r:id="rId21" w:tooltip="Annals of oncology : official journal of the European Society for Medical Oncology." w:history="1"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 xml:space="preserve">Ann </w:t>
        </w:r>
        <w:proofErr w:type="spellStart"/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>Oncol</w:t>
        </w:r>
        <w:proofErr w:type="spellEnd"/>
        <w:r w:rsidR="002469D1" w:rsidRPr="00123856">
          <w:rPr>
            <w:rStyle w:val="Hyperlink"/>
            <w:rFonts w:eastAsia="Times New Roman"/>
            <w:color w:val="000000" w:themeColor="text1"/>
            <w:u w:val="none"/>
          </w:rPr>
          <w:t>.</w:t>
        </w:r>
      </w:hyperlink>
      <w:r w:rsidR="002469D1" w:rsidRPr="00123856">
        <w:rPr>
          <w:rFonts w:eastAsia="Times New Roman"/>
          <w:color w:val="000000" w:themeColor="text1"/>
        </w:rPr>
        <w:t xml:space="preserve"> 2016 Nov</w:t>
      </w:r>
      <w:proofErr w:type="gramStart"/>
      <w:r w:rsidR="002469D1" w:rsidRPr="00123856">
        <w:rPr>
          <w:rFonts w:eastAsia="Times New Roman"/>
          <w:color w:val="000000" w:themeColor="text1"/>
        </w:rPr>
        <w:t>;27</w:t>
      </w:r>
      <w:proofErr w:type="gramEnd"/>
      <w:r w:rsidR="002469D1" w:rsidRPr="00123856">
        <w:rPr>
          <w:rFonts w:eastAsia="Times New Roman"/>
          <w:color w:val="000000" w:themeColor="text1"/>
        </w:rPr>
        <w:t>(11):2059-206</w:t>
      </w:r>
      <w:r w:rsidR="002469D1">
        <w:rPr>
          <w:rFonts w:eastAsia="Times New Roman"/>
        </w:rPr>
        <w:t>6.</w:t>
      </w:r>
    </w:p>
    <w:p w14:paraId="637B19F3" w14:textId="77777777" w:rsidR="00212B65" w:rsidRPr="00BD7E0E" w:rsidRDefault="00212B65" w:rsidP="00BD7E0E">
      <w:pPr>
        <w:spacing w:before="0" w:after="0"/>
        <w:jc w:val="both"/>
        <w:rPr>
          <w:rFonts w:eastAsia="Times New Roman"/>
        </w:rPr>
      </w:pPr>
    </w:p>
    <w:p w14:paraId="0A7E82C7" w14:textId="08C9721A" w:rsidR="00212B65" w:rsidRDefault="00212B65" w:rsidP="007B0718">
      <w:pPr>
        <w:pStyle w:val="ListParagraph"/>
        <w:numPr>
          <w:ilvl w:val="0"/>
          <w:numId w:val="2"/>
        </w:numPr>
        <w:spacing w:before="0" w:after="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Baselga</w:t>
      </w:r>
      <w:proofErr w:type="spellEnd"/>
      <w:r>
        <w:rPr>
          <w:rFonts w:eastAsia="Times New Roman"/>
        </w:rPr>
        <w:t xml:space="preserve"> J,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S-A, </w:t>
      </w:r>
      <w:proofErr w:type="gramStart"/>
      <w:r>
        <w:rPr>
          <w:rFonts w:eastAsia="Times New Roman"/>
        </w:rPr>
        <w:t>Iwata</w:t>
      </w:r>
      <w:proofErr w:type="gramEnd"/>
      <w:r>
        <w:rPr>
          <w:rFonts w:eastAsia="Times New Roman"/>
        </w:rPr>
        <w:t xml:space="preserve"> H et al. </w:t>
      </w:r>
      <w:proofErr w:type="spellStart"/>
      <w:r>
        <w:rPr>
          <w:rFonts w:eastAsia="Times New Roman"/>
        </w:rPr>
        <w:t>Buparlisib</w:t>
      </w:r>
      <w:proofErr w:type="spellEnd"/>
      <w:r>
        <w:rPr>
          <w:rFonts w:eastAsia="Times New Roman"/>
        </w:rPr>
        <w:t xml:space="preserve"> in postmenopausal, HR+ advanced breast cancer: a </w:t>
      </w:r>
      <w:proofErr w:type="spellStart"/>
      <w:r>
        <w:rPr>
          <w:rFonts w:eastAsia="Times New Roman"/>
        </w:rPr>
        <w:t>randomised</w:t>
      </w:r>
      <w:proofErr w:type="spellEnd"/>
      <w:r>
        <w:rPr>
          <w:rFonts w:eastAsia="Times New Roman"/>
        </w:rPr>
        <w:t xml:space="preserve">, double-blind, placebo-controlled, phase 3 study. Lancet </w:t>
      </w:r>
      <w:proofErr w:type="spellStart"/>
      <w:r>
        <w:rPr>
          <w:rFonts w:eastAsia="Times New Roman"/>
        </w:rPr>
        <w:t>Oncol</w:t>
      </w:r>
      <w:proofErr w:type="spellEnd"/>
      <w:r>
        <w:rPr>
          <w:rFonts w:eastAsia="Times New Roman"/>
        </w:rPr>
        <w:t xml:space="preserve"> 2017 </w:t>
      </w:r>
      <w:r w:rsidR="00302E92">
        <w:rPr>
          <w:rFonts w:eastAsia="Times New Roman"/>
        </w:rPr>
        <w:t>[</w:t>
      </w:r>
      <w:r>
        <w:rPr>
          <w:rFonts w:eastAsia="Times New Roman"/>
        </w:rPr>
        <w:t>in press.</w:t>
      </w:r>
      <w:r w:rsidR="00302E92">
        <w:rPr>
          <w:rFonts w:eastAsia="Times New Roman"/>
        </w:rPr>
        <w:t>]</w:t>
      </w:r>
    </w:p>
    <w:p w14:paraId="37941202" w14:textId="77777777" w:rsidR="002469D1" w:rsidRPr="007B0718" w:rsidRDefault="002469D1" w:rsidP="007B0718">
      <w:pPr>
        <w:spacing w:before="0" w:after="0" w:line="240" w:lineRule="auto"/>
        <w:jc w:val="both"/>
        <w:rPr>
          <w:color w:val="000000" w:themeColor="text1"/>
        </w:rPr>
      </w:pPr>
    </w:p>
    <w:p w14:paraId="427D6C21" w14:textId="43064748" w:rsidR="002469D1" w:rsidRPr="007B0718" w:rsidRDefault="002469D1" w:rsidP="007B0718">
      <w:pPr>
        <w:pStyle w:val="ListParagraph"/>
        <w:spacing w:before="0" w:after="0" w:line="240" w:lineRule="auto"/>
        <w:jc w:val="both"/>
        <w:rPr>
          <w:rStyle w:val="articlecitationpages"/>
          <w:rFonts w:eastAsia="Times New Roman"/>
          <w:b/>
        </w:rPr>
      </w:pPr>
    </w:p>
    <w:p w14:paraId="57573091" w14:textId="4971BFBF" w:rsidR="007C2108" w:rsidRPr="00123856" w:rsidRDefault="008874DB" w:rsidP="00635431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"/>
        </w:rPr>
      </w:pPr>
      <w:hyperlink r:id="rId22" w:history="1">
        <w:r w:rsidR="007C2108" w:rsidRPr="00123856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u w:val="none"/>
          </w:rPr>
          <w:t>Mayer IA</w:t>
        </w:r>
      </w:hyperlink>
      <w:r w:rsidR="007C2108" w:rsidRPr="00123856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7C2108" w:rsidRPr="00123856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</w:rPr>
        <w:t> </w:t>
      </w:r>
      <w:hyperlink r:id="rId23" w:history="1">
        <w:r w:rsidR="007C2108" w:rsidRPr="00123856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u w:val="none"/>
          </w:rPr>
          <w:t>Abramson VG</w:t>
        </w:r>
      </w:hyperlink>
      <w:r w:rsidR="007C2108" w:rsidRPr="00281073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7C2108" w:rsidRPr="00281073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</w:rPr>
        <w:t> </w:t>
      </w:r>
      <w:proofErr w:type="spellStart"/>
      <w:r w:rsidR="007C2108" w:rsidRPr="00281073">
        <w:rPr>
          <w:rFonts w:ascii="Arial" w:eastAsia="Times New Roman" w:hAnsi="Arial" w:cs="Arial"/>
          <w:color w:val="000000" w:themeColor="text1"/>
          <w:sz w:val="22"/>
          <w:szCs w:val="22"/>
        </w:rPr>
        <w:t>Formisano</w:t>
      </w:r>
      <w:proofErr w:type="spellEnd"/>
      <w:r w:rsidR="007C2108" w:rsidRPr="0028107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 et </w:t>
      </w:r>
      <w:r w:rsidR="007C2108" w:rsidRPr="00123856">
        <w:rPr>
          <w:rFonts w:ascii="Arial" w:eastAsia="Times New Roman" w:hAnsi="Arial" w:cs="Arial"/>
          <w:color w:val="000000" w:themeColor="text1"/>
          <w:sz w:val="22"/>
          <w:szCs w:val="22"/>
        </w:rPr>
        <w:t>al</w:t>
      </w:r>
      <w:r w:rsidR="007C2108" w:rsidRPr="00123856">
        <w:rPr>
          <w:color w:val="000000" w:themeColor="text1"/>
        </w:rPr>
        <w:t xml:space="preserve">. A Phase </w:t>
      </w:r>
      <w:proofErr w:type="spellStart"/>
      <w:r w:rsidR="007C2108" w:rsidRPr="00123856">
        <w:rPr>
          <w:color w:val="000000" w:themeColor="text1"/>
        </w:rPr>
        <w:t>Ib</w:t>
      </w:r>
      <w:proofErr w:type="spellEnd"/>
      <w:r w:rsidR="007C2108" w:rsidRPr="00123856">
        <w:rPr>
          <w:color w:val="000000" w:themeColor="text1"/>
        </w:rPr>
        <w:t xml:space="preserve"> Study of </w:t>
      </w:r>
      <w:proofErr w:type="spellStart"/>
      <w:r w:rsidR="007C2108" w:rsidRPr="00123856">
        <w:rPr>
          <w:color w:val="000000" w:themeColor="text1"/>
        </w:rPr>
        <w:t>Alpelisib</w:t>
      </w:r>
      <w:proofErr w:type="spellEnd"/>
      <w:r w:rsidR="007C2108" w:rsidRPr="00123856">
        <w:rPr>
          <w:color w:val="000000" w:themeColor="text1"/>
        </w:rPr>
        <w:t xml:space="preserve"> (BYL719), a </w:t>
      </w:r>
      <w:r w:rsidR="00BE2482" w:rsidRPr="00123856">
        <w:rPr>
          <w:color w:val="000000" w:themeColor="text1"/>
        </w:rPr>
        <w:t>PI3 KINASE</w:t>
      </w:r>
      <w:r w:rsidR="007C2108" w:rsidRPr="00123856">
        <w:rPr>
          <w:color w:val="000000" w:themeColor="text1"/>
        </w:rPr>
        <w:t xml:space="preserve">α-Specific Inhibitor, with </w:t>
      </w:r>
      <w:proofErr w:type="spellStart"/>
      <w:r w:rsidR="007C2108" w:rsidRPr="00123856">
        <w:rPr>
          <w:color w:val="000000" w:themeColor="text1"/>
        </w:rPr>
        <w:t>Letrozole</w:t>
      </w:r>
      <w:proofErr w:type="spellEnd"/>
      <w:r w:rsidR="007C2108" w:rsidRPr="00123856">
        <w:rPr>
          <w:color w:val="000000" w:themeColor="text1"/>
        </w:rPr>
        <w:t xml:space="preserve"> in ER+/HER2- Metastatic Breast Cancer.</w:t>
      </w:r>
      <w:r w:rsidR="00D30EC2" w:rsidRPr="00123856">
        <w:rPr>
          <w:color w:val="000000" w:themeColor="text1"/>
        </w:rPr>
        <w:t xml:space="preserve"> </w:t>
      </w:r>
      <w:proofErr w:type="spellStart"/>
      <w:r w:rsidR="007C2108" w:rsidRPr="00123856">
        <w:rPr>
          <w:color w:val="000000" w:themeColor="text1"/>
        </w:rPr>
        <w:t>Clin</w:t>
      </w:r>
      <w:proofErr w:type="spellEnd"/>
      <w:r w:rsidR="007C2108" w:rsidRPr="00123856">
        <w:rPr>
          <w:color w:val="000000" w:themeColor="text1"/>
        </w:rPr>
        <w:t xml:space="preserve"> Cancer Res. 2017 Jan</w:t>
      </w:r>
      <w:proofErr w:type="gramStart"/>
      <w:r w:rsidR="007C2108" w:rsidRPr="00123856">
        <w:rPr>
          <w:color w:val="000000" w:themeColor="text1"/>
        </w:rPr>
        <w:t>;23</w:t>
      </w:r>
      <w:proofErr w:type="gramEnd"/>
      <w:r w:rsidR="007C2108" w:rsidRPr="00123856">
        <w:rPr>
          <w:color w:val="000000" w:themeColor="text1"/>
        </w:rPr>
        <w:t>(1):26-34.</w:t>
      </w:r>
    </w:p>
    <w:p w14:paraId="79FA11AF" w14:textId="77777777" w:rsidR="002469D1" w:rsidRPr="00123856" w:rsidRDefault="002469D1" w:rsidP="007B0718">
      <w:pPr>
        <w:pStyle w:val="ListParagraph"/>
        <w:jc w:val="both"/>
        <w:rPr>
          <w:color w:val="000000" w:themeColor="text1"/>
          <w:lang w:val="en"/>
        </w:rPr>
      </w:pPr>
    </w:p>
    <w:p w14:paraId="79E6202E" w14:textId="488516B0" w:rsidR="007C2108" w:rsidRPr="00123856" w:rsidRDefault="008874DB" w:rsidP="007B0718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"/>
        </w:rPr>
      </w:pPr>
      <w:hyperlink r:id="rId24" w:history="1">
        <w:proofErr w:type="spellStart"/>
        <w:r w:rsidR="007C2108" w:rsidRPr="00123856">
          <w:rPr>
            <w:rStyle w:val="Hyperlink"/>
            <w:rFonts w:eastAsia="Times New Roman"/>
            <w:color w:val="000000" w:themeColor="text1"/>
            <w:u w:val="none"/>
          </w:rPr>
          <w:t>Juric</w:t>
        </w:r>
        <w:proofErr w:type="spellEnd"/>
        <w:r w:rsidR="007C2108" w:rsidRPr="00123856">
          <w:rPr>
            <w:rStyle w:val="Hyperlink"/>
            <w:rFonts w:eastAsia="Times New Roman"/>
            <w:color w:val="000000" w:themeColor="text1"/>
            <w:u w:val="none"/>
          </w:rPr>
          <w:t xml:space="preserve"> D</w:t>
        </w:r>
      </w:hyperlink>
      <w:r w:rsidR="007C2108" w:rsidRPr="00123856">
        <w:rPr>
          <w:rFonts w:eastAsia="Times New Roman"/>
          <w:color w:val="000000" w:themeColor="text1"/>
        </w:rPr>
        <w:t xml:space="preserve">, </w:t>
      </w:r>
      <w:hyperlink r:id="rId25" w:history="1">
        <w:proofErr w:type="spellStart"/>
        <w:r w:rsidR="007C2108" w:rsidRPr="00281073">
          <w:rPr>
            <w:rStyle w:val="Hyperlink"/>
            <w:rFonts w:eastAsia="Times New Roman"/>
            <w:color w:val="000000" w:themeColor="text1"/>
            <w:u w:val="none"/>
          </w:rPr>
          <w:t>Krop</w:t>
        </w:r>
        <w:proofErr w:type="spellEnd"/>
        <w:r w:rsidR="007C2108" w:rsidRPr="00281073">
          <w:rPr>
            <w:rStyle w:val="Hyperlink"/>
            <w:rFonts w:eastAsia="Times New Roman"/>
            <w:color w:val="000000" w:themeColor="text1"/>
            <w:u w:val="none"/>
          </w:rPr>
          <w:t xml:space="preserve"> I</w:t>
        </w:r>
      </w:hyperlink>
      <w:r w:rsidR="007C2108" w:rsidRPr="00281073">
        <w:rPr>
          <w:rFonts w:eastAsia="Times New Roman"/>
          <w:color w:val="000000" w:themeColor="text1"/>
        </w:rPr>
        <w:t xml:space="preserve">, </w:t>
      </w:r>
      <w:proofErr w:type="spellStart"/>
      <w:r w:rsidR="007C2108" w:rsidRPr="00281073">
        <w:rPr>
          <w:rFonts w:eastAsia="Times New Roman"/>
          <w:color w:val="000000" w:themeColor="text1"/>
        </w:rPr>
        <w:t>Ramanathan</w:t>
      </w:r>
      <w:proofErr w:type="spellEnd"/>
      <w:r w:rsidR="007C2108" w:rsidRPr="00281073">
        <w:rPr>
          <w:rFonts w:eastAsia="Times New Roman"/>
          <w:color w:val="000000" w:themeColor="text1"/>
        </w:rPr>
        <w:t xml:space="preserve"> RK e</w:t>
      </w:r>
      <w:r w:rsidR="007C2108" w:rsidRPr="00123856">
        <w:rPr>
          <w:rFonts w:eastAsia="Times New Roman"/>
          <w:color w:val="000000" w:themeColor="text1"/>
        </w:rPr>
        <w:t xml:space="preserve">t al. </w:t>
      </w:r>
      <w:proofErr w:type="gramStart"/>
      <w:r w:rsidR="007C2108" w:rsidRPr="00123856">
        <w:rPr>
          <w:rFonts w:eastAsia="Times New Roman"/>
          <w:color w:val="000000" w:themeColor="text1"/>
        </w:rPr>
        <w:t>Phase</w:t>
      </w:r>
      <w:proofErr w:type="gramEnd"/>
      <w:r w:rsidR="007C2108" w:rsidRPr="00123856">
        <w:rPr>
          <w:rFonts w:eastAsia="Times New Roman"/>
          <w:color w:val="000000" w:themeColor="text1"/>
        </w:rPr>
        <w:t xml:space="preserve"> I Dose-Escalation Study of </w:t>
      </w:r>
      <w:proofErr w:type="spellStart"/>
      <w:r w:rsidR="007C2108" w:rsidRPr="00123856">
        <w:rPr>
          <w:rFonts w:eastAsia="Times New Roman"/>
          <w:color w:val="000000" w:themeColor="text1"/>
        </w:rPr>
        <w:t>Taselisib</w:t>
      </w:r>
      <w:proofErr w:type="spellEnd"/>
      <w:r w:rsidR="007C2108" w:rsidRPr="00123856">
        <w:rPr>
          <w:rFonts w:eastAsia="Times New Roman"/>
          <w:color w:val="000000" w:themeColor="text1"/>
        </w:rPr>
        <w:t xml:space="preserve">, an Oral </w:t>
      </w:r>
      <w:r w:rsidR="00BE2482" w:rsidRPr="00123856">
        <w:rPr>
          <w:rFonts w:eastAsia="Times New Roman"/>
          <w:color w:val="000000" w:themeColor="text1"/>
        </w:rPr>
        <w:t>PI3 KINASE</w:t>
      </w:r>
      <w:r w:rsidR="007C2108" w:rsidRPr="00123856">
        <w:rPr>
          <w:rFonts w:eastAsia="Times New Roman"/>
          <w:color w:val="000000" w:themeColor="text1"/>
        </w:rPr>
        <w:t xml:space="preserve"> Inhibitor, in Patients with Advanced Solid Tumors. Cancer </w:t>
      </w:r>
      <w:proofErr w:type="spellStart"/>
      <w:r w:rsidR="007C2108" w:rsidRPr="00123856">
        <w:rPr>
          <w:rFonts w:eastAsia="Times New Roman"/>
          <w:color w:val="000000" w:themeColor="text1"/>
        </w:rPr>
        <w:t>Discov</w:t>
      </w:r>
      <w:proofErr w:type="spellEnd"/>
      <w:r w:rsidR="007C2108" w:rsidRPr="00123856">
        <w:rPr>
          <w:rFonts w:eastAsia="Times New Roman"/>
          <w:color w:val="000000" w:themeColor="text1"/>
        </w:rPr>
        <w:t xml:space="preserve">. 2017 Mar </w:t>
      </w:r>
      <w:proofErr w:type="spellStart"/>
      <w:r w:rsidR="007C2108" w:rsidRPr="00123856">
        <w:rPr>
          <w:rFonts w:eastAsia="Times New Roman"/>
          <w:color w:val="000000" w:themeColor="text1"/>
        </w:rPr>
        <w:t>doi</w:t>
      </w:r>
      <w:proofErr w:type="spellEnd"/>
      <w:r w:rsidR="007C2108" w:rsidRPr="00123856">
        <w:rPr>
          <w:rFonts w:eastAsia="Times New Roman"/>
          <w:color w:val="000000" w:themeColor="text1"/>
        </w:rPr>
        <w:t>: 10.1158/2159-8290.CD-16-1080. [</w:t>
      </w:r>
      <w:proofErr w:type="spellStart"/>
      <w:r w:rsidR="007C2108" w:rsidRPr="00123856">
        <w:rPr>
          <w:rFonts w:eastAsia="Times New Roman"/>
          <w:color w:val="000000" w:themeColor="text1"/>
        </w:rPr>
        <w:t>Epub</w:t>
      </w:r>
      <w:proofErr w:type="spellEnd"/>
      <w:r w:rsidR="007C2108" w:rsidRPr="00123856">
        <w:rPr>
          <w:rFonts w:eastAsia="Times New Roman"/>
          <w:color w:val="000000" w:themeColor="text1"/>
        </w:rPr>
        <w:t xml:space="preserve"> ahead of print].</w:t>
      </w:r>
    </w:p>
    <w:p w14:paraId="4AF9DF40" w14:textId="77777777" w:rsidR="00F24BA3" w:rsidRPr="00123856" w:rsidRDefault="00F24BA3" w:rsidP="00635431">
      <w:pPr>
        <w:jc w:val="both"/>
        <w:rPr>
          <w:color w:val="000000" w:themeColor="text1"/>
        </w:rPr>
      </w:pPr>
    </w:p>
    <w:p w14:paraId="756FB52F" w14:textId="34F7D263" w:rsidR="001F1D6A" w:rsidRPr="0013124E" w:rsidRDefault="00F24BA3" w:rsidP="007B0718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F24BA3">
        <w:t xml:space="preserve">Di Leo A, Lee KS, </w:t>
      </w:r>
      <w:proofErr w:type="spellStart"/>
      <w:r w:rsidRPr="00F24BA3">
        <w:t>Ciruelos</w:t>
      </w:r>
      <w:proofErr w:type="spellEnd"/>
      <w:r w:rsidRPr="00F24BA3">
        <w:t xml:space="preserve"> E, et al. BELLE-3: A phase III study of </w:t>
      </w:r>
      <w:proofErr w:type="spellStart"/>
      <w:r w:rsidRPr="00F24BA3">
        <w:t>buparlisib</w:t>
      </w:r>
      <w:proofErr w:type="spellEnd"/>
      <w:r w:rsidRPr="00F24BA3">
        <w:t xml:space="preserve"> and</w:t>
      </w:r>
      <w:r>
        <w:t xml:space="preserve"> </w:t>
      </w:r>
      <w:proofErr w:type="spellStart"/>
      <w:r w:rsidRPr="00F24BA3">
        <w:t>fulvestrant</w:t>
      </w:r>
      <w:proofErr w:type="spellEnd"/>
      <w:r w:rsidRPr="00F24BA3">
        <w:t xml:space="preserve"> in postmenopausal women with HR+, HER2–, AI-treated, locally</w:t>
      </w:r>
      <w:r>
        <w:t xml:space="preserve"> </w:t>
      </w:r>
      <w:r w:rsidRPr="00F24BA3">
        <w:t xml:space="preserve">advanced or metastatic breast cancer, who progressed on or after </w:t>
      </w:r>
      <w:proofErr w:type="spellStart"/>
      <w:r w:rsidRPr="00F24BA3">
        <w:t>mTOR</w:t>
      </w:r>
      <w:proofErr w:type="spellEnd"/>
      <w:r w:rsidRPr="00F24BA3">
        <w:t xml:space="preserve"> inhibitor</w:t>
      </w:r>
      <w:r w:rsidRPr="00F24BA3">
        <w:rPr>
          <w:sz w:val="17"/>
          <w:szCs w:val="17"/>
        </w:rPr>
        <w:t xml:space="preserve"> </w:t>
      </w:r>
      <w:r w:rsidRPr="00F24BA3">
        <w:t>based treatment. Presented at: San Antonio Breast Cancer Symposium; Dec 6-10,</w:t>
      </w:r>
      <w:r>
        <w:t xml:space="preserve"> </w:t>
      </w:r>
      <w:r w:rsidRPr="00F24BA3">
        <w:t>2016; San Antonio, TX, USA. S4-07 (</w:t>
      </w:r>
      <w:proofErr w:type="spellStart"/>
      <w:r w:rsidRPr="00F24BA3">
        <w:t>abstr</w:t>
      </w:r>
      <w:proofErr w:type="spellEnd"/>
      <w:r w:rsidRPr="00F24BA3">
        <w:t>).</w:t>
      </w:r>
    </w:p>
    <w:sectPr w:rsidR="001F1D6A" w:rsidRPr="0013124E" w:rsidSect="00374C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0CD35" w14:textId="77777777" w:rsidR="00B84306" w:rsidRDefault="00B84306" w:rsidP="00FA6635">
      <w:pPr>
        <w:spacing w:before="0" w:after="0" w:line="240" w:lineRule="auto"/>
      </w:pPr>
      <w:r>
        <w:separator/>
      </w:r>
    </w:p>
  </w:endnote>
  <w:endnote w:type="continuationSeparator" w:id="0">
    <w:p w14:paraId="6F1220AA" w14:textId="77777777" w:rsidR="00B84306" w:rsidRDefault="00B84306" w:rsidP="00FA66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A19EA" w14:textId="77777777" w:rsidR="00B84306" w:rsidRDefault="00B84306" w:rsidP="00FA6635">
      <w:pPr>
        <w:spacing w:before="0" w:after="0" w:line="240" w:lineRule="auto"/>
      </w:pPr>
      <w:r>
        <w:separator/>
      </w:r>
    </w:p>
  </w:footnote>
  <w:footnote w:type="continuationSeparator" w:id="0">
    <w:p w14:paraId="09B61075" w14:textId="77777777" w:rsidR="00B84306" w:rsidRDefault="00B84306" w:rsidP="00FA66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ABA"/>
    <w:multiLevelType w:val="hybridMultilevel"/>
    <w:tmpl w:val="A4E6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CCE"/>
    <w:multiLevelType w:val="hybridMultilevel"/>
    <w:tmpl w:val="B0CE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1754"/>
    <w:multiLevelType w:val="multilevel"/>
    <w:tmpl w:val="B0CE4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601BB"/>
    <w:multiLevelType w:val="multilevel"/>
    <w:tmpl w:val="B0CE4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4E"/>
    <w:rsid w:val="00000E99"/>
    <w:rsid w:val="000115DE"/>
    <w:rsid w:val="00046D8D"/>
    <w:rsid w:val="0006403C"/>
    <w:rsid w:val="000768E1"/>
    <w:rsid w:val="00080D56"/>
    <w:rsid w:val="00084CDB"/>
    <w:rsid w:val="00085E0A"/>
    <w:rsid w:val="00086699"/>
    <w:rsid w:val="000C02A7"/>
    <w:rsid w:val="000C60C6"/>
    <w:rsid w:val="000D76F6"/>
    <w:rsid w:val="000F5CE0"/>
    <w:rsid w:val="000F7BE7"/>
    <w:rsid w:val="00104FDA"/>
    <w:rsid w:val="001076B4"/>
    <w:rsid w:val="001117C1"/>
    <w:rsid w:val="00121657"/>
    <w:rsid w:val="00123124"/>
    <w:rsid w:val="00123856"/>
    <w:rsid w:val="00125F19"/>
    <w:rsid w:val="001267FC"/>
    <w:rsid w:val="0013124E"/>
    <w:rsid w:val="00132D20"/>
    <w:rsid w:val="00143488"/>
    <w:rsid w:val="0014494C"/>
    <w:rsid w:val="00145D15"/>
    <w:rsid w:val="00147A35"/>
    <w:rsid w:val="00150F10"/>
    <w:rsid w:val="001539B6"/>
    <w:rsid w:val="001622E9"/>
    <w:rsid w:val="00165456"/>
    <w:rsid w:val="00170210"/>
    <w:rsid w:val="00172457"/>
    <w:rsid w:val="001856D2"/>
    <w:rsid w:val="0018785C"/>
    <w:rsid w:val="001944AB"/>
    <w:rsid w:val="001960CF"/>
    <w:rsid w:val="001B3BA3"/>
    <w:rsid w:val="001B7823"/>
    <w:rsid w:val="001C047C"/>
    <w:rsid w:val="001C60B9"/>
    <w:rsid w:val="001C67B4"/>
    <w:rsid w:val="001F1D6A"/>
    <w:rsid w:val="001F2EE9"/>
    <w:rsid w:val="001F62F2"/>
    <w:rsid w:val="0020365B"/>
    <w:rsid w:val="00212B65"/>
    <w:rsid w:val="002216D7"/>
    <w:rsid w:val="00224D8B"/>
    <w:rsid w:val="00226105"/>
    <w:rsid w:val="00230F94"/>
    <w:rsid w:val="002327E2"/>
    <w:rsid w:val="00240201"/>
    <w:rsid w:val="00242817"/>
    <w:rsid w:val="0024313C"/>
    <w:rsid w:val="002449C8"/>
    <w:rsid w:val="002469D1"/>
    <w:rsid w:val="0024734B"/>
    <w:rsid w:val="002504A2"/>
    <w:rsid w:val="00254257"/>
    <w:rsid w:val="00257D2B"/>
    <w:rsid w:val="00260A22"/>
    <w:rsid w:val="00281073"/>
    <w:rsid w:val="002A2E41"/>
    <w:rsid w:val="002A5F96"/>
    <w:rsid w:val="002B052F"/>
    <w:rsid w:val="002B51B6"/>
    <w:rsid w:val="002B532C"/>
    <w:rsid w:val="002C398D"/>
    <w:rsid w:val="002D1E7C"/>
    <w:rsid w:val="002E535B"/>
    <w:rsid w:val="002F0CBA"/>
    <w:rsid w:val="00302E92"/>
    <w:rsid w:val="003130A1"/>
    <w:rsid w:val="0031492E"/>
    <w:rsid w:val="003158F9"/>
    <w:rsid w:val="00323567"/>
    <w:rsid w:val="00342B48"/>
    <w:rsid w:val="00345041"/>
    <w:rsid w:val="0035277B"/>
    <w:rsid w:val="00371A34"/>
    <w:rsid w:val="00371FB1"/>
    <w:rsid w:val="003748CD"/>
    <w:rsid w:val="00374C45"/>
    <w:rsid w:val="00386A7B"/>
    <w:rsid w:val="003912CE"/>
    <w:rsid w:val="00395444"/>
    <w:rsid w:val="003A0949"/>
    <w:rsid w:val="003A5A25"/>
    <w:rsid w:val="003D498D"/>
    <w:rsid w:val="003D5017"/>
    <w:rsid w:val="003E0646"/>
    <w:rsid w:val="003E1EC3"/>
    <w:rsid w:val="003E3024"/>
    <w:rsid w:val="003E5AB0"/>
    <w:rsid w:val="003F34C5"/>
    <w:rsid w:val="004015D0"/>
    <w:rsid w:val="004038BC"/>
    <w:rsid w:val="00410CDB"/>
    <w:rsid w:val="00427648"/>
    <w:rsid w:val="004501BD"/>
    <w:rsid w:val="0045611B"/>
    <w:rsid w:val="00456563"/>
    <w:rsid w:val="00456CCA"/>
    <w:rsid w:val="004572CA"/>
    <w:rsid w:val="00461CB2"/>
    <w:rsid w:val="004679F3"/>
    <w:rsid w:val="00467F93"/>
    <w:rsid w:val="00470353"/>
    <w:rsid w:val="00482CD7"/>
    <w:rsid w:val="00486BC3"/>
    <w:rsid w:val="00487375"/>
    <w:rsid w:val="00495CCA"/>
    <w:rsid w:val="004A5B76"/>
    <w:rsid w:val="004B3F87"/>
    <w:rsid w:val="004B5ED0"/>
    <w:rsid w:val="004C3E5D"/>
    <w:rsid w:val="004D3617"/>
    <w:rsid w:val="004D415E"/>
    <w:rsid w:val="004D423A"/>
    <w:rsid w:val="004E12F1"/>
    <w:rsid w:val="004F49A1"/>
    <w:rsid w:val="004F5498"/>
    <w:rsid w:val="004F578C"/>
    <w:rsid w:val="004F6615"/>
    <w:rsid w:val="004F69B3"/>
    <w:rsid w:val="00500CA5"/>
    <w:rsid w:val="00506A2B"/>
    <w:rsid w:val="0050716A"/>
    <w:rsid w:val="00510B8F"/>
    <w:rsid w:val="00512C80"/>
    <w:rsid w:val="00515299"/>
    <w:rsid w:val="0052342E"/>
    <w:rsid w:val="005248F0"/>
    <w:rsid w:val="00533B65"/>
    <w:rsid w:val="00533E65"/>
    <w:rsid w:val="00540A62"/>
    <w:rsid w:val="00545409"/>
    <w:rsid w:val="00566EA0"/>
    <w:rsid w:val="00570AC0"/>
    <w:rsid w:val="00577DD5"/>
    <w:rsid w:val="00582489"/>
    <w:rsid w:val="005869FC"/>
    <w:rsid w:val="00593380"/>
    <w:rsid w:val="005A30F9"/>
    <w:rsid w:val="005A6F32"/>
    <w:rsid w:val="005B3A71"/>
    <w:rsid w:val="005B540D"/>
    <w:rsid w:val="005C2104"/>
    <w:rsid w:val="005D25C4"/>
    <w:rsid w:val="005E6A09"/>
    <w:rsid w:val="0060601B"/>
    <w:rsid w:val="0060793A"/>
    <w:rsid w:val="006304B7"/>
    <w:rsid w:val="00635431"/>
    <w:rsid w:val="00637AFE"/>
    <w:rsid w:val="00657621"/>
    <w:rsid w:val="006631B6"/>
    <w:rsid w:val="00663DCB"/>
    <w:rsid w:val="00667D97"/>
    <w:rsid w:val="006706D5"/>
    <w:rsid w:val="00672B3E"/>
    <w:rsid w:val="00683F8A"/>
    <w:rsid w:val="0068446C"/>
    <w:rsid w:val="0069073B"/>
    <w:rsid w:val="00690C27"/>
    <w:rsid w:val="006B3AA9"/>
    <w:rsid w:val="006C20A3"/>
    <w:rsid w:val="006D36B3"/>
    <w:rsid w:val="006E2917"/>
    <w:rsid w:val="006F6BA6"/>
    <w:rsid w:val="007207B5"/>
    <w:rsid w:val="00727308"/>
    <w:rsid w:val="00763BCA"/>
    <w:rsid w:val="00770B33"/>
    <w:rsid w:val="0078087A"/>
    <w:rsid w:val="0078473E"/>
    <w:rsid w:val="00786D81"/>
    <w:rsid w:val="007A0E0B"/>
    <w:rsid w:val="007A5155"/>
    <w:rsid w:val="007B0718"/>
    <w:rsid w:val="007B57CA"/>
    <w:rsid w:val="007B6396"/>
    <w:rsid w:val="007C2108"/>
    <w:rsid w:val="007C297C"/>
    <w:rsid w:val="007C4934"/>
    <w:rsid w:val="007C5FF8"/>
    <w:rsid w:val="007F11CF"/>
    <w:rsid w:val="007F6ADD"/>
    <w:rsid w:val="00821A78"/>
    <w:rsid w:val="008454BB"/>
    <w:rsid w:val="00845585"/>
    <w:rsid w:val="00853764"/>
    <w:rsid w:val="00865F52"/>
    <w:rsid w:val="00875E99"/>
    <w:rsid w:val="00876B29"/>
    <w:rsid w:val="00880CDA"/>
    <w:rsid w:val="0088264A"/>
    <w:rsid w:val="00885F58"/>
    <w:rsid w:val="008936C6"/>
    <w:rsid w:val="00893E89"/>
    <w:rsid w:val="0089449A"/>
    <w:rsid w:val="008B1432"/>
    <w:rsid w:val="008B6221"/>
    <w:rsid w:val="008C10B2"/>
    <w:rsid w:val="008C59FC"/>
    <w:rsid w:val="008D5D66"/>
    <w:rsid w:val="008D6F0E"/>
    <w:rsid w:val="008E3382"/>
    <w:rsid w:val="009068BC"/>
    <w:rsid w:val="00917A35"/>
    <w:rsid w:val="00922461"/>
    <w:rsid w:val="00923A3C"/>
    <w:rsid w:val="00925CAD"/>
    <w:rsid w:val="0093525F"/>
    <w:rsid w:val="00942419"/>
    <w:rsid w:val="00943387"/>
    <w:rsid w:val="00950926"/>
    <w:rsid w:val="00957C35"/>
    <w:rsid w:val="0097222E"/>
    <w:rsid w:val="00972397"/>
    <w:rsid w:val="00993500"/>
    <w:rsid w:val="00995F63"/>
    <w:rsid w:val="009A0F5D"/>
    <w:rsid w:val="009A52A1"/>
    <w:rsid w:val="009A6F40"/>
    <w:rsid w:val="009B5DE2"/>
    <w:rsid w:val="009C0F28"/>
    <w:rsid w:val="009C3810"/>
    <w:rsid w:val="009D038D"/>
    <w:rsid w:val="009D1EF8"/>
    <w:rsid w:val="009D6AA9"/>
    <w:rsid w:val="009E3074"/>
    <w:rsid w:val="009E427D"/>
    <w:rsid w:val="009E5298"/>
    <w:rsid w:val="009E54F8"/>
    <w:rsid w:val="009E640C"/>
    <w:rsid w:val="00A00B87"/>
    <w:rsid w:val="00A00C91"/>
    <w:rsid w:val="00A10139"/>
    <w:rsid w:val="00A1410C"/>
    <w:rsid w:val="00A22665"/>
    <w:rsid w:val="00A22A21"/>
    <w:rsid w:val="00A42762"/>
    <w:rsid w:val="00A44B27"/>
    <w:rsid w:val="00A50B17"/>
    <w:rsid w:val="00A60369"/>
    <w:rsid w:val="00A609EE"/>
    <w:rsid w:val="00A67F58"/>
    <w:rsid w:val="00A74499"/>
    <w:rsid w:val="00A97BE6"/>
    <w:rsid w:val="00AA089B"/>
    <w:rsid w:val="00AA259B"/>
    <w:rsid w:val="00AF2EEB"/>
    <w:rsid w:val="00AF71E5"/>
    <w:rsid w:val="00B017DB"/>
    <w:rsid w:val="00B05E38"/>
    <w:rsid w:val="00B0797A"/>
    <w:rsid w:val="00B21720"/>
    <w:rsid w:val="00B408BD"/>
    <w:rsid w:val="00B45BEE"/>
    <w:rsid w:val="00B47DC5"/>
    <w:rsid w:val="00B537FD"/>
    <w:rsid w:val="00B53883"/>
    <w:rsid w:val="00B56B13"/>
    <w:rsid w:val="00B570E5"/>
    <w:rsid w:val="00B61266"/>
    <w:rsid w:val="00B64D05"/>
    <w:rsid w:val="00B73984"/>
    <w:rsid w:val="00B7752B"/>
    <w:rsid w:val="00B84306"/>
    <w:rsid w:val="00B92E5D"/>
    <w:rsid w:val="00B9482A"/>
    <w:rsid w:val="00B94ED6"/>
    <w:rsid w:val="00B95784"/>
    <w:rsid w:val="00BB2FC6"/>
    <w:rsid w:val="00BC0710"/>
    <w:rsid w:val="00BC75E5"/>
    <w:rsid w:val="00BD7E0E"/>
    <w:rsid w:val="00BE0484"/>
    <w:rsid w:val="00BE2482"/>
    <w:rsid w:val="00BE56D8"/>
    <w:rsid w:val="00BF2C42"/>
    <w:rsid w:val="00BF55F5"/>
    <w:rsid w:val="00BF76F8"/>
    <w:rsid w:val="00C01A61"/>
    <w:rsid w:val="00C02D58"/>
    <w:rsid w:val="00C12DB1"/>
    <w:rsid w:val="00C1330D"/>
    <w:rsid w:val="00C223CF"/>
    <w:rsid w:val="00C3099E"/>
    <w:rsid w:val="00C31830"/>
    <w:rsid w:val="00C36248"/>
    <w:rsid w:val="00C372EE"/>
    <w:rsid w:val="00C60D70"/>
    <w:rsid w:val="00C63EB7"/>
    <w:rsid w:val="00C66490"/>
    <w:rsid w:val="00C67817"/>
    <w:rsid w:val="00C739EC"/>
    <w:rsid w:val="00C74307"/>
    <w:rsid w:val="00C75D05"/>
    <w:rsid w:val="00C91FC2"/>
    <w:rsid w:val="00CA56E8"/>
    <w:rsid w:val="00CB3663"/>
    <w:rsid w:val="00CB40C9"/>
    <w:rsid w:val="00CC17E2"/>
    <w:rsid w:val="00CE3891"/>
    <w:rsid w:val="00CE45C5"/>
    <w:rsid w:val="00CF3AE0"/>
    <w:rsid w:val="00CF5B8E"/>
    <w:rsid w:val="00D032F0"/>
    <w:rsid w:val="00D06BE4"/>
    <w:rsid w:val="00D124EA"/>
    <w:rsid w:val="00D12C0D"/>
    <w:rsid w:val="00D16E5E"/>
    <w:rsid w:val="00D20681"/>
    <w:rsid w:val="00D22099"/>
    <w:rsid w:val="00D30EC2"/>
    <w:rsid w:val="00D323AF"/>
    <w:rsid w:val="00D408CE"/>
    <w:rsid w:val="00D466C5"/>
    <w:rsid w:val="00D5007C"/>
    <w:rsid w:val="00D5152D"/>
    <w:rsid w:val="00D566D0"/>
    <w:rsid w:val="00D7695E"/>
    <w:rsid w:val="00D80EA1"/>
    <w:rsid w:val="00D93B8D"/>
    <w:rsid w:val="00DA00E5"/>
    <w:rsid w:val="00DA2F86"/>
    <w:rsid w:val="00DA7231"/>
    <w:rsid w:val="00DB1FD3"/>
    <w:rsid w:val="00DB20E8"/>
    <w:rsid w:val="00DD405B"/>
    <w:rsid w:val="00DD5FFE"/>
    <w:rsid w:val="00DE04B0"/>
    <w:rsid w:val="00DE72E3"/>
    <w:rsid w:val="00DF5BE2"/>
    <w:rsid w:val="00E0173F"/>
    <w:rsid w:val="00E02D54"/>
    <w:rsid w:val="00E17A5C"/>
    <w:rsid w:val="00E26651"/>
    <w:rsid w:val="00E370C7"/>
    <w:rsid w:val="00E4592A"/>
    <w:rsid w:val="00E56449"/>
    <w:rsid w:val="00E56879"/>
    <w:rsid w:val="00E63874"/>
    <w:rsid w:val="00E73324"/>
    <w:rsid w:val="00E76D3E"/>
    <w:rsid w:val="00E84201"/>
    <w:rsid w:val="00E95ACE"/>
    <w:rsid w:val="00E9731C"/>
    <w:rsid w:val="00EA026E"/>
    <w:rsid w:val="00EA4532"/>
    <w:rsid w:val="00EB02A1"/>
    <w:rsid w:val="00EC225D"/>
    <w:rsid w:val="00EC763C"/>
    <w:rsid w:val="00ED0132"/>
    <w:rsid w:val="00ED0F3B"/>
    <w:rsid w:val="00EE1FD1"/>
    <w:rsid w:val="00EE488A"/>
    <w:rsid w:val="00EE52EF"/>
    <w:rsid w:val="00EF4D4D"/>
    <w:rsid w:val="00F05953"/>
    <w:rsid w:val="00F15035"/>
    <w:rsid w:val="00F22706"/>
    <w:rsid w:val="00F23003"/>
    <w:rsid w:val="00F24BA3"/>
    <w:rsid w:val="00F34740"/>
    <w:rsid w:val="00F3499B"/>
    <w:rsid w:val="00F46202"/>
    <w:rsid w:val="00F627A1"/>
    <w:rsid w:val="00F66A3C"/>
    <w:rsid w:val="00F941F7"/>
    <w:rsid w:val="00FA17E5"/>
    <w:rsid w:val="00FA20DF"/>
    <w:rsid w:val="00FA474C"/>
    <w:rsid w:val="00FA6635"/>
    <w:rsid w:val="00FC0660"/>
    <w:rsid w:val="00FD028E"/>
    <w:rsid w:val="00FD4103"/>
    <w:rsid w:val="00FD7EFA"/>
    <w:rsid w:val="00FE02C6"/>
    <w:rsid w:val="00FE2A8A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3C56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5C"/>
    <w:pPr>
      <w:spacing w:before="120" w:after="12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785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61CB2"/>
    <w:rPr>
      <w:rFonts w:ascii="Helvetica" w:hAnsi="Helvetica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785C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s1">
    <w:name w:val="s1"/>
    <w:basedOn w:val="DefaultParagraphFont"/>
    <w:rsid w:val="00BE0484"/>
    <w:rPr>
      <w:rFonts w:ascii="Helvetica" w:hAnsi="Helvetica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1F1D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1E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20A3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journaltitle">
    <w:name w:val="journaltitle"/>
    <w:basedOn w:val="DefaultParagraphFont"/>
    <w:rsid w:val="006C20A3"/>
  </w:style>
  <w:style w:type="paragraph" w:customStyle="1" w:styleId="icon--meta-keyline-before">
    <w:name w:val="icon--meta-keyline-before"/>
    <w:basedOn w:val="Normal"/>
    <w:rsid w:val="006C20A3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articlecitationyear">
    <w:name w:val="articlecitation_year"/>
    <w:basedOn w:val="DefaultParagraphFont"/>
    <w:rsid w:val="006C20A3"/>
  </w:style>
  <w:style w:type="character" w:customStyle="1" w:styleId="articlecitationvolume">
    <w:name w:val="articlecitation_volume"/>
    <w:basedOn w:val="DefaultParagraphFont"/>
    <w:rsid w:val="006C20A3"/>
  </w:style>
  <w:style w:type="character" w:customStyle="1" w:styleId="articlecitationpages">
    <w:name w:val="articlecitation_pages"/>
    <w:basedOn w:val="DefaultParagraphFont"/>
    <w:rsid w:val="006C20A3"/>
  </w:style>
  <w:style w:type="character" w:customStyle="1" w:styleId="authorsname">
    <w:name w:val="authors__name"/>
    <w:basedOn w:val="DefaultParagraphFont"/>
    <w:rsid w:val="006C20A3"/>
  </w:style>
  <w:style w:type="character" w:customStyle="1" w:styleId="authorscontact">
    <w:name w:val="authors__contact"/>
    <w:basedOn w:val="DefaultParagraphFont"/>
    <w:rsid w:val="006C20A3"/>
  </w:style>
  <w:style w:type="character" w:styleId="FollowedHyperlink">
    <w:name w:val="FollowedHyperlink"/>
    <w:basedOn w:val="DefaultParagraphFont"/>
    <w:uiPriority w:val="99"/>
    <w:semiHidden/>
    <w:unhideWhenUsed/>
    <w:rsid w:val="006C20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6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35"/>
  </w:style>
  <w:style w:type="paragraph" w:styleId="Footer">
    <w:name w:val="footer"/>
    <w:basedOn w:val="Normal"/>
    <w:link w:val="FooterChar"/>
    <w:uiPriority w:val="99"/>
    <w:unhideWhenUsed/>
    <w:rsid w:val="00FA66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35"/>
  </w:style>
  <w:style w:type="character" w:styleId="CommentReference">
    <w:name w:val="annotation reference"/>
    <w:basedOn w:val="DefaultParagraphFont"/>
    <w:uiPriority w:val="99"/>
    <w:semiHidden/>
    <w:unhideWhenUsed/>
    <w:rsid w:val="005A30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0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0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0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0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0F9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27308"/>
  </w:style>
  <w:style w:type="paragraph" w:styleId="NoSpacing">
    <w:name w:val="No Spacing"/>
    <w:uiPriority w:val="1"/>
    <w:qFormat/>
    <w:rsid w:val="00DE72E3"/>
  </w:style>
  <w:style w:type="paragraph" w:styleId="Revision">
    <w:name w:val="Revision"/>
    <w:hidden/>
    <w:uiPriority w:val="99"/>
    <w:semiHidden/>
    <w:rsid w:val="002469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5C"/>
    <w:pPr>
      <w:spacing w:before="120" w:after="12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785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61CB2"/>
    <w:rPr>
      <w:rFonts w:ascii="Helvetica" w:hAnsi="Helvetica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785C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s1">
    <w:name w:val="s1"/>
    <w:basedOn w:val="DefaultParagraphFont"/>
    <w:rsid w:val="00BE0484"/>
    <w:rPr>
      <w:rFonts w:ascii="Helvetica" w:hAnsi="Helvetica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1F1D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1E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20A3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journaltitle">
    <w:name w:val="journaltitle"/>
    <w:basedOn w:val="DefaultParagraphFont"/>
    <w:rsid w:val="006C20A3"/>
  </w:style>
  <w:style w:type="paragraph" w:customStyle="1" w:styleId="icon--meta-keyline-before">
    <w:name w:val="icon--meta-keyline-before"/>
    <w:basedOn w:val="Normal"/>
    <w:rsid w:val="006C20A3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articlecitationyear">
    <w:name w:val="articlecitation_year"/>
    <w:basedOn w:val="DefaultParagraphFont"/>
    <w:rsid w:val="006C20A3"/>
  </w:style>
  <w:style w:type="character" w:customStyle="1" w:styleId="articlecitationvolume">
    <w:name w:val="articlecitation_volume"/>
    <w:basedOn w:val="DefaultParagraphFont"/>
    <w:rsid w:val="006C20A3"/>
  </w:style>
  <w:style w:type="character" w:customStyle="1" w:styleId="articlecitationpages">
    <w:name w:val="articlecitation_pages"/>
    <w:basedOn w:val="DefaultParagraphFont"/>
    <w:rsid w:val="006C20A3"/>
  </w:style>
  <w:style w:type="character" w:customStyle="1" w:styleId="authorsname">
    <w:name w:val="authors__name"/>
    <w:basedOn w:val="DefaultParagraphFont"/>
    <w:rsid w:val="006C20A3"/>
  </w:style>
  <w:style w:type="character" w:customStyle="1" w:styleId="authorscontact">
    <w:name w:val="authors__contact"/>
    <w:basedOn w:val="DefaultParagraphFont"/>
    <w:rsid w:val="006C20A3"/>
  </w:style>
  <w:style w:type="character" w:styleId="FollowedHyperlink">
    <w:name w:val="FollowedHyperlink"/>
    <w:basedOn w:val="DefaultParagraphFont"/>
    <w:uiPriority w:val="99"/>
    <w:semiHidden/>
    <w:unhideWhenUsed/>
    <w:rsid w:val="006C20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6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35"/>
  </w:style>
  <w:style w:type="paragraph" w:styleId="Footer">
    <w:name w:val="footer"/>
    <w:basedOn w:val="Normal"/>
    <w:link w:val="FooterChar"/>
    <w:uiPriority w:val="99"/>
    <w:unhideWhenUsed/>
    <w:rsid w:val="00FA66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35"/>
  </w:style>
  <w:style w:type="character" w:styleId="CommentReference">
    <w:name w:val="annotation reference"/>
    <w:basedOn w:val="DefaultParagraphFont"/>
    <w:uiPriority w:val="99"/>
    <w:semiHidden/>
    <w:unhideWhenUsed/>
    <w:rsid w:val="005A30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0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0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0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0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0F9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27308"/>
  </w:style>
  <w:style w:type="paragraph" w:styleId="NoSpacing">
    <w:name w:val="No Spacing"/>
    <w:uiPriority w:val="1"/>
    <w:qFormat/>
    <w:rsid w:val="00DE72E3"/>
  </w:style>
  <w:style w:type="paragraph" w:styleId="Revision">
    <w:name w:val="Revision"/>
    <w:hidden/>
    <w:uiPriority w:val="99"/>
    <w:semiHidden/>
    <w:rsid w:val="0024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cbi.nlm.nih.gov/pubmed/?term=Krop%20IE%5BAuthor%5D&amp;cauthor=true&amp;cauthor_uid=27155741" TargetMode="External"/><Relationship Id="rId20" Type="http://schemas.openxmlformats.org/officeDocument/2006/relationships/hyperlink" Target="https://www.ncbi.nlm.nih.gov/pubmed/?term=Petrakova%20K%5BAuthor%5D&amp;cauthor=true&amp;cauthor_uid=27573562" TargetMode="External"/><Relationship Id="rId21" Type="http://schemas.openxmlformats.org/officeDocument/2006/relationships/hyperlink" Target="https://www.ncbi.nlm.nih.gov/pubmed/?term=27573562" TargetMode="External"/><Relationship Id="rId22" Type="http://schemas.openxmlformats.org/officeDocument/2006/relationships/hyperlink" Target="https://www.ncbi.nlm.nih.gov/pubmed/?term=Mayer%20IA%5BAuthor%5D&amp;cauthor=true&amp;cauthor_uid=27126994" TargetMode="External"/><Relationship Id="rId23" Type="http://schemas.openxmlformats.org/officeDocument/2006/relationships/hyperlink" Target="https://www.ncbi.nlm.nih.gov/pubmed/?term=Abramson%20VG%5BAuthor%5D&amp;cauthor=true&amp;cauthor_uid=27126994" TargetMode="External"/><Relationship Id="rId24" Type="http://schemas.openxmlformats.org/officeDocument/2006/relationships/hyperlink" Target="https://www.ncbi.nlm.nih.gov/pubmed/?term=Juric%20D%5BAuthor%5D&amp;cauthor=true&amp;cauthor_uid=28331003" TargetMode="External"/><Relationship Id="rId25" Type="http://schemas.openxmlformats.org/officeDocument/2006/relationships/hyperlink" Target="https://www.ncbi.nlm.nih.gov/pubmed/?term=Krop%20I%5BAuthor%5D&amp;cauthor=true&amp;cauthor_uid=28331003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ncbi.nlm.nih.gov/pubmed/?term=Mayer%20IA%5BAuthor%5D&amp;cauthor=true&amp;cauthor_uid=27155741" TargetMode="External"/><Relationship Id="rId11" Type="http://schemas.openxmlformats.org/officeDocument/2006/relationships/hyperlink" Target="https://www.ncbi.nlm.nih.gov/pubmed/?term=Ganju%20V%5BAuthor%5D&amp;cauthor=true&amp;cauthor_uid=27155741" TargetMode="External"/><Relationship Id="rId12" Type="http://schemas.openxmlformats.org/officeDocument/2006/relationships/hyperlink" Target="https://www.ncbi.nlm.nih.gov/pubmed/27155741" TargetMode="External"/><Relationship Id="rId13" Type="http://schemas.openxmlformats.org/officeDocument/2006/relationships/hyperlink" Target="https://www.ncbi.nlm.nih.gov/pubmed/?term=Mart%C3%ADn%20M%5BAuthor%5D&amp;cauthor=true&amp;cauthor_uid=27803006" TargetMode="External"/><Relationship Id="rId14" Type="http://schemas.openxmlformats.org/officeDocument/2006/relationships/hyperlink" Target="https://www.ncbi.nlm.nih.gov/pubmed/?term=Chan%20A%5BAuthor%5D&amp;cauthor=true&amp;cauthor_uid=27803006" TargetMode="External"/><Relationship Id="rId15" Type="http://schemas.openxmlformats.org/officeDocument/2006/relationships/hyperlink" Target="https://www.ncbi.nlm.nih.gov/pubmed/?term=Dirix%20L%5BAuthor%5D&amp;cauthor=true&amp;cauthor_uid=27803006" TargetMode="External"/><Relationship Id="rId16" Type="http://schemas.openxmlformats.org/officeDocument/2006/relationships/hyperlink" Target="https://www.ncbi.nlm.nih.gov/pubmed/?term=O%27Shaughnessy%20J%5BAuthor%5D&amp;cauthor=true&amp;cauthor_uid=27803006" TargetMode="External"/><Relationship Id="rId17" Type="http://schemas.openxmlformats.org/officeDocument/2006/relationships/hyperlink" Target="https://www.ncbi.nlm.nih.gov/pubmed/?term=27803006" TargetMode="External"/><Relationship Id="rId18" Type="http://schemas.openxmlformats.org/officeDocument/2006/relationships/hyperlink" Target="https://www.ncbi.nlm.nih.gov/pubmed/?term=Vuylsteke%20P%5BAuthor%5D&amp;cauthor=true&amp;cauthor_uid=27573562" TargetMode="External"/><Relationship Id="rId19" Type="http://schemas.openxmlformats.org/officeDocument/2006/relationships/hyperlink" Target="https://www.ncbi.nlm.nih.gov/pubmed/?term=Huizing%20M%5BAuthor%5D&amp;cauthor=true&amp;cauthor_uid=2757356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icholas.turner@ic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8991</Characters>
  <Application>Microsoft Macintosh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Targeting PIK3CA mutant advanced breast cancer in the clinic</vt:lpstr>
      <vt:lpstr>Corresponding author:</vt:lpstr>
      <vt:lpstr>Conflict of Interest:</vt:lpstr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Neha Chopra</cp:lastModifiedBy>
  <cp:revision>2</cp:revision>
  <dcterms:created xsi:type="dcterms:W3CDTF">2017-09-07T09:22:00Z</dcterms:created>
  <dcterms:modified xsi:type="dcterms:W3CDTF">2017-09-07T09:22:00Z</dcterms:modified>
</cp:coreProperties>
</file>