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A7744" w14:textId="1B18C7CF" w:rsidR="00CD2D79" w:rsidRPr="00C76A1A" w:rsidRDefault="00A97F77">
      <w:pPr>
        <w:spacing w:before="28" w:line="226" w:lineRule="exact"/>
        <w:textAlignment w:val="baseline"/>
        <w:rPr>
          <w:rFonts w:ascii="Calibri" w:eastAsia="Calibri" w:hAnsi="Calibri"/>
          <w:b/>
          <w:color w:val="000000"/>
        </w:rPr>
      </w:pPr>
      <w:bookmarkStart w:id="0" w:name="_GoBack"/>
      <w:bookmarkEnd w:id="0"/>
      <w:r w:rsidRPr="00AE6F49">
        <w:rPr>
          <w:rFonts w:ascii="Calibri" w:eastAsia="Calibri" w:hAnsi="Calibri"/>
          <w:b/>
          <w:color w:val="000000"/>
        </w:rPr>
        <w:t>The need for reporting guidelines for early phase dose-finding trials</w:t>
      </w:r>
      <w:r w:rsidR="00504952" w:rsidRPr="00AE6F49">
        <w:rPr>
          <w:rFonts w:ascii="Calibri" w:eastAsia="Calibri" w:hAnsi="Calibri"/>
          <w:b/>
          <w:color w:val="000000"/>
        </w:rPr>
        <w:t>: D</w:t>
      </w:r>
      <w:r w:rsidR="00041275" w:rsidRPr="00AE6F49">
        <w:rPr>
          <w:rFonts w:ascii="Calibri" w:eastAsia="Calibri" w:hAnsi="Calibri"/>
          <w:b/>
          <w:color w:val="000000"/>
        </w:rPr>
        <w:t>ose</w:t>
      </w:r>
      <w:r w:rsidR="0009280A" w:rsidRPr="00AE6F49">
        <w:rPr>
          <w:rFonts w:ascii="Calibri" w:eastAsia="Calibri" w:hAnsi="Calibri"/>
          <w:b/>
          <w:color w:val="000000"/>
        </w:rPr>
        <w:t>-</w:t>
      </w:r>
      <w:r w:rsidR="00504952" w:rsidRPr="00C76A1A">
        <w:rPr>
          <w:rFonts w:ascii="Calibri" w:eastAsia="Calibri" w:hAnsi="Calibri"/>
          <w:b/>
          <w:color w:val="000000"/>
        </w:rPr>
        <w:t>F</w:t>
      </w:r>
      <w:r w:rsidR="00041275" w:rsidRPr="00C76A1A">
        <w:rPr>
          <w:rFonts w:ascii="Calibri" w:eastAsia="Calibri" w:hAnsi="Calibri"/>
          <w:b/>
          <w:color w:val="000000"/>
        </w:rPr>
        <w:t>inding</w:t>
      </w:r>
      <w:r w:rsidR="0066037A" w:rsidRPr="00C76A1A">
        <w:rPr>
          <w:rFonts w:ascii="Calibri" w:eastAsia="Calibri" w:hAnsi="Calibri"/>
          <w:b/>
          <w:color w:val="000000"/>
        </w:rPr>
        <w:t xml:space="preserve"> </w:t>
      </w:r>
      <w:r w:rsidR="00504952" w:rsidRPr="00C76A1A">
        <w:rPr>
          <w:rFonts w:ascii="Calibri" w:eastAsia="Calibri" w:hAnsi="Calibri"/>
          <w:b/>
          <w:color w:val="000000"/>
        </w:rPr>
        <w:t>CONSORT</w:t>
      </w:r>
      <w:r w:rsidR="00041275" w:rsidRPr="00C76A1A">
        <w:rPr>
          <w:rFonts w:ascii="Calibri" w:eastAsia="Calibri" w:hAnsi="Calibri"/>
          <w:b/>
          <w:color w:val="000000"/>
        </w:rPr>
        <w:t xml:space="preserve"> </w:t>
      </w:r>
      <w:r w:rsidR="009B7629" w:rsidRPr="00C76A1A">
        <w:rPr>
          <w:rFonts w:ascii="Calibri" w:eastAsia="Calibri" w:hAnsi="Calibri"/>
          <w:b/>
          <w:color w:val="000000"/>
        </w:rPr>
        <w:t>E</w:t>
      </w:r>
      <w:r w:rsidR="00041275" w:rsidRPr="00C76A1A">
        <w:rPr>
          <w:rFonts w:ascii="Calibri" w:eastAsia="Calibri" w:hAnsi="Calibri"/>
          <w:b/>
          <w:color w:val="000000"/>
        </w:rPr>
        <w:t>xtension</w:t>
      </w:r>
    </w:p>
    <w:p w14:paraId="3FD36959" w14:textId="26F5BA58" w:rsidR="0076515A" w:rsidRPr="00C76A1A" w:rsidRDefault="0076515A" w:rsidP="0076515A">
      <w:pPr>
        <w:spacing w:before="284" w:line="268" w:lineRule="exact"/>
        <w:ind w:right="360"/>
        <w:textAlignment w:val="baseline"/>
        <w:rPr>
          <w:rFonts w:ascii="Calibri" w:eastAsia="Calibri" w:hAnsi="Calibri"/>
          <w:b/>
          <w:i/>
          <w:color w:val="000000"/>
        </w:rPr>
      </w:pPr>
      <w:r w:rsidRPr="00C76A1A">
        <w:rPr>
          <w:rFonts w:ascii="Calibri" w:eastAsia="Calibri" w:hAnsi="Calibri"/>
          <w:b/>
          <w:i/>
          <w:color w:val="000000"/>
        </w:rPr>
        <w:t xml:space="preserve">Christina Yap* </w:t>
      </w:r>
      <w:r w:rsidRPr="00C76A1A">
        <w:rPr>
          <w:rFonts w:ascii="Calibri" w:eastAsia="Calibri" w:hAnsi="Calibri"/>
          <w:b/>
          <w:i/>
          <w:color w:val="000000"/>
          <w:vertAlign w:val="superscript"/>
        </w:rPr>
        <w:t>1</w:t>
      </w:r>
      <w:r w:rsidRPr="00C76A1A">
        <w:rPr>
          <w:rFonts w:ascii="Calibri" w:eastAsia="Calibri" w:hAnsi="Calibri"/>
          <w:b/>
          <w:i/>
          <w:color w:val="000000"/>
        </w:rPr>
        <w:t xml:space="preserve">, </w:t>
      </w:r>
      <w:r w:rsidRPr="00AE6F49">
        <w:rPr>
          <w:rFonts w:ascii="Calibri" w:eastAsia="Calibri" w:hAnsi="Calibri"/>
          <w:b/>
          <w:i/>
          <w:color w:val="000000"/>
        </w:rPr>
        <w:t xml:space="preserve">Alun Bedding </w:t>
      </w:r>
      <w:r w:rsidRPr="00AE6F49">
        <w:rPr>
          <w:rFonts w:ascii="Calibri" w:eastAsia="Calibri" w:hAnsi="Calibri"/>
          <w:b/>
          <w:i/>
          <w:color w:val="000000"/>
          <w:vertAlign w:val="superscript"/>
        </w:rPr>
        <w:t>2</w:t>
      </w:r>
      <w:r w:rsidRPr="00C76A1A">
        <w:rPr>
          <w:rFonts w:ascii="Calibri" w:eastAsia="Calibri" w:hAnsi="Calibri"/>
          <w:b/>
          <w:i/>
          <w:color w:val="000000"/>
        </w:rPr>
        <w:t xml:space="preserve">, Johann de Bono </w:t>
      </w:r>
      <w:r w:rsidRPr="00C76A1A">
        <w:rPr>
          <w:rFonts w:ascii="Calibri" w:eastAsia="Calibri" w:hAnsi="Calibri"/>
          <w:b/>
          <w:i/>
          <w:color w:val="000000"/>
          <w:vertAlign w:val="superscript"/>
        </w:rPr>
        <w:t>1</w:t>
      </w:r>
      <w:r w:rsidRPr="00C76A1A">
        <w:rPr>
          <w:rFonts w:ascii="Calibri" w:eastAsia="Calibri" w:hAnsi="Calibri"/>
          <w:b/>
          <w:i/>
          <w:color w:val="000000"/>
        </w:rPr>
        <w:t xml:space="preserve">, Munyaradzi Dimairo </w:t>
      </w:r>
      <w:r w:rsidRPr="00C76A1A">
        <w:rPr>
          <w:rFonts w:ascii="Calibri" w:eastAsia="Calibri" w:hAnsi="Calibri"/>
          <w:b/>
          <w:i/>
          <w:color w:val="000000"/>
          <w:vertAlign w:val="superscript"/>
        </w:rPr>
        <w:t>3</w:t>
      </w:r>
      <w:r w:rsidRPr="00C76A1A">
        <w:rPr>
          <w:rFonts w:ascii="Calibri" w:eastAsia="Calibri" w:hAnsi="Calibri"/>
          <w:b/>
          <w:i/>
          <w:color w:val="000000"/>
        </w:rPr>
        <w:t xml:space="preserve">, </w:t>
      </w:r>
      <w:r w:rsidR="00EC5AD9" w:rsidRPr="00B05D8D">
        <w:rPr>
          <w:rFonts w:ascii="Calibri" w:eastAsia="Calibri" w:hAnsi="Calibri"/>
          <w:b/>
          <w:i/>
          <w:color w:val="000000"/>
        </w:rPr>
        <w:t xml:space="preserve">Aude Espinasse </w:t>
      </w:r>
      <w:r w:rsidR="00EC5AD9" w:rsidRPr="00B05D8D">
        <w:rPr>
          <w:rFonts w:ascii="Calibri" w:eastAsia="Calibri" w:hAnsi="Calibri"/>
          <w:b/>
          <w:i/>
          <w:color w:val="000000"/>
          <w:vertAlign w:val="superscript"/>
        </w:rPr>
        <w:t>1</w:t>
      </w:r>
      <w:r w:rsidR="00EC5AD9" w:rsidRPr="00B05D8D">
        <w:rPr>
          <w:rFonts w:ascii="Calibri" w:eastAsia="Calibri" w:hAnsi="Calibri"/>
          <w:b/>
          <w:i/>
          <w:color w:val="000000"/>
        </w:rPr>
        <w:t>,</w:t>
      </w:r>
      <w:r w:rsidR="00EC5AD9">
        <w:rPr>
          <w:rFonts w:ascii="Calibri" w:eastAsia="Calibri" w:hAnsi="Calibri"/>
          <w:b/>
          <w:i/>
          <w:color w:val="000000"/>
        </w:rPr>
        <w:t xml:space="preserve"> </w:t>
      </w:r>
      <w:r w:rsidRPr="00C76A1A">
        <w:rPr>
          <w:rFonts w:ascii="Calibri" w:eastAsia="Calibri" w:hAnsi="Calibri"/>
          <w:b/>
          <w:i/>
          <w:color w:val="000000"/>
        </w:rPr>
        <w:t xml:space="preserve">Jeffry Evans </w:t>
      </w:r>
      <w:r w:rsidRPr="00C76A1A">
        <w:rPr>
          <w:rFonts w:ascii="Calibri" w:eastAsia="Calibri" w:hAnsi="Calibri"/>
          <w:b/>
          <w:i/>
          <w:color w:val="000000"/>
          <w:vertAlign w:val="superscript"/>
        </w:rPr>
        <w:t>4</w:t>
      </w:r>
      <w:r w:rsidRPr="00C76A1A">
        <w:rPr>
          <w:rFonts w:ascii="Calibri" w:eastAsia="Calibri" w:hAnsi="Calibri"/>
          <w:b/>
          <w:i/>
          <w:color w:val="000000"/>
        </w:rPr>
        <w:t xml:space="preserve">, Sally Hopewell </w:t>
      </w:r>
      <w:r w:rsidRPr="00C76A1A">
        <w:rPr>
          <w:rFonts w:ascii="Calibri" w:eastAsia="Calibri" w:hAnsi="Calibri"/>
          <w:b/>
          <w:i/>
          <w:color w:val="000000"/>
          <w:vertAlign w:val="superscript"/>
        </w:rPr>
        <w:t>5</w:t>
      </w:r>
      <w:r w:rsidRPr="00C76A1A">
        <w:rPr>
          <w:rFonts w:ascii="Calibri" w:eastAsia="Calibri" w:hAnsi="Calibri"/>
          <w:b/>
          <w:i/>
          <w:color w:val="000000"/>
        </w:rPr>
        <w:t xml:space="preserve">, Thomas Jaki </w:t>
      </w:r>
      <w:r w:rsidRPr="00C76A1A">
        <w:rPr>
          <w:rFonts w:ascii="Calibri" w:eastAsia="Calibri" w:hAnsi="Calibri"/>
          <w:b/>
          <w:i/>
          <w:color w:val="000000"/>
          <w:vertAlign w:val="superscript"/>
        </w:rPr>
        <w:t>6</w:t>
      </w:r>
      <w:r w:rsidRPr="00C76A1A">
        <w:rPr>
          <w:rFonts w:ascii="Calibri" w:eastAsia="Calibri" w:hAnsi="Calibri"/>
          <w:b/>
          <w:i/>
          <w:color w:val="000000"/>
        </w:rPr>
        <w:t xml:space="preserve">, Andrew Kightley </w:t>
      </w:r>
      <w:r w:rsidRPr="00C76A1A">
        <w:rPr>
          <w:rFonts w:ascii="Calibri" w:eastAsia="Calibri" w:hAnsi="Calibri"/>
          <w:b/>
          <w:i/>
          <w:color w:val="000000"/>
          <w:vertAlign w:val="superscript"/>
        </w:rPr>
        <w:t>7</w:t>
      </w:r>
      <w:r w:rsidRPr="00C76A1A">
        <w:rPr>
          <w:rFonts w:ascii="Calibri" w:eastAsia="Calibri" w:hAnsi="Calibri"/>
          <w:b/>
          <w:i/>
          <w:color w:val="000000"/>
        </w:rPr>
        <w:t xml:space="preserve">, Shing Lee </w:t>
      </w:r>
      <w:r w:rsidRPr="00C76A1A">
        <w:rPr>
          <w:rFonts w:ascii="Calibri" w:eastAsia="Calibri" w:hAnsi="Calibri"/>
          <w:b/>
          <w:i/>
          <w:color w:val="000000"/>
          <w:vertAlign w:val="superscript"/>
        </w:rPr>
        <w:t>8</w:t>
      </w:r>
      <w:r w:rsidRPr="00C76A1A">
        <w:rPr>
          <w:rFonts w:ascii="Calibri" w:eastAsia="Calibri" w:hAnsi="Calibri"/>
          <w:b/>
          <w:i/>
          <w:color w:val="000000"/>
        </w:rPr>
        <w:t xml:space="preserve">, Rong Liu </w:t>
      </w:r>
      <w:r w:rsidRPr="00C76A1A">
        <w:rPr>
          <w:rFonts w:ascii="Calibri" w:eastAsia="Calibri" w:hAnsi="Calibri"/>
          <w:b/>
          <w:i/>
          <w:color w:val="000000"/>
          <w:vertAlign w:val="superscript"/>
        </w:rPr>
        <w:t>9</w:t>
      </w:r>
      <w:r w:rsidRPr="00C76A1A">
        <w:rPr>
          <w:rFonts w:ascii="Calibri" w:eastAsia="Calibri" w:hAnsi="Calibri"/>
          <w:b/>
          <w:i/>
          <w:color w:val="000000"/>
        </w:rPr>
        <w:t xml:space="preserve">, Adrian Mander </w:t>
      </w:r>
      <w:r w:rsidRPr="00C76A1A">
        <w:rPr>
          <w:rFonts w:ascii="Calibri" w:eastAsia="Calibri" w:hAnsi="Calibri"/>
          <w:b/>
          <w:i/>
          <w:color w:val="000000"/>
          <w:vertAlign w:val="superscript"/>
        </w:rPr>
        <w:t>10</w:t>
      </w:r>
      <w:r w:rsidRPr="00C76A1A">
        <w:rPr>
          <w:rFonts w:ascii="Calibri" w:eastAsia="Calibri" w:hAnsi="Calibri"/>
          <w:b/>
          <w:i/>
          <w:color w:val="000000"/>
        </w:rPr>
        <w:t xml:space="preserve">, Olga Solovyeva </w:t>
      </w:r>
      <w:r w:rsidRPr="00C76A1A">
        <w:rPr>
          <w:rFonts w:ascii="Calibri" w:eastAsia="Calibri" w:hAnsi="Calibri"/>
          <w:b/>
          <w:i/>
          <w:color w:val="000000"/>
          <w:vertAlign w:val="superscript"/>
        </w:rPr>
        <w:t>1</w:t>
      </w:r>
      <w:r w:rsidRPr="00C76A1A">
        <w:rPr>
          <w:rFonts w:ascii="Calibri" w:eastAsia="Calibri" w:hAnsi="Calibri"/>
          <w:b/>
          <w:i/>
          <w:color w:val="000000"/>
        </w:rPr>
        <w:t xml:space="preserve">, Christopher </w:t>
      </w:r>
      <w:r w:rsidR="00D37EB6" w:rsidRPr="00C76A1A">
        <w:rPr>
          <w:rFonts w:ascii="Calibri" w:eastAsia="Calibri" w:hAnsi="Calibri"/>
          <w:b/>
          <w:i/>
          <w:color w:val="000000"/>
        </w:rPr>
        <w:t xml:space="preserve">J </w:t>
      </w:r>
      <w:r w:rsidRPr="00C76A1A">
        <w:rPr>
          <w:rFonts w:ascii="Calibri" w:eastAsia="Calibri" w:hAnsi="Calibri"/>
          <w:b/>
          <w:i/>
          <w:color w:val="000000"/>
        </w:rPr>
        <w:t xml:space="preserve">Weir </w:t>
      </w:r>
      <w:r w:rsidRPr="00C76A1A">
        <w:rPr>
          <w:rFonts w:ascii="Calibri" w:eastAsia="Calibri" w:hAnsi="Calibri"/>
          <w:b/>
          <w:i/>
          <w:color w:val="000000"/>
          <w:vertAlign w:val="superscript"/>
        </w:rPr>
        <w:t>11</w:t>
      </w:r>
      <w:r w:rsidRPr="00C76A1A">
        <w:rPr>
          <w:rFonts w:ascii="Calibri" w:eastAsia="Calibri" w:hAnsi="Calibri"/>
          <w:b/>
          <w:i/>
          <w:color w:val="000000"/>
        </w:rPr>
        <w:t xml:space="preserve"> </w:t>
      </w:r>
      <w:r w:rsidR="00BC7A44" w:rsidRPr="00C76A1A">
        <w:rPr>
          <w:rFonts w:ascii="Calibri" w:eastAsia="Calibri" w:hAnsi="Calibri"/>
          <w:b/>
          <w:i/>
          <w:color w:val="000000"/>
        </w:rPr>
        <w:t>; The Dose-finding CONSORT Extension Executive Committee</w:t>
      </w:r>
    </w:p>
    <w:p w14:paraId="2C7D4870" w14:textId="0821B866" w:rsidR="0076515A" w:rsidRPr="00C76A1A" w:rsidRDefault="00BC7A44" w:rsidP="0076515A">
      <w:pPr>
        <w:spacing w:before="255" w:line="268" w:lineRule="exact"/>
        <w:ind w:right="72"/>
        <w:textAlignment w:val="baseline"/>
        <w:rPr>
          <w:rFonts w:ascii="Calibri" w:eastAsia="Calibri" w:hAnsi="Calibri"/>
          <w:color w:val="000000"/>
          <w:vertAlign w:val="superscript"/>
        </w:rPr>
      </w:pPr>
      <w:r w:rsidRPr="00AE6F49">
        <w:rPr>
          <w:rFonts w:ascii="Calibri" w:eastAsia="Calibri" w:hAnsi="Calibri"/>
          <w:color w:val="000000"/>
          <w:vertAlign w:val="superscript"/>
        </w:rPr>
        <w:t>1</w:t>
      </w:r>
      <w:r w:rsidR="00AE0CC4">
        <w:rPr>
          <w:rFonts w:ascii="Calibri" w:eastAsia="Calibri" w:hAnsi="Calibri"/>
          <w:color w:val="000000"/>
          <w:vertAlign w:val="superscript"/>
        </w:rPr>
        <w:t xml:space="preserve"> </w:t>
      </w:r>
      <w:r w:rsidR="00E418C1">
        <w:rPr>
          <w:rFonts w:ascii="Calibri" w:eastAsia="Calibri" w:hAnsi="Calibri"/>
          <w:color w:val="000000"/>
        </w:rPr>
        <w:t>Clinical Trials and Statistics Unit, I</w:t>
      </w:r>
      <w:r w:rsidR="0076515A" w:rsidRPr="00AE6F49">
        <w:rPr>
          <w:rFonts w:ascii="Calibri" w:eastAsia="Calibri" w:hAnsi="Calibri"/>
          <w:color w:val="000000"/>
        </w:rPr>
        <w:t xml:space="preserve">nstitute of Cancer Research, </w:t>
      </w:r>
      <w:r w:rsidR="00E418C1">
        <w:rPr>
          <w:rFonts w:ascii="Calibri" w:eastAsia="Calibri" w:hAnsi="Calibri"/>
          <w:color w:val="000000"/>
        </w:rPr>
        <w:t>UK</w:t>
      </w:r>
      <w:r w:rsidR="00E418C1" w:rsidRPr="00AE6F49">
        <w:rPr>
          <w:rFonts w:ascii="Calibri" w:eastAsia="Calibri" w:hAnsi="Calibri"/>
          <w:color w:val="000000"/>
        </w:rPr>
        <w:t xml:space="preserve"> </w:t>
      </w:r>
      <w:r w:rsidR="0076515A" w:rsidRPr="00AE6F49">
        <w:rPr>
          <w:rFonts w:ascii="Calibri" w:eastAsia="Calibri" w:hAnsi="Calibri"/>
          <w:color w:val="000000"/>
        </w:rPr>
        <w:t xml:space="preserve">(corresponding author); </w:t>
      </w:r>
      <w:r w:rsidR="0076515A" w:rsidRPr="00C76A1A">
        <w:rPr>
          <w:rFonts w:ascii="Calibri" w:eastAsia="Calibri" w:hAnsi="Calibri"/>
          <w:color w:val="000000"/>
          <w:vertAlign w:val="superscript"/>
        </w:rPr>
        <w:t>2</w:t>
      </w:r>
      <w:r w:rsidR="0076515A" w:rsidRPr="00C76A1A">
        <w:rPr>
          <w:rFonts w:ascii="Calibri" w:eastAsia="Calibri" w:hAnsi="Calibri"/>
          <w:color w:val="000000"/>
        </w:rPr>
        <w:t xml:space="preserve"> Roche; </w:t>
      </w:r>
      <w:r w:rsidR="0076515A" w:rsidRPr="00C76A1A">
        <w:rPr>
          <w:rFonts w:ascii="Calibri" w:eastAsia="Calibri" w:hAnsi="Calibri"/>
          <w:color w:val="000000"/>
          <w:vertAlign w:val="superscript"/>
        </w:rPr>
        <w:t>3</w:t>
      </w:r>
      <w:r w:rsidR="0076515A" w:rsidRPr="00C76A1A">
        <w:rPr>
          <w:rFonts w:ascii="Calibri" w:eastAsia="Calibri" w:hAnsi="Calibri"/>
          <w:color w:val="000000"/>
        </w:rPr>
        <w:t xml:space="preserve"> School of Health and Related Research (ScHARR), University of Sheffield</w:t>
      </w:r>
      <w:r w:rsidR="00E418C1">
        <w:rPr>
          <w:rFonts w:ascii="Calibri" w:eastAsia="Calibri" w:hAnsi="Calibri"/>
          <w:color w:val="000000"/>
        </w:rPr>
        <w:t>, UK</w:t>
      </w:r>
      <w:r w:rsidR="0076515A" w:rsidRPr="00C76A1A">
        <w:rPr>
          <w:rFonts w:ascii="Calibri" w:eastAsia="Calibri" w:hAnsi="Calibri"/>
          <w:color w:val="000000"/>
        </w:rPr>
        <w:t xml:space="preserve">; </w:t>
      </w:r>
      <w:r w:rsidR="0076515A" w:rsidRPr="00C76A1A">
        <w:rPr>
          <w:rFonts w:ascii="Calibri" w:eastAsia="Calibri" w:hAnsi="Calibri"/>
          <w:color w:val="000000"/>
          <w:vertAlign w:val="superscript"/>
        </w:rPr>
        <w:t>4</w:t>
      </w:r>
      <w:r w:rsidR="0076515A" w:rsidRPr="00C76A1A">
        <w:rPr>
          <w:rFonts w:ascii="Calibri" w:eastAsia="Calibri" w:hAnsi="Calibri"/>
          <w:color w:val="000000"/>
        </w:rPr>
        <w:t xml:space="preserve"> University of Glasgow</w:t>
      </w:r>
      <w:r w:rsidR="00E418C1">
        <w:rPr>
          <w:rFonts w:ascii="Calibri" w:eastAsia="Calibri" w:hAnsi="Calibri"/>
          <w:color w:val="000000"/>
        </w:rPr>
        <w:t>, UK</w:t>
      </w:r>
      <w:r w:rsidR="0076515A" w:rsidRPr="00C76A1A">
        <w:rPr>
          <w:rFonts w:ascii="Calibri" w:eastAsia="Calibri" w:hAnsi="Calibri"/>
          <w:color w:val="000000"/>
        </w:rPr>
        <w:t xml:space="preserve">; </w:t>
      </w:r>
      <w:r w:rsidR="0076515A" w:rsidRPr="00C76A1A">
        <w:rPr>
          <w:rFonts w:ascii="Calibri" w:eastAsia="Calibri" w:hAnsi="Calibri"/>
          <w:color w:val="000000"/>
          <w:vertAlign w:val="superscript"/>
        </w:rPr>
        <w:t>5</w:t>
      </w:r>
      <w:r w:rsidR="0076515A" w:rsidRPr="00C76A1A">
        <w:rPr>
          <w:rFonts w:ascii="Calibri" w:eastAsia="Calibri" w:hAnsi="Calibri"/>
          <w:color w:val="000000"/>
        </w:rPr>
        <w:t xml:space="preserve"> University of Oxford</w:t>
      </w:r>
      <w:r w:rsidR="00E418C1">
        <w:rPr>
          <w:rFonts w:ascii="Calibri" w:eastAsia="Calibri" w:hAnsi="Calibri"/>
          <w:color w:val="000000"/>
        </w:rPr>
        <w:t>, UK</w:t>
      </w:r>
      <w:r w:rsidR="0076515A" w:rsidRPr="00C76A1A">
        <w:rPr>
          <w:rFonts w:ascii="Calibri" w:eastAsia="Calibri" w:hAnsi="Calibri"/>
          <w:color w:val="000000"/>
        </w:rPr>
        <w:t xml:space="preserve"> ; </w:t>
      </w:r>
      <w:r w:rsidR="00AE0CC4">
        <w:rPr>
          <w:rFonts w:ascii="Calibri" w:eastAsia="Calibri" w:hAnsi="Calibri"/>
          <w:color w:val="000000"/>
          <w:vertAlign w:val="superscript"/>
        </w:rPr>
        <w:t xml:space="preserve">6 </w:t>
      </w:r>
      <w:r w:rsidR="0076515A" w:rsidRPr="00AE6F49">
        <w:rPr>
          <w:rFonts w:ascii="Calibri" w:eastAsia="Calibri" w:hAnsi="Calibri"/>
          <w:color w:val="000000"/>
        </w:rPr>
        <w:t>Lancaster University/University of Cambridge</w:t>
      </w:r>
      <w:r w:rsidR="00E418C1">
        <w:rPr>
          <w:rFonts w:ascii="Calibri" w:eastAsia="Calibri" w:hAnsi="Calibri"/>
          <w:color w:val="000000"/>
        </w:rPr>
        <w:t>, UK</w:t>
      </w:r>
      <w:r w:rsidR="0076515A" w:rsidRPr="00AE6F49">
        <w:rPr>
          <w:rFonts w:ascii="Calibri" w:eastAsia="Calibri" w:hAnsi="Calibri"/>
          <w:color w:val="000000"/>
        </w:rPr>
        <w:t xml:space="preserve">; </w:t>
      </w:r>
      <w:r w:rsidR="0076515A" w:rsidRPr="00AE6F49">
        <w:rPr>
          <w:rFonts w:ascii="Calibri" w:eastAsia="Calibri" w:hAnsi="Calibri"/>
          <w:color w:val="000000"/>
          <w:vertAlign w:val="superscript"/>
        </w:rPr>
        <w:t>7</w:t>
      </w:r>
      <w:r w:rsidR="0076515A" w:rsidRPr="00AE6F49">
        <w:rPr>
          <w:rFonts w:ascii="Calibri" w:eastAsia="Calibri" w:hAnsi="Calibri"/>
          <w:color w:val="000000"/>
        </w:rPr>
        <w:t xml:space="preserve"> Patient and</w:t>
      </w:r>
      <w:r w:rsidR="0076515A" w:rsidRPr="00C76A1A">
        <w:rPr>
          <w:rFonts w:ascii="Calibri" w:eastAsia="Calibri" w:hAnsi="Calibri"/>
          <w:color w:val="000000"/>
        </w:rPr>
        <w:t xml:space="preserve"> Public involvement partner</w:t>
      </w:r>
      <w:r w:rsidR="00E418C1">
        <w:rPr>
          <w:rFonts w:ascii="Calibri" w:eastAsia="Calibri" w:hAnsi="Calibri"/>
          <w:color w:val="000000"/>
        </w:rPr>
        <w:t>, UK</w:t>
      </w:r>
      <w:r w:rsidR="0076515A" w:rsidRPr="00C76A1A">
        <w:rPr>
          <w:rFonts w:ascii="Calibri" w:eastAsia="Calibri" w:hAnsi="Calibri"/>
          <w:color w:val="000000"/>
        </w:rPr>
        <w:t xml:space="preserve">; </w:t>
      </w:r>
      <w:r w:rsidR="0076515A" w:rsidRPr="00C76A1A">
        <w:rPr>
          <w:rFonts w:ascii="Calibri" w:eastAsia="Calibri" w:hAnsi="Calibri"/>
          <w:color w:val="000000"/>
          <w:vertAlign w:val="superscript"/>
        </w:rPr>
        <w:t>8</w:t>
      </w:r>
      <w:r w:rsidR="0076515A" w:rsidRPr="00C76A1A">
        <w:rPr>
          <w:rFonts w:ascii="Calibri" w:eastAsia="Calibri" w:hAnsi="Calibri"/>
          <w:color w:val="000000"/>
        </w:rPr>
        <w:t xml:space="preserve"> Columbia University</w:t>
      </w:r>
      <w:r w:rsidR="00E418C1">
        <w:rPr>
          <w:rFonts w:ascii="Calibri" w:eastAsia="Calibri" w:hAnsi="Calibri"/>
          <w:color w:val="000000"/>
        </w:rPr>
        <w:t>, USA</w:t>
      </w:r>
      <w:r w:rsidR="0076515A" w:rsidRPr="00C76A1A">
        <w:rPr>
          <w:rFonts w:ascii="Calibri" w:eastAsia="Calibri" w:hAnsi="Calibri"/>
          <w:color w:val="000000"/>
        </w:rPr>
        <w:t xml:space="preserve">; </w:t>
      </w:r>
      <w:r w:rsidR="0076515A" w:rsidRPr="00C76A1A">
        <w:rPr>
          <w:rFonts w:ascii="Calibri" w:eastAsia="Calibri" w:hAnsi="Calibri"/>
          <w:color w:val="000000"/>
          <w:vertAlign w:val="superscript"/>
        </w:rPr>
        <w:t>9</w:t>
      </w:r>
      <w:r w:rsidR="0076515A" w:rsidRPr="00C76A1A">
        <w:rPr>
          <w:rFonts w:ascii="Calibri" w:eastAsia="Calibri" w:hAnsi="Calibri"/>
          <w:color w:val="000000"/>
        </w:rPr>
        <w:t xml:space="preserve"> Bristol Meyers Squibb; </w:t>
      </w:r>
      <w:r w:rsidR="0076515A" w:rsidRPr="00C76A1A">
        <w:rPr>
          <w:rFonts w:ascii="Calibri" w:eastAsia="Calibri" w:hAnsi="Calibri"/>
          <w:color w:val="000000"/>
          <w:vertAlign w:val="superscript"/>
        </w:rPr>
        <w:t>10</w:t>
      </w:r>
      <w:r w:rsidR="0076515A" w:rsidRPr="00C76A1A">
        <w:rPr>
          <w:rFonts w:ascii="Calibri" w:eastAsia="Calibri" w:hAnsi="Calibri"/>
          <w:color w:val="000000"/>
        </w:rPr>
        <w:t xml:space="preserve"> Centre for Trials Research, Cardiff University</w:t>
      </w:r>
      <w:r w:rsidR="00E418C1">
        <w:rPr>
          <w:rFonts w:ascii="Calibri" w:eastAsia="Calibri" w:hAnsi="Calibri"/>
          <w:color w:val="000000"/>
        </w:rPr>
        <w:t>, UK</w:t>
      </w:r>
      <w:r w:rsidR="0076515A" w:rsidRPr="00C76A1A">
        <w:rPr>
          <w:rFonts w:ascii="Calibri" w:eastAsia="Calibri" w:hAnsi="Calibri"/>
          <w:color w:val="000000"/>
        </w:rPr>
        <w:t xml:space="preserve">; </w:t>
      </w:r>
      <w:r w:rsidR="0076515A" w:rsidRPr="00C76A1A">
        <w:rPr>
          <w:rFonts w:ascii="Calibri" w:eastAsia="Calibri" w:hAnsi="Calibri"/>
          <w:color w:val="000000"/>
          <w:vertAlign w:val="superscript"/>
        </w:rPr>
        <w:t>11</w:t>
      </w:r>
      <w:r w:rsidR="0076515A" w:rsidRPr="00C76A1A">
        <w:rPr>
          <w:rFonts w:ascii="Calibri" w:eastAsia="Calibri" w:hAnsi="Calibri"/>
          <w:color w:val="000000"/>
        </w:rPr>
        <w:t xml:space="preserve"> Edinburgh Clinical Trials Unit, Usher Institute, University of Edinburgh</w:t>
      </w:r>
      <w:r w:rsidR="00E418C1">
        <w:rPr>
          <w:rFonts w:ascii="Calibri" w:eastAsia="Calibri" w:hAnsi="Calibri"/>
          <w:color w:val="000000"/>
        </w:rPr>
        <w:t>, UK</w:t>
      </w:r>
      <w:r w:rsidR="0076515A" w:rsidRPr="00C76A1A">
        <w:rPr>
          <w:rFonts w:ascii="Calibri" w:eastAsia="Calibri" w:hAnsi="Calibri"/>
          <w:color w:val="000000"/>
        </w:rPr>
        <w:t>.</w:t>
      </w:r>
    </w:p>
    <w:p w14:paraId="0C52EB6F" w14:textId="77777777" w:rsidR="00106A13" w:rsidRDefault="00106A13" w:rsidP="00C76A1A">
      <w:pPr>
        <w:textAlignment w:val="baseline"/>
        <w:rPr>
          <w:rFonts w:ascii="Calibri" w:eastAsia="Calibri" w:hAnsi="Calibri"/>
          <w:b/>
          <w:color w:val="000000"/>
        </w:rPr>
      </w:pPr>
    </w:p>
    <w:p w14:paraId="5D50B7A5" w14:textId="2E0EE423" w:rsidR="0076515A" w:rsidRPr="00AE6F49" w:rsidRDefault="0076515A" w:rsidP="00C76A1A">
      <w:pPr>
        <w:textAlignment w:val="baseline"/>
        <w:rPr>
          <w:rFonts w:ascii="Calibri" w:eastAsia="Calibri" w:hAnsi="Calibri"/>
          <w:b/>
          <w:color w:val="000000"/>
        </w:rPr>
      </w:pPr>
      <w:r w:rsidRPr="00AE6F49">
        <w:rPr>
          <w:rFonts w:ascii="Calibri" w:eastAsia="Calibri" w:hAnsi="Calibri"/>
          <w:b/>
          <w:color w:val="000000"/>
        </w:rPr>
        <w:t>Corresponding author</w:t>
      </w:r>
      <w:r w:rsidR="00041275" w:rsidRPr="00AE6F49">
        <w:rPr>
          <w:rFonts w:ascii="Calibri" w:eastAsia="Calibri" w:hAnsi="Calibri"/>
          <w:b/>
          <w:color w:val="000000"/>
        </w:rPr>
        <w:t>:</w:t>
      </w:r>
    </w:p>
    <w:p w14:paraId="17D20BFA" w14:textId="1FCC2946" w:rsidR="00041275" w:rsidRPr="00C76A1A" w:rsidRDefault="00041275" w:rsidP="00C76A1A">
      <w:pPr>
        <w:ind w:right="215"/>
        <w:textAlignment w:val="baseline"/>
        <w:rPr>
          <w:rFonts w:ascii="Calibri" w:eastAsia="Calibri" w:hAnsi="Calibri"/>
          <w:color w:val="000000"/>
        </w:rPr>
      </w:pPr>
      <w:r w:rsidRPr="00C76A1A">
        <w:rPr>
          <w:rFonts w:ascii="Calibri" w:eastAsia="Calibri" w:hAnsi="Calibri"/>
          <w:color w:val="000000"/>
        </w:rPr>
        <w:t>Christina Yap</w:t>
      </w:r>
      <w:r w:rsidR="000F6AB9" w:rsidRPr="00C76A1A">
        <w:rPr>
          <w:rFonts w:ascii="Calibri" w:eastAsia="Calibri" w:hAnsi="Calibri"/>
          <w:color w:val="000000"/>
        </w:rPr>
        <w:t xml:space="preserve"> PhD CStat</w:t>
      </w:r>
    </w:p>
    <w:p w14:paraId="31BA2173" w14:textId="77777777" w:rsidR="00041275" w:rsidRPr="00C76A1A" w:rsidRDefault="00041275" w:rsidP="00C76A1A">
      <w:pPr>
        <w:ind w:right="215"/>
        <w:textAlignment w:val="baseline"/>
        <w:rPr>
          <w:rFonts w:ascii="Calibri" w:eastAsia="Calibri" w:hAnsi="Calibri"/>
          <w:color w:val="000000"/>
        </w:rPr>
      </w:pPr>
      <w:r w:rsidRPr="00C76A1A">
        <w:rPr>
          <w:rFonts w:ascii="Calibri" w:eastAsia="Calibri" w:hAnsi="Calibri"/>
          <w:color w:val="000000"/>
        </w:rPr>
        <w:t>Professor of Clinical Trials Biostatistics</w:t>
      </w:r>
    </w:p>
    <w:p w14:paraId="01A609CA" w14:textId="77777777" w:rsidR="00733B79" w:rsidRDefault="00041275" w:rsidP="00C76A1A">
      <w:pPr>
        <w:ind w:right="215"/>
        <w:textAlignment w:val="baseline"/>
        <w:rPr>
          <w:rFonts w:ascii="Calibri" w:eastAsia="Calibri" w:hAnsi="Calibri"/>
          <w:color w:val="000000"/>
        </w:rPr>
      </w:pPr>
      <w:r w:rsidRPr="00C76A1A">
        <w:rPr>
          <w:rFonts w:ascii="Calibri" w:eastAsia="Calibri" w:hAnsi="Calibri"/>
          <w:color w:val="000000"/>
        </w:rPr>
        <w:t>The Institute of Cancer Research</w:t>
      </w:r>
    </w:p>
    <w:p w14:paraId="30D0B87C" w14:textId="0E4B8124" w:rsidR="00041275" w:rsidRPr="00C76A1A" w:rsidRDefault="00041275" w:rsidP="00C76A1A">
      <w:pPr>
        <w:ind w:right="215"/>
        <w:textAlignment w:val="baseline"/>
        <w:rPr>
          <w:rFonts w:ascii="Calibri" w:eastAsia="Calibri" w:hAnsi="Calibri"/>
          <w:color w:val="000000"/>
        </w:rPr>
      </w:pPr>
      <w:r w:rsidRPr="00C76A1A">
        <w:rPr>
          <w:rFonts w:ascii="Calibri" w:eastAsia="Calibri" w:hAnsi="Calibri"/>
          <w:color w:val="000000"/>
        </w:rPr>
        <w:t>15 Cotswold Road, Sutton, SM2 5NG</w:t>
      </w:r>
    </w:p>
    <w:p w14:paraId="2EB88087" w14:textId="10A06CAC" w:rsidR="00041275" w:rsidRPr="00C76A1A" w:rsidRDefault="00486023" w:rsidP="00C76A1A">
      <w:pPr>
        <w:ind w:right="215"/>
        <w:textAlignment w:val="baseline"/>
        <w:rPr>
          <w:rFonts w:asciiTheme="minorHAnsi" w:eastAsia="Calibri" w:hAnsiTheme="minorHAnsi" w:cstheme="minorHAnsi"/>
          <w:color w:val="000000"/>
        </w:rPr>
      </w:pPr>
      <w:hyperlink r:id="rId7" w:history="1">
        <w:r w:rsidR="000F6AB9" w:rsidRPr="00C76A1A">
          <w:rPr>
            <w:rFonts w:asciiTheme="minorHAnsi" w:eastAsia="Calibri" w:hAnsiTheme="minorHAnsi" w:cstheme="minorHAnsi"/>
            <w:color w:val="000000"/>
          </w:rPr>
          <w:t>christina.yap@icr.ac.uk</w:t>
        </w:r>
      </w:hyperlink>
    </w:p>
    <w:p w14:paraId="7031FF6C" w14:textId="471BFAB8" w:rsidR="00CD2D79" w:rsidRPr="00C76A1A" w:rsidRDefault="0076515A">
      <w:pPr>
        <w:spacing w:before="268" w:line="269" w:lineRule="exact"/>
        <w:ind w:right="288"/>
        <w:textAlignment w:val="baseline"/>
        <w:rPr>
          <w:rFonts w:ascii="Calibri" w:eastAsia="Calibri" w:hAnsi="Calibri"/>
          <w:color w:val="000000"/>
        </w:rPr>
      </w:pPr>
      <w:r w:rsidRPr="00C76A1A">
        <w:rPr>
          <w:rFonts w:ascii="Calibri" w:eastAsia="Calibri" w:hAnsi="Calibri"/>
          <w:b/>
          <w:color w:val="000000"/>
        </w:rPr>
        <w:t>To the Editor</w:t>
      </w:r>
      <w:r w:rsidRPr="00C76A1A">
        <w:rPr>
          <w:rFonts w:ascii="Calibri" w:eastAsia="Calibri" w:hAnsi="Calibri"/>
          <w:color w:val="000000"/>
        </w:rPr>
        <w:t xml:space="preserve"> - </w:t>
      </w:r>
    </w:p>
    <w:p w14:paraId="4920B537" w14:textId="687C11D0" w:rsidR="00CD2D79" w:rsidRPr="00C76A1A" w:rsidRDefault="008F24A7" w:rsidP="005E611E">
      <w:pPr>
        <w:spacing w:before="240"/>
        <w:ind w:right="216"/>
        <w:textAlignment w:val="baseline"/>
        <w:rPr>
          <w:rFonts w:ascii="Calibri" w:eastAsia="Calibri" w:hAnsi="Calibri"/>
          <w:color w:val="000000"/>
        </w:rPr>
      </w:pPr>
      <w:r w:rsidRPr="00C76A1A">
        <w:rPr>
          <w:rFonts w:ascii="Calibri" w:eastAsia="Calibri" w:hAnsi="Calibri"/>
          <w:color w:val="000000"/>
        </w:rPr>
        <w:t>E</w:t>
      </w:r>
      <w:r w:rsidR="00A97F77" w:rsidRPr="00C76A1A">
        <w:rPr>
          <w:rFonts w:ascii="Calibri" w:eastAsia="Calibri" w:hAnsi="Calibri"/>
          <w:color w:val="000000"/>
        </w:rPr>
        <w:t>arly phase trials (</w:t>
      </w:r>
      <w:r w:rsidR="00AE0CC4">
        <w:rPr>
          <w:rFonts w:ascii="Calibri" w:eastAsia="Calibri" w:hAnsi="Calibri"/>
          <w:color w:val="000000"/>
        </w:rPr>
        <w:t>p</w:t>
      </w:r>
      <w:r w:rsidR="00A97F77" w:rsidRPr="00C76A1A">
        <w:rPr>
          <w:rFonts w:ascii="Calibri" w:eastAsia="Calibri" w:hAnsi="Calibri"/>
          <w:color w:val="000000"/>
        </w:rPr>
        <w:t xml:space="preserve">hase I or </w:t>
      </w:r>
      <w:r w:rsidR="00AE0CC4">
        <w:rPr>
          <w:rFonts w:ascii="Calibri" w:eastAsia="Calibri" w:hAnsi="Calibri"/>
          <w:color w:val="000000"/>
        </w:rPr>
        <w:t>p</w:t>
      </w:r>
      <w:r w:rsidR="00A97F77" w:rsidRPr="00C76A1A">
        <w:rPr>
          <w:rFonts w:ascii="Calibri" w:eastAsia="Calibri" w:hAnsi="Calibri"/>
          <w:color w:val="000000"/>
        </w:rPr>
        <w:t xml:space="preserve">hase I/II) are studies conducted in healthy volunteers or patients aiming at determining drug disposition (absorption, distribution, metabolism and excretion), adverse effects, drug exposure, pharmacodynamic (PD) biomarker activity and clinical activity. </w:t>
      </w:r>
      <w:r w:rsidRPr="00C76A1A">
        <w:rPr>
          <w:rFonts w:ascii="Calibri" w:eastAsia="Calibri" w:hAnsi="Calibri"/>
          <w:color w:val="000000"/>
        </w:rPr>
        <w:t>A critical step in treatment development</w:t>
      </w:r>
      <w:r w:rsidR="00A97F77" w:rsidRPr="00C76A1A">
        <w:rPr>
          <w:rFonts w:ascii="Calibri" w:eastAsia="Calibri" w:hAnsi="Calibri"/>
          <w:color w:val="000000"/>
        </w:rPr>
        <w:t xml:space="preserve">, results from </w:t>
      </w:r>
      <w:r w:rsidRPr="00C76A1A">
        <w:rPr>
          <w:rFonts w:ascii="Calibri" w:eastAsia="Calibri" w:hAnsi="Calibri"/>
          <w:color w:val="000000"/>
        </w:rPr>
        <w:t xml:space="preserve">early phase </w:t>
      </w:r>
      <w:r w:rsidR="00A97F77" w:rsidRPr="00C76A1A">
        <w:rPr>
          <w:rFonts w:ascii="Calibri" w:eastAsia="Calibri" w:hAnsi="Calibri"/>
          <w:color w:val="000000"/>
        </w:rPr>
        <w:t xml:space="preserve">trials directly influence decisions on further </w:t>
      </w:r>
      <w:r w:rsidRPr="00C76A1A">
        <w:rPr>
          <w:rFonts w:ascii="Calibri" w:eastAsia="Calibri" w:hAnsi="Calibri"/>
          <w:color w:val="000000"/>
        </w:rPr>
        <w:t xml:space="preserve">trials </w:t>
      </w:r>
      <w:r w:rsidR="00A97F77" w:rsidRPr="00C76A1A">
        <w:rPr>
          <w:rFonts w:ascii="Calibri" w:eastAsia="Calibri" w:hAnsi="Calibri"/>
          <w:color w:val="000000"/>
        </w:rPr>
        <w:t xml:space="preserve">and whether the selected doses and schedules are sufficiently safe and have promising results on </w:t>
      </w:r>
      <w:r w:rsidR="000F6AB9" w:rsidRPr="00C76A1A">
        <w:rPr>
          <w:rFonts w:ascii="Calibri" w:eastAsia="Calibri" w:hAnsi="Calibri"/>
          <w:color w:val="000000"/>
        </w:rPr>
        <w:t>treatment</w:t>
      </w:r>
      <w:r w:rsidRPr="00C76A1A">
        <w:rPr>
          <w:rFonts w:ascii="Calibri" w:eastAsia="Calibri" w:hAnsi="Calibri"/>
          <w:color w:val="000000"/>
        </w:rPr>
        <w:t xml:space="preserve"> </w:t>
      </w:r>
      <w:r w:rsidR="00A97F77" w:rsidRPr="00C76A1A">
        <w:rPr>
          <w:rFonts w:ascii="Calibri" w:eastAsia="Calibri" w:hAnsi="Calibri"/>
          <w:color w:val="000000"/>
        </w:rPr>
        <w:t>activity.</w:t>
      </w:r>
    </w:p>
    <w:p w14:paraId="06D4D6E0" w14:textId="7AC44FEC" w:rsidR="00CD2D79" w:rsidRPr="00C76A1A" w:rsidRDefault="00A97F77" w:rsidP="005E611E">
      <w:pPr>
        <w:spacing w:before="240"/>
        <w:ind w:right="72"/>
        <w:textAlignment w:val="baseline"/>
        <w:rPr>
          <w:rFonts w:ascii="Calibri" w:eastAsia="Calibri" w:hAnsi="Calibri"/>
          <w:color w:val="000000"/>
        </w:rPr>
      </w:pPr>
      <w:r w:rsidRPr="00C76A1A">
        <w:rPr>
          <w:rFonts w:ascii="Calibri" w:eastAsia="Calibri" w:hAnsi="Calibri"/>
          <w:color w:val="000000"/>
        </w:rPr>
        <w:t xml:space="preserve">Often termed </w:t>
      </w:r>
      <w:r w:rsidR="00797EEE">
        <w:rPr>
          <w:rFonts w:ascii="Calibri" w:eastAsia="Calibri" w:hAnsi="Calibri"/>
          <w:color w:val="000000"/>
        </w:rPr>
        <w:t>d</w:t>
      </w:r>
      <w:r w:rsidRPr="00C76A1A">
        <w:rPr>
          <w:rFonts w:ascii="Calibri" w:eastAsia="Calibri" w:hAnsi="Calibri"/>
          <w:color w:val="000000"/>
        </w:rPr>
        <w:t xml:space="preserve">ose-finding or </w:t>
      </w:r>
      <w:r w:rsidR="00797EEE">
        <w:rPr>
          <w:rFonts w:ascii="Calibri" w:eastAsia="Calibri" w:hAnsi="Calibri"/>
          <w:color w:val="000000"/>
        </w:rPr>
        <w:t>d</w:t>
      </w:r>
      <w:r w:rsidRPr="00C76A1A">
        <w:rPr>
          <w:rFonts w:ascii="Calibri" w:eastAsia="Calibri" w:hAnsi="Calibri"/>
          <w:color w:val="000000"/>
        </w:rPr>
        <w:t>ose</w:t>
      </w:r>
      <w:r w:rsidR="00733B79">
        <w:rPr>
          <w:rFonts w:ascii="Calibri" w:eastAsia="Calibri" w:hAnsi="Calibri"/>
          <w:color w:val="000000"/>
        </w:rPr>
        <w:t>-</w:t>
      </w:r>
      <w:r w:rsidRPr="00C76A1A">
        <w:rPr>
          <w:rFonts w:ascii="Calibri" w:eastAsia="Calibri" w:hAnsi="Calibri"/>
          <w:color w:val="000000"/>
        </w:rPr>
        <w:t xml:space="preserve">escalation studies, </w:t>
      </w:r>
      <w:r w:rsidR="008F24A7" w:rsidRPr="00C76A1A">
        <w:rPr>
          <w:rFonts w:ascii="Calibri" w:eastAsia="Calibri" w:hAnsi="Calibri"/>
          <w:color w:val="000000"/>
        </w:rPr>
        <w:t>early phase trials</w:t>
      </w:r>
      <w:r w:rsidRPr="00C76A1A">
        <w:rPr>
          <w:rFonts w:ascii="Calibri" w:eastAsia="Calibri" w:hAnsi="Calibri"/>
          <w:color w:val="000000"/>
        </w:rPr>
        <w:t xml:space="preserve"> account for a large number of the trials being run at any given time: A search of </w:t>
      </w:r>
      <w:r w:rsidRPr="00C76A1A">
        <w:rPr>
          <w:rFonts w:ascii="Calibri" w:eastAsia="Calibri" w:hAnsi="Calibri"/>
        </w:rPr>
        <w:t>Clinical</w:t>
      </w:r>
      <w:r w:rsidR="000F6AB9" w:rsidRPr="00C76A1A">
        <w:rPr>
          <w:rFonts w:ascii="Calibri" w:eastAsia="Calibri" w:hAnsi="Calibri"/>
        </w:rPr>
        <w:t>Trials.gov</w:t>
      </w:r>
      <w:r w:rsidRPr="00C76A1A">
        <w:rPr>
          <w:rFonts w:ascii="Calibri" w:eastAsia="Calibri" w:hAnsi="Calibri"/>
        </w:rPr>
        <w:t xml:space="preserve"> </w:t>
      </w:r>
      <w:r w:rsidRPr="00AE6F49">
        <w:rPr>
          <w:rFonts w:ascii="Calibri" w:eastAsia="Calibri" w:hAnsi="Calibri"/>
          <w:color w:val="000000"/>
        </w:rPr>
        <w:t xml:space="preserve">for phase I studies first posted between 2019 and 2020 returns 8536 entries, versus 5162 </w:t>
      </w:r>
      <w:r w:rsidR="00AE0CC4">
        <w:rPr>
          <w:rFonts w:ascii="Calibri" w:eastAsia="Calibri" w:hAnsi="Calibri"/>
          <w:color w:val="000000"/>
        </w:rPr>
        <w:t>phase</w:t>
      </w:r>
      <w:r w:rsidRPr="00AE6F49">
        <w:rPr>
          <w:rFonts w:ascii="Calibri" w:eastAsia="Calibri" w:hAnsi="Calibri"/>
          <w:color w:val="000000"/>
        </w:rPr>
        <w:t xml:space="preserve"> III trials first posted over the same period. Attrition rate throughout the drug development process is high, and the success </w:t>
      </w:r>
      <w:r w:rsidRPr="00C76A1A">
        <w:rPr>
          <w:rFonts w:ascii="Calibri" w:eastAsia="Calibri" w:hAnsi="Calibri"/>
          <w:color w:val="000000"/>
        </w:rPr>
        <w:t xml:space="preserve"> rate between phase I studies and marketing authorisation has been reported as between 9.8% and 13.8% based on several studies (1, 2), with failure being primarily attributable to either poor tolerability or lack of biological activity (79</w:t>
      </w:r>
      <w:r w:rsidRPr="00AE6F49">
        <w:rPr>
          <w:rFonts w:ascii="Calibri" w:eastAsia="Calibri" w:hAnsi="Calibri"/>
          <w:color w:val="000000"/>
        </w:rPr>
        <w:t>%</w:t>
      </w:r>
      <w:r w:rsidR="000F6AB9" w:rsidRPr="00AE6F49">
        <w:rPr>
          <w:rFonts w:ascii="Calibri" w:eastAsia="Calibri" w:hAnsi="Calibri"/>
          <w:color w:val="000000"/>
        </w:rPr>
        <w:t xml:space="preserve"> of failed studies</w:t>
      </w:r>
      <w:r w:rsidRPr="00AE6F49">
        <w:rPr>
          <w:rFonts w:ascii="Calibri" w:eastAsia="Calibri" w:hAnsi="Calibri"/>
          <w:color w:val="000000"/>
        </w:rPr>
        <w:t xml:space="preserve"> over the </w:t>
      </w:r>
      <w:r w:rsidRPr="00C76A1A">
        <w:rPr>
          <w:rFonts w:ascii="Calibri" w:eastAsia="Calibri" w:hAnsi="Calibri"/>
          <w:color w:val="000000"/>
        </w:rPr>
        <w:t>period 2016-2018) (3)</w:t>
      </w:r>
      <w:r w:rsidR="00733B79">
        <w:rPr>
          <w:rFonts w:ascii="Calibri" w:eastAsia="Calibri" w:hAnsi="Calibri"/>
          <w:color w:val="000000"/>
        </w:rPr>
        <w:t>.</w:t>
      </w:r>
    </w:p>
    <w:p w14:paraId="30663FF2" w14:textId="1BC52DA8" w:rsidR="00733B79" w:rsidRPr="00C76A1A" w:rsidRDefault="00A97F77" w:rsidP="005E611E">
      <w:pPr>
        <w:spacing w:before="240"/>
        <w:ind w:right="72"/>
        <w:textAlignment w:val="baseline"/>
        <w:rPr>
          <w:rFonts w:ascii="Calibri" w:eastAsia="Calibri" w:hAnsi="Calibri"/>
          <w:color w:val="000000"/>
        </w:rPr>
      </w:pPr>
      <w:r w:rsidRPr="00C76A1A">
        <w:rPr>
          <w:rFonts w:ascii="Calibri" w:eastAsia="Calibri" w:hAnsi="Calibri"/>
          <w:color w:val="000000"/>
        </w:rPr>
        <w:t xml:space="preserve">In this context, it is crucial that phase I trial results are assessed accurately, to avoid progressing candidate treatment to subsequent phase studies with a false or imprecise sense of tolerability and activity, or conversely discontinuing a tolerable and biologically active treatment. </w:t>
      </w:r>
      <w:r w:rsidR="008D22A0" w:rsidRPr="00AE6F49">
        <w:rPr>
          <w:rFonts w:ascii="Calibri" w:eastAsia="Calibri" w:hAnsi="Calibri"/>
          <w:color w:val="000000"/>
        </w:rPr>
        <w:t>Incorrect</w:t>
      </w:r>
      <w:r w:rsidR="008F24A7" w:rsidRPr="00AE6F49">
        <w:rPr>
          <w:rFonts w:ascii="Calibri" w:eastAsia="Calibri" w:hAnsi="Calibri"/>
          <w:color w:val="000000"/>
        </w:rPr>
        <w:t xml:space="preserve"> assessment of early phase trials </w:t>
      </w:r>
      <w:r w:rsidRPr="00AE6F49">
        <w:rPr>
          <w:rFonts w:ascii="Calibri" w:eastAsia="Calibri" w:hAnsi="Calibri"/>
          <w:color w:val="000000"/>
        </w:rPr>
        <w:t>could waste time, resources, and may even expose participants to ineffective or even harmful treatments (4). To allow accurate assessment of early phase trial results, it is crucial they are reported precisely, transparently and in sufficient detail.</w:t>
      </w:r>
    </w:p>
    <w:p w14:paraId="028D129A" w14:textId="583AF822" w:rsidR="00CD2D79" w:rsidRPr="00C76A1A" w:rsidRDefault="00A97F77" w:rsidP="005E611E">
      <w:pPr>
        <w:pStyle w:val="xmsonormal"/>
        <w:spacing w:before="240"/>
        <w:rPr>
          <w:sz w:val="22"/>
          <w:szCs w:val="22"/>
        </w:rPr>
      </w:pPr>
      <w:r w:rsidRPr="00C76A1A">
        <w:rPr>
          <w:rFonts w:ascii="Calibri" w:eastAsia="Calibri" w:hAnsi="Calibri"/>
          <w:color w:val="000000"/>
          <w:sz w:val="22"/>
          <w:szCs w:val="22"/>
        </w:rPr>
        <w:t xml:space="preserve">Contemporaneously, </w:t>
      </w:r>
      <w:r w:rsidR="00AE0CC4">
        <w:rPr>
          <w:rFonts w:ascii="Calibri" w:eastAsia="Calibri" w:hAnsi="Calibri"/>
          <w:color w:val="000000"/>
          <w:sz w:val="22"/>
          <w:szCs w:val="22"/>
        </w:rPr>
        <w:t>p</w:t>
      </w:r>
      <w:r w:rsidRPr="00C76A1A">
        <w:rPr>
          <w:rFonts w:ascii="Calibri" w:eastAsia="Calibri" w:hAnsi="Calibri"/>
          <w:color w:val="000000"/>
          <w:sz w:val="22"/>
          <w:szCs w:val="22"/>
        </w:rPr>
        <w:t xml:space="preserve">hase 1 trials have also seen a trend toward the use of biology-based, hypothesis-testing and biomarker driven, more complex designs including arguably more efficient novel designs, such as model-based or model-assisted designs. </w:t>
      </w:r>
      <w:r w:rsidR="00BF2698" w:rsidRPr="00C76A1A">
        <w:rPr>
          <w:rFonts w:ascii="Calibri" w:eastAsia="Calibri" w:hAnsi="Calibri"/>
          <w:color w:val="000000"/>
          <w:sz w:val="22"/>
          <w:szCs w:val="22"/>
        </w:rPr>
        <w:t xml:space="preserve"> </w:t>
      </w:r>
      <w:r w:rsidR="00BC7A44" w:rsidRPr="00C76A1A">
        <w:rPr>
          <w:rFonts w:ascii="Calibri" w:hAnsi="Calibri" w:cs="Calibri"/>
          <w:sz w:val="22"/>
          <w:szCs w:val="22"/>
        </w:rPr>
        <w:t xml:space="preserve">A model-based design uses a model to describe the dose-toxicity relationship, whereas a model-assisted design does not; both generally use a combination of probability models and rules to drive decision-making. </w:t>
      </w:r>
      <w:r w:rsidRPr="00C76A1A">
        <w:rPr>
          <w:rFonts w:ascii="Calibri" w:eastAsia="Calibri" w:hAnsi="Calibri"/>
          <w:color w:val="000000"/>
          <w:sz w:val="22"/>
          <w:szCs w:val="22"/>
        </w:rPr>
        <w:t xml:space="preserve">1.6% (20 of 1,235 oncology </w:t>
      </w:r>
      <w:r w:rsidR="00797EEE">
        <w:rPr>
          <w:rFonts w:ascii="Calibri" w:eastAsia="Calibri" w:hAnsi="Calibri"/>
          <w:color w:val="000000"/>
          <w:sz w:val="22"/>
          <w:szCs w:val="22"/>
        </w:rPr>
        <w:t>p</w:t>
      </w:r>
      <w:r w:rsidRPr="00C76A1A">
        <w:rPr>
          <w:rFonts w:ascii="Calibri" w:eastAsia="Calibri" w:hAnsi="Calibri"/>
          <w:color w:val="000000"/>
          <w:sz w:val="22"/>
          <w:szCs w:val="22"/>
        </w:rPr>
        <w:t xml:space="preserve">hase I published trials) used such novel design approaches in 1991-2006 (5), with this </w:t>
      </w:r>
      <w:r w:rsidRPr="00C76A1A">
        <w:rPr>
          <w:rFonts w:ascii="Calibri" w:eastAsia="Calibri" w:hAnsi="Calibri"/>
          <w:color w:val="000000"/>
          <w:sz w:val="22"/>
          <w:szCs w:val="22"/>
        </w:rPr>
        <w:lastRenderedPageBreak/>
        <w:t>increasing to 2.4% (5/212) in 2009 and 9.7% (22/226) in 2014 (6). This increased complexity of trial design and conduct should come with increased transparency and reporting demands</w:t>
      </w:r>
      <w:r w:rsidR="008D22A0" w:rsidRPr="00C76A1A">
        <w:rPr>
          <w:rFonts w:ascii="Calibri" w:eastAsia="Calibri" w:hAnsi="Calibri"/>
          <w:color w:val="000000"/>
          <w:sz w:val="22"/>
          <w:szCs w:val="22"/>
        </w:rPr>
        <w:t xml:space="preserve"> to ensure methods and results are reproducible.</w:t>
      </w:r>
    </w:p>
    <w:p w14:paraId="790F626D" w14:textId="4A680CC6" w:rsidR="00CD2D79" w:rsidRPr="00C76A1A" w:rsidRDefault="00A97F77" w:rsidP="005E611E">
      <w:pPr>
        <w:spacing w:before="240"/>
        <w:textAlignment w:val="baseline"/>
        <w:rPr>
          <w:rFonts w:ascii="Calibri" w:eastAsia="Calibri" w:hAnsi="Calibri"/>
          <w:color w:val="000000"/>
        </w:rPr>
      </w:pPr>
      <w:r w:rsidRPr="00867587">
        <w:rPr>
          <w:rFonts w:asciiTheme="minorHAnsi" w:eastAsia="Calibri" w:hAnsiTheme="minorHAnsi" w:cstheme="minorHAnsi"/>
        </w:rPr>
        <w:t xml:space="preserve">The CONSORT </w:t>
      </w:r>
      <w:r w:rsidR="003F1B52" w:rsidRPr="00867587">
        <w:rPr>
          <w:rFonts w:asciiTheme="minorHAnsi" w:eastAsia="Calibri" w:hAnsiTheme="minorHAnsi" w:cstheme="minorHAnsi"/>
        </w:rPr>
        <w:t>(</w:t>
      </w:r>
      <w:r w:rsidR="003F1B52" w:rsidRPr="00867587">
        <w:rPr>
          <w:rFonts w:asciiTheme="minorHAnsi" w:hAnsiTheme="minorHAnsi" w:cstheme="minorHAnsi"/>
          <w:shd w:val="clear" w:color="auto" w:fill="FFFFFF"/>
        </w:rPr>
        <w:t xml:space="preserve">CONsolidated Standards of Reporting Trials) </w:t>
      </w:r>
      <w:r w:rsidRPr="00867587">
        <w:rPr>
          <w:rFonts w:asciiTheme="minorHAnsi" w:eastAsia="Calibri" w:hAnsiTheme="minorHAnsi" w:cstheme="minorHAnsi"/>
        </w:rPr>
        <w:t xml:space="preserve">2010 statement is the recognised quality standard for reporting randomised trials and </w:t>
      </w:r>
      <w:r w:rsidR="008E2EBB" w:rsidRPr="00867587">
        <w:rPr>
          <w:rFonts w:asciiTheme="minorHAnsi" w:eastAsia="Calibri" w:hAnsiTheme="minorHAnsi" w:cstheme="minorHAnsi"/>
        </w:rPr>
        <w:t xml:space="preserve">the </w:t>
      </w:r>
      <w:r w:rsidRPr="00867587">
        <w:rPr>
          <w:rFonts w:asciiTheme="minorHAnsi" w:eastAsia="Calibri" w:hAnsiTheme="minorHAnsi" w:cstheme="minorHAnsi"/>
        </w:rPr>
        <w:t xml:space="preserve">adoption </w:t>
      </w:r>
      <w:r w:rsidR="008E2EBB" w:rsidRPr="00867587">
        <w:rPr>
          <w:rFonts w:asciiTheme="minorHAnsi" w:eastAsia="Calibri" w:hAnsiTheme="minorHAnsi" w:cstheme="minorHAnsi"/>
        </w:rPr>
        <w:t>of CONSORT</w:t>
      </w:r>
      <w:r w:rsidR="00AE0CC4" w:rsidRPr="00867587">
        <w:rPr>
          <w:rFonts w:asciiTheme="minorHAnsi" w:eastAsia="Calibri" w:hAnsiTheme="minorHAnsi" w:cstheme="minorHAnsi"/>
        </w:rPr>
        <w:t xml:space="preserve"> b</w:t>
      </w:r>
      <w:r w:rsidRPr="00867587">
        <w:rPr>
          <w:rFonts w:asciiTheme="minorHAnsi" w:eastAsia="Calibri" w:hAnsiTheme="minorHAnsi" w:cstheme="minorHAnsi"/>
        </w:rPr>
        <w:t>y many</w:t>
      </w:r>
      <w:r w:rsidRPr="00867587">
        <w:rPr>
          <w:rFonts w:ascii="Calibri" w:eastAsia="Calibri" w:hAnsi="Calibri"/>
        </w:rPr>
        <w:t xml:space="preserve"> scientific journals </w:t>
      </w:r>
      <w:r w:rsidRPr="00C76A1A">
        <w:rPr>
          <w:rFonts w:ascii="Calibri" w:eastAsia="Calibri" w:hAnsi="Calibri"/>
          <w:color w:val="000000"/>
        </w:rPr>
        <w:t>has contributed to an increase in reporting quality and completeness (7</w:t>
      </w:r>
      <w:r w:rsidR="00EE60C2">
        <w:rPr>
          <w:rFonts w:ascii="Calibri" w:eastAsia="Calibri" w:hAnsi="Calibri"/>
          <w:color w:val="000000"/>
        </w:rPr>
        <w:t>,8</w:t>
      </w:r>
      <w:r w:rsidRPr="00C76A1A">
        <w:rPr>
          <w:rFonts w:ascii="Calibri" w:eastAsia="Calibri" w:hAnsi="Calibri"/>
          <w:color w:val="000000"/>
        </w:rPr>
        <w:t>). However, early phase dose-finding trials may be non-randomised, and therefore may not have used the CONSORT 2010 statement to report their findings, though many of the checklist items may apply. Additionally, early dose-finding trials have specific features that are currently not covered in the original CONSORT 2010 statement. Examples of specific features that require additional reporting considerations include: starting dose and justification, recruitment and dosing process, definition of dose-limiting toxicities</w:t>
      </w:r>
      <w:r w:rsidR="00046BF9" w:rsidRPr="00C76A1A">
        <w:rPr>
          <w:rFonts w:ascii="Calibri" w:eastAsia="Calibri" w:hAnsi="Calibri"/>
          <w:color w:val="000000"/>
        </w:rPr>
        <w:t xml:space="preserve"> (</w:t>
      </w:r>
      <w:r w:rsidRPr="00C76A1A">
        <w:rPr>
          <w:rFonts w:ascii="Calibri" w:eastAsia="Calibri" w:hAnsi="Calibri"/>
          <w:color w:val="000000"/>
        </w:rPr>
        <w:t>including length of assessment window</w:t>
      </w:r>
      <w:r w:rsidR="00046BF9" w:rsidRPr="00C76A1A">
        <w:rPr>
          <w:rFonts w:ascii="Calibri" w:eastAsia="Calibri" w:hAnsi="Calibri"/>
          <w:color w:val="000000"/>
        </w:rPr>
        <w:t>)</w:t>
      </w:r>
      <w:r w:rsidRPr="00C76A1A">
        <w:rPr>
          <w:rFonts w:ascii="Calibri" w:eastAsia="Calibri" w:hAnsi="Calibri"/>
          <w:color w:val="000000"/>
        </w:rPr>
        <w:t>, interim dose decision making and recommended dose(s) selection criteria.</w:t>
      </w:r>
    </w:p>
    <w:p w14:paraId="5E3FF08D" w14:textId="46132B43" w:rsidR="0076515A" w:rsidRPr="00C76A1A" w:rsidRDefault="00A97F77" w:rsidP="005E611E">
      <w:pPr>
        <w:spacing w:before="240"/>
        <w:ind w:right="216"/>
        <w:textAlignment w:val="baseline"/>
        <w:rPr>
          <w:rFonts w:ascii="Calibri" w:eastAsia="Calibri" w:hAnsi="Calibri"/>
          <w:color w:val="000000"/>
          <w:spacing w:val="-1"/>
        </w:rPr>
      </w:pPr>
      <w:r w:rsidRPr="00C76A1A">
        <w:rPr>
          <w:rFonts w:ascii="Calibri" w:eastAsia="Calibri" w:hAnsi="Calibri"/>
          <w:color w:val="000000"/>
          <w:spacing w:val="-1"/>
        </w:rPr>
        <w:t>Therefore, there is a need for an extension to the existing CONSORT 2010 guidance aimed at dose-finding trials</w:t>
      </w:r>
      <w:r w:rsidR="00225986" w:rsidRPr="00C76A1A">
        <w:rPr>
          <w:rFonts w:ascii="Calibri" w:eastAsia="Calibri" w:hAnsi="Calibri"/>
          <w:color w:val="000000"/>
          <w:spacing w:val="-1"/>
        </w:rPr>
        <w:t xml:space="preserve">. </w:t>
      </w:r>
      <w:r w:rsidR="0004313D" w:rsidRPr="00C76A1A">
        <w:rPr>
          <w:rFonts w:ascii="Calibri" w:eastAsia="Calibri" w:hAnsi="Calibri"/>
          <w:color w:val="000000"/>
          <w:spacing w:val="-1"/>
        </w:rPr>
        <w:t>Dose-finding CONSORT extension</w:t>
      </w:r>
      <w:r w:rsidR="00225986" w:rsidRPr="00C76A1A">
        <w:rPr>
          <w:rFonts w:ascii="Calibri" w:eastAsia="Calibri" w:hAnsi="Calibri"/>
          <w:color w:val="000000"/>
          <w:spacing w:val="-1"/>
        </w:rPr>
        <w:t xml:space="preserve"> will</w:t>
      </w:r>
      <w:r w:rsidRPr="00C76A1A">
        <w:rPr>
          <w:rFonts w:ascii="Calibri" w:eastAsia="Calibri" w:hAnsi="Calibri"/>
          <w:color w:val="000000"/>
          <w:spacing w:val="-1"/>
        </w:rPr>
        <w:t xml:space="preserve"> incorporate th</w:t>
      </w:r>
      <w:r w:rsidR="00225986" w:rsidRPr="00C76A1A">
        <w:rPr>
          <w:rFonts w:ascii="Calibri" w:eastAsia="Calibri" w:hAnsi="Calibri"/>
          <w:color w:val="000000"/>
          <w:spacing w:val="-1"/>
        </w:rPr>
        <w:t xml:space="preserve">e </w:t>
      </w:r>
      <w:r w:rsidRPr="00C76A1A">
        <w:rPr>
          <w:rFonts w:ascii="Calibri" w:eastAsia="Calibri" w:hAnsi="Calibri"/>
          <w:color w:val="000000"/>
          <w:spacing w:val="-1"/>
        </w:rPr>
        <w:t>unique features</w:t>
      </w:r>
      <w:r w:rsidR="00225986" w:rsidRPr="00C76A1A">
        <w:rPr>
          <w:rFonts w:ascii="Calibri" w:eastAsia="Calibri" w:hAnsi="Calibri"/>
          <w:color w:val="000000"/>
          <w:spacing w:val="-1"/>
        </w:rPr>
        <w:t xml:space="preserve"> of dose-finding trials</w:t>
      </w:r>
      <w:r w:rsidRPr="00C76A1A">
        <w:rPr>
          <w:rFonts w:ascii="Calibri" w:eastAsia="Calibri" w:hAnsi="Calibri"/>
          <w:color w:val="000000"/>
          <w:spacing w:val="-1"/>
        </w:rPr>
        <w:t xml:space="preserve">, </w:t>
      </w:r>
      <w:r w:rsidR="00225986" w:rsidRPr="00C76A1A">
        <w:rPr>
          <w:rFonts w:ascii="Calibri" w:eastAsia="Calibri" w:hAnsi="Calibri"/>
          <w:color w:val="000000"/>
          <w:spacing w:val="-1"/>
        </w:rPr>
        <w:t>be</w:t>
      </w:r>
      <w:r w:rsidRPr="00C76A1A">
        <w:rPr>
          <w:rFonts w:ascii="Calibri" w:eastAsia="Calibri" w:hAnsi="Calibri"/>
          <w:color w:val="000000"/>
          <w:spacing w:val="-1"/>
        </w:rPr>
        <w:t xml:space="preserve"> applicable regardless of the specific trial design that has been implemented or disease area, and </w:t>
      </w:r>
      <w:r w:rsidR="00225986" w:rsidRPr="00C76A1A">
        <w:rPr>
          <w:rFonts w:ascii="Calibri" w:eastAsia="Calibri" w:hAnsi="Calibri"/>
          <w:color w:val="000000"/>
          <w:spacing w:val="-1"/>
        </w:rPr>
        <w:t xml:space="preserve">will </w:t>
      </w:r>
      <w:r w:rsidRPr="00C76A1A">
        <w:rPr>
          <w:rFonts w:ascii="Calibri" w:eastAsia="Calibri" w:hAnsi="Calibri"/>
          <w:color w:val="000000"/>
          <w:spacing w:val="-1"/>
        </w:rPr>
        <w:t>facilitate trial interpretability and support reproducibility of methods.</w:t>
      </w:r>
    </w:p>
    <w:p w14:paraId="4737C909" w14:textId="4F43310A" w:rsidR="00CD2D79" w:rsidRPr="00106A13" w:rsidRDefault="00A97F77" w:rsidP="005E611E">
      <w:pPr>
        <w:spacing w:before="240"/>
        <w:ind w:right="216"/>
        <w:textAlignment w:val="baseline"/>
        <w:rPr>
          <w:rFonts w:ascii="Calibri" w:eastAsia="Calibri" w:hAnsi="Calibri"/>
          <w:color w:val="000000"/>
          <w:spacing w:val="-1"/>
        </w:rPr>
      </w:pPr>
      <w:r w:rsidRPr="00C76A1A">
        <w:rPr>
          <w:rFonts w:ascii="Calibri" w:eastAsia="Calibri" w:hAnsi="Calibri"/>
          <w:color w:val="000000"/>
          <w:spacing w:val="-1"/>
        </w:rPr>
        <w:t xml:space="preserve">To address this challenge, </w:t>
      </w:r>
      <w:r w:rsidR="0004313D" w:rsidRPr="00C76A1A">
        <w:rPr>
          <w:rFonts w:ascii="Calibri" w:eastAsia="Calibri" w:hAnsi="Calibri"/>
          <w:color w:val="000000"/>
          <w:spacing w:val="-1"/>
        </w:rPr>
        <w:t>an</w:t>
      </w:r>
      <w:r w:rsidRPr="00C76A1A">
        <w:rPr>
          <w:rFonts w:ascii="Calibri" w:eastAsia="Calibri" w:hAnsi="Calibri"/>
          <w:color w:val="000000"/>
          <w:spacing w:val="-1"/>
        </w:rPr>
        <w:t xml:space="preserve"> Executive Committee</w:t>
      </w:r>
      <w:r w:rsidR="00225986" w:rsidRPr="00C76A1A">
        <w:rPr>
          <w:rFonts w:ascii="Calibri" w:eastAsia="Calibri" w:hAnsi="Calibri"/>
          <w:color w:val="000000"/>
          <w:spacing w:val="-1"/>
        </w:rPr>
        <w:t xml:space="preserve"> </w:t>
      </w:r>
      <w:r w:rsidR="00797EEE">
        <w:rPr>
          <w:rFonts w:ascii="Calibri" w:eastAsia="Calibri" w:hAnsi="Calibri"/>
          <w:color w:val="000000"/>
          <w:spacing w:val="-1"/>
        </w:rPr>
        <w:t>has been</w:t>
      </w:r>
      <w:r w:rsidR="00797EEE" w:rsidRPr="00C76A1A">
        <w:rPr>
          <w:rFonts w:ascii="Calibri" w:eastAsia="Calibri" w:hAnsi="Calibri"/>
          <w:color w:val="000000"/>
          <w:spacing w:val="-1"/>
        </w:rPr>
        <w:t xml:space="preserve"> </w:t>
      </w:r>
      <w:r w:rsidR="00225986" w:rsidRPr="00C76A1A">
        <w:rPr>
          <w:rFonts w:ascii="Calibri" w:eastAsia="Calibri" w:hAnsi="Calibri"/>
          <w:color w:val="000000"/>
          <w:spacing w:val="-1"/>
        </w:rPr>
        <w:t>assembled, comprising:</w:t>
      </w:r>
      <w:r w:rsidRPr="00C76A1A">
        <w:rPr>
          <w:rFonts w:ascii="Calibri" w:eastAsia="Calibri" w:hAnsi="Calibri"/>
          <w:color w:val="000000"/>
          <w:spacing w:val="-1"/>
        </w:rPr>
        <w:t xml:space="preserve"> a multi-disciplinary team of international methodologists and clinical trialists experienced in early phase trials in both academia and pharmaceutical industries</w:t>
      </w:r>
      <w:r w:rsidR="00225986" w:rsidRPr="00C76A1A">
        <w:rPr>
          <w:rFonts w:ascii="Calibri" w:eastAsia="Calibri" w:hAnsi="Calibri"/>
          <w:color w:val="000000"/>
          <w:spacing w:val="-1"/>
        </w:rPr>
        <w:t>;</w:t>
      </w:r>
      <w:r w:rsidRPr="00C76A1A">
        <w:rPr>
          <w:rFonts w:ascii="Calibri" w:eastAsia="Calibri" w:hAnsi="Calibri"/>
          <w:color w:val="000000"/>
          <w:spacing w:val="-1"/>
        </w:rPr>
        <w:t xml:space="preserve"> a CONSORT group representative</w:t>
      </w:r>
      <w:r w:rsidR="00225986" w:rsidRPr="00C76A1A">
        <w:rPr>
          <w:rFonts w:ascii="Calibri" w:eastAsia="Calibri" w:hAnsi="Calibri"/>
          <w:color w:val="000000"/>
          <w:spacing w:val="-1"/>
        </w:rPr>
        <w:t>;</w:t>
      </w:r>
      <w:r w:rsidRPr="00C76A1A">
        <w:rPr>
          <w:rFonts w:ascii="Calibri" w:eastAsia="Calibri" w:hAnsi="Calibri"/>
          <w:color w:val="000000"/>
          <w:spacing w:val="-1"/>
        </w:rPr>
        <w:t xml:space="preserve"> and a patient and public representative</w:t>
      </w:r>
      <w:r w:rsidR="00225986" w:rsidRPr="00C76A1A">
        <w:rPr>
          <w:rFonts w:ascii="Calibri" w:eastAsia="Calibri" w:hAnsi="Calibri"/>
          <w:color w:val="000000"/>
          <w:spacing w:val="-1"/>
        </w:rPr>
        <w:t>. The Executive Committee</w:t>
      </w:r>
      <w:r w:rsidRPr="00C76A1A">
        <w:rPr>
          <w:rFonts w:ascii="Calibri" w:eastAsia="Calibri" w:hAnsi="Calibri"/>
          <w:color w:val="000000"/>
          <w:spacing w:val="-1"/>
        </w:rPr>
        <w:t xml:space="preserve"> will produce a robust and comprehensive international consensus-driven guidance using gold standard methodology following the methodological framework for guideline development rec</w:t>
      </w:r>
      <w:r w:rsidR="00EE60C2">
        <w:rPr>
          <w:rFonts w:ascii="Calibri" w:eastAsia="Calibri" w:hAnsi="Calibri"/>
          <w:color w:val="000000"/>
          <w:spacing w:val="-1"/>
        </w:rPr>
        <w:t>ommended by the CONSORT group (9</w:t>
      </w:r>
      <w:r w:rsidRPr="00C76A1A">
        <w:rPr>
          <w:rFonts w:ascii="Calibri" w:eastAsia="Calibri" w:hAnsi="Calibri"/>
          <w:color w:val="000000"/>
          <w:spacing w:val="-1"/>
        </w:rPr>
        <w:t xml:space="preserve">). A rapid methodological review of published early phase dose-finding trials will be conducted to identify deficiencies in their reporting, and inform the initial generation of the list of candidate items for </w:t>
      </w:r>
      <w:r w:rsidR="00797EEE">
        <w:rPr>
          <w:rFonts w:ascii="Calibri" w:eastAsia="Calibri" w:hAnsi="Calibri"/>
          <w:color w:val="000000"/>
          <w:spacing w:val="-1"/>
        </w:rPr>
        <w:t xml:space="preserve">the </w:t>
      </w:r>
      <w:r w:rsidRPr="00C76A1A">
        <w:rPr>
          <w:rFonts w:ascii="Calibri" w:eastAsia="Calibri" w:hAnsi="Calibri"/>
          <w:color w:val="000000"/>
          <w:spacing w:val="-1"/>
        </w:rPr>
        <w:t>D</w:t>
      </w:r>
      <w:r w:rsidR="00106A13">
        <w:rPr>
          <w:rFonts w:ascii="Calibri" w:eastAsia="Calibri" w:hAnsi="Calibri"/>
          <w:color w:val="000000"/>
          <w:spacing w:val="-1"/>
        </w:rPr>
        <w:t>ose-finding CONSORT Extension</w:t>
      </w:r>
      <w:r w:rsidRPr="00C76A1A">
        <w:rPr>
          <w:rFonts w:ascii="Calibri" w:eastAsia="Calibri" w:hAnsi="Calibri"/>
          <w:color w:val="000000"/>
          <w:spacing w:val="-1"/>
        </w:rPr>
        <w:t>. The initial draft checklist will be further enriched through review of the published and grey literature</w:t>
      </w:r>
      <w:r w:rsidR="008D22A0" w:rsidRPr="00C76A1A">
        <w:rPr>
          <w:rFonts w:ascii="Calibri" w:eastAsia="Calibri" w:hAnsi="Calibri"/>
          <w:color w:val="000000"/>
          <w:spacing w:val="-1"/>
        </w:rPr>
        <w:t xml:space="preserve"> (such as </w:t>
      </w:r>
      <w:r w:rsidR="0004313D" w:rsidRPr="00C76A1A">
        <w:rPr>
          <w:rFonts w:ascii="Calibri" w:eastAsia="Calibri" w:hAnsi="Calibri"/>
          <w:color w:val="000000"/>
          <w:spacing w:val="-1"/>
        </w:rPr>
        <w:t xml:space="preserve">guidelines or reports from </w:t>
      </w:r>
      <w:r w:rsidR="008D22A0" w:rsidRPr="00C76A1A">
        <w:rPr>
          <w:rFonts w:ascii="Calibri" w:eastAsia="Calibri" w:hAnsi="Calibri"/>
          <w:color w:val="000000"/>
          <w:spacing w:val="-1"/>
        </w:rPr>
        <w:t xml:space="preserve">regulatory </w:t>
      </w:r>
      <w:r w:rsidR="0004313D" w:rsidRPr="00C76A1A">
        <w:rPr>
          <w:rFonts w:ascii="Calibri" w:eastAsia="Calibri" w:hAnsi="Calibri"/>
          <w:color w:val="000000"/>
          <w:spacing w:val="-1"/>
        </w:rPr>
        <w:t xml:space="preserve">bodies and </w:t>
      </w:r>
      <w:r w:rsidR="00783CB9" w:rsidRPr="00C76A1A">
        <w:rPr>
          <w:rFonts w:ascii="Calibri" w:eastAsia="Calibri" w:hAnsi="Calibri"/>
          <w:color w:val="000000"/>
          <w:spacing w:val="-1"/>
        </w:rPr>
        <w:t xml:space="preserve">professional </w:t>
      </w:r>
      <w:r w:rsidR="008D22A0" w:rsidRPr="00C76A1A">
        <w:rPr>
          <w:rFonts w:ascii="Calibri" w:eastAsia="Calibri" w:hAnsi="Calibri"/>
          <w:color w:val="000000"/>
          <w:spacing w:val="-1"/>
        </w:rPr>
        <w:t>working group</w:t>
      </w:r>
      <w:r w:rsidR="0004313D" w:rsidRPr="00C76A1A">
        <w:rPr>
          <w:rFonts w:ascii="Calibri" w:eastAsia="Calibri" w:hAnsi="Calibri"/>
          <w:color w:val="000000"/>
          <w:spacing w:val="-1"/>
        </w:rPr>
        <w:t>s</w:t>
      </w:r>
      <w:r w:rsidR="008D22A0" w:rsidRPr="00C76A1A">
        <w:rPr>
          <w:rFonts w:ascii="Calibri" w:eastAsia="Calibri" w:hAnsi="Calibri"/>
          <w:color w:val="000000"/>
          <w:spacing w:val="-1"/>
        </w:rPr>
        <w:t xml:space="preserve">) </w:t>
      </w:r>
      <w:r w:rsidRPr="00AE6F49">
        <w:rPr>
          <w:rFonts w:ascii="Calibri" w:eastAsia="Calibri" w:hAnsi="Calibri"/>
          <w:color w:val="000000"/>
          <w:spacing w:val="-1"/>
        </w:rPr>
        <w:t xml:space="preserve">and consultation with </w:t>
      </w:r>
      <w:r w:rsidRPr="00106A13">
        <w:rPr>
          <w:rFonts w:ascii="Calibri" w:eastAsia="Calibri" w:hAnsi="Calibri"/>
          <w:color w:val="000000"/>
          <w:spacing w:val="-1"/>
        </w:rPr>
        <w:t>international experts, including regulators</w:t>
      </w:r>
      <w:r w:rsidR="00FD45EF" w:rsidRPr="00106A13">
        <w:rPr>
          <w:rFonts w:ascii="Calibri" w:eastAsia="Calibri" w:hAnsi="Calibri"/>
          <w:color w:val="000000"/>
          <w:spacing w:val="-1"/>
        </w:rPr>
        <w:t xml:space="preserve"> and journal editors</w:t>
      </w:r>
      <w:r w:rsidRPr="00106A13">
        <w:rPr>
          <w:rFonts w:ascii="Calibri" w:eastAsia="Calibri" w:hAnsi="Calibri"/>
          <w:color w:val="000000"/>
          <w:spacing w:val="-1"/>
        </w:rPr>
        <w:t xml:space="preserve">. A modified Delphi process will then be used to refine the checklist before </w:t>
      </w:r>
      <w:r w:rsidR="00225986" w:rsidRPr="00106A13">
        <w:rPr>
          <w:rFonts w:ascii="Calibri" w:eastAsia="Calibri" w:hAnsi="Calibri"/>
          <w:color w:val="000000"/>
          <w:spacing w:val="-1"/>
        </w:rPr>
        <w:t>an international consensus</w:t>
      </w:r>
      <w:r w:rsidR="00225986" w:rsidRPr="00AE6F49">
        <w:rPr>
          <w:rFonts w:ascii="Calibri" w:eastAsia="Calibri" w:hAnsi="Calibri"/>
          <w:color w:val="000000"/>
          <w:spacing w:val="-1"/>
        </w:rPr>
        <w:t xml:space="preserve"> meeting, which will agree</w:t>
      </w:r>
      <w:r w:rsidRPr="00AE6F49">
        <w:rPr>
          <w:rFonts w:ascii="Calibri" w:eastAsia="Calibri" w:hAnsi="Calibri"/>
          <w:color w:val="000000"/>
          <w:spacing w:val="-1"/>
        </w:rPr>
        <w:t xml:space="preserve"> </w:t>
      </w:r>
      <w:r w:rsidR="00E9732E">
        <w:rPr>
          <w:rFonts w:ascii="Calibri" w:eastAsia="Calibri" w:hAnsi="Calibri"/>
          <w:color w:val="000000"/>
          <w:spacing w:val="-1"/>
        </w:rPr>
        <w:t xml:space="preserve">on minimum </w:t>
      </w:r>
      <w:r w:rsidRPr="00AE6F49">
        <w:rPr>
          <w:rFonts w:ascii="Calibri" w:eastAsia="Calibri" w:hAnsi="Calibri"/>
          <w:color w:val="000000"/>
          <w:spacing w:val="-1"/>
        </w:rPr>
        <w:t xml:space="preserve">essential reporting items that should be included in the </w:t>
      </w:r>
      <w:r w:rsidRPr="00106A13">
        <w:rPr>
          <w:rFonts w:ascii="Calibri" w:eastAsia="Calibri" w:hAnsi="Calibri"/>
          <w:color w:val="000000"/>
          <w:spacing w:val="-1"/>
        </w:rPr>
        <w:t>guideline</w:t>
      </w:r>
      <w:r w:rsidR="00225986" w:rsidRPr="00106A13">
        <w:rPr>
          <w:rFonts w:ascii="Calibri" w:eastAsia="Calibri" w:hAnsi="Calibri"/>
          <w:color w:val="000000"/>
          <w:spacing w:val="-1"/>
        </w:rPr>
        <w:t xml:space="preserve">. </w:t>
      </w:r>
    </w:p>
    <w:p w14:paraId="42283111" w14:textId="03989CB0" w:rsidR="00CD2D79" w:rsidRPr="00C76A1A" w:rsidRDefault="00A97F77" w:rsidP="005E611E">
      <w:pPr>
        <w:spacing w:before="240"/>
        <w:textAlignment w:val="baseline"/>
        <w:rPr>
          <w:rFonts w:ascii="Calibri" w:eastAsia="Calibri" w:hAnsi="Calibri"/>
          <w:color w:val="000000"/>
        </w:rPr>
      </w:pPr>
      <w:r w:rsidRPr="00106A13">
        <w:rPr>
          <w:rFonts w:ascii="Calibri" w:eastAsia="Calibri" w:hAnsi="Calibri"/>
          <w:color w:val="000000"/>
        </w:rPr>
        <w:t xml:space="preserve">Throughout the development process, strong international multi-stakeholder </w:t>
      </w:r>
      <w:r w:rsidR="00225986" w:rsidRPr="00106A13">
        <w:rPr>
          <w:rFonts w:ascii="Calibri" w:eastAsia="Calibri" w:hAnsi="Calibri"/>
          <w:color w:val="000000"/>
        </w:rPr>
        <w:t xml:space="preserve">involvement will include </w:t>
      </w:r>
      <w:r w:rsidRPr="00C76A1A">
        <w:rPr>
          <w:rFonts w:ascii="Calibri" w:eastAsia="Calibri" w:hAnsi="Calibri"/>
          <w:color w:val="000000"/>
        </w:rPr>
        <w:t>early phase methodologists and trialists including clinicians, research nurses, trial managers and statisticians, journal editors and peer-reviewers, ethics committees, funders, regulators and patient and public partners</w:t>
      </w:r>
      <w:r w:rsidR="00225986" w:rsidRPr="00C76A1A">
        <w:rPr>
          <w:rFonts w:ascii="Calibri" w:eastAsia="Calibri" w:hAnsi="Calibri"/>
          <w:color w:val="000000"/>
        </w:rPr>
        <w:t xml:space="preserve">. </w:t>
      </w:r>
      <w:r w:rsidRPr="00C76A1A">
        <w:rPr>
          <w:rFonts w:ascii="Calibri" w:eastAsia="Calibri" w:hAnsi="Calibri"/>
          <w:color w:val="000000"/>
        </w:rPr>
        <w:t xml:space="preserve"> </w:t>
      </w:r>
      <w:r w:rsidR="00FD45EF" w:rsidRPr="00C76A1A">
        <w:rPr>
          <w:rFonts w:ascii="Calibri" w:eastAsia="Calibri" w:hAnsi="Calibri"/>
          <w:color w:val="000000"/>
        </w:rPr>
        <w:t>I</w:t>
      </w:r>
      <w:r w:rsidR="00225986" w:rsidRPr="00C76A1A">
        <w:rPr>
          <w:rFonts w:ascii="Calibri" w:eastAsia="Calibri" w:hAnsi="Calibri"/>
          <w:color w:val="000000"/>
        </w:rPr>
        <w:t>nvolvement</w:t>
      </w:r>
      <w:r w:rsidR="00225986" w:rsidRPr="00AE6F49">
        <w:rPr>
          <w:rFonts w:ascii="Calibri" w:eastAsia="Calibri" w:hAnsi="Calibri"/>
          <w:color w:val="000000"/>
        </w:rPr>
        <w:t xml:space="preserve"> </w:t>
      </w:r>
      <w:r w:rsidRPr="00AE6F49">
        <w:rPr>
          <w:rFonts w:ascii="Calibri" w:eastAsia="Calibri" w:hAnsi="Calibri"/>
          <w:color w:val="000000"/>
        </w:rPr>
        <w:t xml:space="preserve">will ensure the produced guidance reflects the views of the wider early phase trials community. </w:t>
      </w:r>
      <w:r w:rsidR="00225986" w:rsidRPr="00106A13">
        <w:rPr>
          <w:rFonts w:ascii="Calibri" w:eastAsia="Calibri" w:hAnsi="Calibri"/>
          <w:color w:val="000000"/>
        </w:rPr>
        <w:t xml:space="preserve">The Executive Committee </w:t>
      </w:r>
      <w:r w:rsidRPr="00106A13">
        <w:rPr>
          <w:rFonts w:ascii="Calibri" w:eastAsia="Calibri" w:hAnsi="Calibri"/>
          <w:color w:val="000000"/>
        </w:rPr>
        <w:t>will pilot test the near-final guidelines with real-world trial examples to identify any gaps, troubleshoot any problems and incorporate feedback in the final revision.</w:t>
      </w:r>
    </w:p>
    <w:p w14:paraId="1AEF2801" w14:textId="77777777" w:rsidR="00CD2D79" w:rsidRPr="00C76A1A" w:rsidRDefault="00A97F77" w:rsidP="005E611E">
      <w:pPr>
        <w:spacing w:before="240"/>
        <w:ind w:right="144"/>
        <w:textAlignment w:val="baseline"/>
        <w:rPr>
          <w:rFonts w:ascii="Calibri" w:eastAsia="Calibri" w:hAnsi="Calibri"/>
          <w:color w:val="000000"/>
        </w:rPr>
      </w:pPr>
      <w:r w:rsidRPr="00C76A1A">
        <w:rPr>
          <w:rFonts w:ascii="Calibri" w:eastAsia="Calibri" w:hAnsi="Calibri"/>
          <w:color w:val="000000"/>
        </w:rPr>
        <w:t>To maximise awareness and engagement as well as promote maximum uptake, a detailed dissemination strategy will be implemented. This will include workshops tailored to specific target groups such as journal editors, and the production of lay summary papers as well as publications of the various aspects of the work in academic journals.</w:t>
      </w:r>
    </w:p>
    <w:p w14:paraId="224E0E11" w14:textId="1D9693BA" w:rsidR="00783CB9" w:rsidRPr="00C76A1A" w:rsidRDefault="00A97F77" w:rsidP="005E611E">
      <w:pPr>
        <w:spacing w:before="240"/>
        <w:ind w:right="504"/>
        <w:textAlignment w:val="baseline"/>
        <w:rPr>
          <w:rFonts w:ascii="Calibri" w:eastAsia="Calibri" w:hAnsi="Calibri"/>
          <w:color w:val="000000"/>
        </w:rPr>
      </w:pPr>
      <w:r w:rsidRPr="00C76A1A">
        <w:rPr>
          <w:rFonts w:ascii="Calibri" w:eastAsia="Calibri" w:hAnsi="Calibri"/>
          <w:color w:val="000000"/>
        </w:rPr>
        <w:t xml:space="preserve">Once published, it is expected the </w:t>
      </w:r>
      <w:r w:rsidR="009B7629" w:rsidRPr="00C76A1A">
        <w:rPr>
          <w:rFonts w:ascii="Calibri" w:eastAsia="Calibri" w:hAnsi="Calibri"/>
          <w:color w:val="000000"/>
        </w:rPr>
        <w:t xml:space="preserve">Dose-finding </w:t>
      </w:r>
      <w:r w:rsidRPr="00C76A1A">
        <w:rPr>
          <w:rFonts w:ascii="Calibri" w:eastAsia="Calibri" w:hAnsi="Calibri"/>
          <w:color w:val="000000"/>
        </w:rPr>
        <w:t xml:space="preserve">CONSORT </w:t>
      </w:r>
      <w:r w:rsidR="009B7629" w:rsidRPr="00C76A1A">
        <w:rPr>
          <w:rFonts w:ascii="Calibri" w:eastAsia="Calibri" w:hAnsi="Calibri"/>
          <w:color w:val="000000"/>
        </w:rPr>
        <w:t>E</w:t>
      </w:r>
      <w:r w:rsidRPr="00C76A1A">
        <w:rPr>
          <w:rFonts w:ascii="Calibri" w:eastAsia="Calibri" w:hAnsi="Calibri"/>
          <w:color w:val="000000"/>
        </w:rPr>
        <w:t>xtension will benefit the community in several ways</w:t>
      </w:r>
      <w:r w:rsidR="009B7629" w:rsidRPr="00C76A1A">
        <w:rPr>
          <w:rFonts w:ascii="Calibri" w:eastAsia="Calibri" w:hAnsi="Calibri"/>
          <w:color w:val="000000"/>
        </w:rPr>
        <w:t xml:space="preserve"> </w:t>
      </w:r>
      <w:r w:rsidR="002B5287">
        <w:rPr>
          <w:rFonts w:ascii="Calibri" w:eastAsia="Calibri" w:hAnsi="Calibri"/>
          <w:color w:val="000000"/>
        </w:rPr>
        <w:t xml:space="preserve">as shown in </w:t>
      </w:r>
      <w:r w:rsidR="00225986" w:rsidRPr="00C76A1A">
        <w:rPr>
          <w:rFonts w:ascii="Calibri" w:eastAsia="Calibri" w:hAnsi="Calibri"/>
          <w:color w:val="000000"/>
        </w:rPr>
        <w:t>Table 1</w:t>
      </w:r>
      <w:r w:rsidR="002B5287">
        <w:rPr>
          <w:rFonts w:ascii="Calibri" w:eastAsia="Calibri" w:hAnsi="Calibri"/>
          <w:color w:val="000000"/>
        </w:rPr>
        <w:t xml:space="preserve">. </w:t>
      </w:r>
    </w:p>
    <w:p w14:paraId="63DE6522" w14:textId="34AE0523" w:rsidR="00CD2D79" w:rsidRPr="00C76A1A" w:rsidRDefault="00CD2D79">
      <w:pPr>
        <w:spacing w:before="161" w:line="287" w:lineRule="exact"/>
        <w:ind w:right="504"/>
        <w:textAlignment w:val="baseline"/>
        <w:rPr>
          <w:rFonts w:ascii="Calibri" w:eastAsia="Calibri" w:hAnsi="Calibri"/>
          <w:color w:val="000000"/>
        </w:rPr>
      </w:pPr>
    </w:p>
    <w:tbl>
      <w:tblPr>
        <w:tblStyle w:val="TableGrid"/>
        <w:tblW w:w="0" w:type="auto"/>
        <w:tblLook w:val="04A0" w:firstRow="1" w:lastRow="0" w:firstColumn="1" w:lastColumn="0" w:noHBand="0" w:noVBand="1"/>
      </w:tblPr>
      <w:tblGrid>
        <w:gridCol w:w="9030"/>
      </w:tblGrid>
      <w:tr w:rsidR="00FD45EF" w:rsidRPr="00C76A1A" w14:paraId="54EEA274" w14:textId="77777777" w:rsidTr="00FD45EF">
        <w:tc>
          <w:tcPr>
            <w:tcW w:w="0" w:type="auto"/>
          </w:tcPr>
          <w:p w14:paraId="18FA49D1" w14:textId="4153F044" w:rsidR="00FD45EF" w:rsidRPr="00AE6F49" w:rsidRDefault="00FD45EF" w:rsidP="00C76A1A">
            <w:pPr>
              <w:tabs>
                <w:tab w:val="left" w:pos="360"/>
              </w:tabs>
              <w:textAlignment w:val="baseline"/>
              <w:rPr>
                <w:rFonts w:ascii="Calibri" w:eastAsia="Calibri" w:hAnsi="Calibri"/>
                <w:color w:val="000000"/>
              </w:rPr>
            </w:pPr>
            <w:r w:rsidRPr="00C76A1A">
              <w:rPr>
                <w:rFonts w:ascii="Calibri" w:eastAsia="Calibri" w:hAnsi="Calibri"/>
                <w:color w:val="000000"/>
              </w:rPr>
              <w:lastRenderedPageBreak/>
              <w:t>Promoting</w:t>
            </w:r>
            <w:r w:rsidRPr="00AE6F49">
              <w:rPr>
                <w:rFonts w:ascii="Calibri" w:eastAsia="Calibri" w:hAnsi="Calibri"/>
                <w:color w:val="000000"/>
              </w:rPr>
              <w:t xml:space="preserve"> transparency and adequate reporting in early phase dose-finding trials</w:t>
            </w:r>
          </w:p>
        </w:tc>
      </w:tr>
      <w:tr w:rsidR="00FD45EF" w:rsidRPr="00C76A1A" w14:paraId="2D7109A6" w14:textId="77777777" w:rsidTr="00FD45EF">
        <w:tc>
          <w:tcPr>
            <w:tcW w:w="0" w:type="auto"/>
          </w:tcPr>
          <w:p w14:paraId="61DB1993" w14:textId="4C354A47" w:rsidR="00FD45EF" w:rsidRPr="00C76A1A" w:rsidRDefault="00FD45EF" w:rsidP="00C76A1A">
            <w:pPr>
              <w:tabs>
                <w:tab w:val="left" w:pos="360"/>
              </w:tabs>
              <w:textAlignment w:val="baseline"/>
              <w:rPr>
                <w:rFonts w:ascii="Calibri" w:eastAsia="Calibri" w:hAnsi="Calibri"/>
                <w:color w:val="000000"/>
              </w:rPr>
            </w:pPr>
            <w:r w:rsidRPr="00C76A1A">
              <w:rPr>
                <w:rFonts w:ascii="Calibri" w:eastAsia="Calibri" w:hAnsi="Calibri"/>
                <w:color w:val="000000"/>
              </w:rPr>
              <w:t>Enhancing reproducibility of methods</w:t>
            </w:r>
          </w:p>
        </w:tc>
      </w:tr>
      <w:tr w:rsidR="00FD45EF" w:rsidRPr="00C76A1A" w14:paraId="68D0CB3C" w14:textId="77777777" w:rsidTr="00FD45EF">
        <w:tc>
          <w:tcPr>
            <w:tcW w:w="0" w:type="auto"/>
          </w:tcPr>
          <w:p w14:paraId="648BF8B3" w14:textId="336F5D03" w:rsidR="00FD45EF" w:rsidRPr="00C76A1A" w:rsidRDefault="00FD45EF" w:rsidP="00C76A1A">
            <w:pPr>
              <w:tabs>
                <w:tab w:val="left" w:pos="360"/>
              </w:tabs>
              <w:textAlignment w:val="baseline"/>
              <w:rPr>
                <w:rFonts w:ascii="Calibri" w:eastAsia="Calibri" w:hAnsi="Calibri"/>
                <w:color w:val="000000"/>
              </w:rPr>
            </w:pPr>
            <w:r w:rsidRPr="00C76A1A">
              <w:rPr>
                <w:rFonts w:ascii="Calibri" w:eastAsia="Calibri" w:hAnsi="Calibri"/>
                <w:color w:val="000000"/>
              </w:rPr>
              <w:t>Enhancing the understanding and interpretability of early phase dose-finding trials results</w:t>
            </w:r>
          </w:p>
        </w:tc>
      </w:tr>
      <w:tr w:rsidR="00FD45EF" w:rsidRPr="00C76A1A" w14:paraId="181A2DE3" w14:textId="77777777" w:rsidTr="00FD45EF">
        <w:tc>
          <w:tcPr>
            <w:tcW w:w="0" w:type="auto"/>
          </w:tcPr>
          <w:p w14:paraId="2D119F54" w14:textId="5250000D" w:rsidR="00FD45EF" w:rsidRPr="00C76A1A" w:rsidRDefault="00FD45EF" w:rsidP="00C76A1A">
            <w:pPr>
              <w:tabs>
                <w:tab w:val="left" w:pos="360"/>
              </w:tabs>
              <w:textAlignment w:val="baseline"/>
              <w:rPr>
                <w:rFonts w:ascii="Calibri" w:eastAsia="Calibri" w:hAnsi="Calibri"/>
                <w:color w:val="000000"/>
              </w:rPr>
            </w:pPr>
            <w:r w:rsidRPr="00C76A1A">
              <w:rPr>
                <w:rFonts w:ascii="Calibri" w:eastAsia="Calibri" w:hAnsi="Calibri"/>
                <w:color w:val="000000"/>
              </w:rPr>
              <w:t>Providing a framework for peer review of early phase dose-finding trial reports by editors and peer-reviewers, as well as supporting the general readership in the critical appraisal of the quality of the trial design and methods, and the risk of bias in the reported outcomes</w:t>
            </w:r>
          </w:p>
        </w:tc>
      </w:tr>
      <w:tr w:rsidR="00FD45EF" w:rsidRPr="00C76A1A" w14:paraId="4021DC4E" w14:textId="77777777" w:rsidTr="00FD45EF">
        <w:tc>
          <w:tcPr>
            <w:tcW w:w="0" w:type="auto"/>
          </w:tcPr>
          <w:p w14:paraId="3F5F252C" w14:textId="621EC2E5" w:rsidR="00FD45EF" w:rsidRPr="00C76A1A" w:rsidRDefault="00FD45EF" w:rsidP="00C76A1A">
            <w:pPr>
              <w:tabs>
                <w:tab w:val="left" w:pos="360"/>
              </w:tabs>
              <w:textAlignment w:val="baseline"/>
              <w:rPr>
                <w:rFonts w:ascii="Calibri" w:eastAsia="Calibri" w:hAnsi="Calibri"/>
                <w:color w:val="000000"/>
              </w:rPr>
            </w:pPr>
            <w:r w:rsidRPr="00C76A1A">
              <w:rPr>
                <w:rFonts w:ascii="Calibri" w:eastAsia="Calibri" w:hAnsi="Calibri"/>
                <w:color w:val="000000"/>
              </w:rPr>
              <w:t>Helping researchers in designing early phase dose-finding trials</w:t>
            </w:r>
          </w:p>
        </w:tc>
      </w:tr>
      <w:tr w:rsidR="00FD45EF" w:rsidRPr="00C76A1A" w14:paraId="15646F0F" w14:textId="77777777" w:rsidTr="00FD45EF">
        <w:tc>
          <w:tcPr>
            <w:tcW w:w="0" w:type="auto"/>
          </w:tcPr>
          <w:p w14:paraId="6E0D7593" w14:textId="5127B2AB" w:rsidR="00FD45EF" w:rsidRPr="00C76A1A" w:rsidRDefault="00783CB9" w:rsidP="00C76A1A">
            <w:pPr>
              <w:tabs>
                <w:tab w:val="left" w:pos="360"/>
              </w:tabs>
              <w:textAlignment w:val="baseline"/>
              <w:rPr>
                <w:rFonts w:ascii="Calibri" w:eastAsia="Calibri" w:hAnsi="Calibri"/>
                <w:color w:val="000000"/>
              </w:rPr>
            </w:pPr>
            <w:r w:rsidRPr="00C76A1A">
              <w:rPr>
                <w:rFonts w:ascii="Calibri" w:eastAsia="Calibri" w:hAnsi="Calibri"/>
                <w:color w:val="000000"/>
              </w:rPr>
              <w:t>Used as a</w:t>
            </w:r>
            <w:r w:rsidR="00FD45EF" w:rsidRPr="00C76A1A">
              <w:rPr>
                <w:rFonts w:ascii="Calibri" w:eastAsia="Calibri" w:hAnsi="Calibri"/>
                <w:color w:val="000000"/>
              </w:rPr>
              <w:t>n educational tool for researchers</w:t>
            </w:r>
          </w:p>
        </w:tc>
      </w:tr>
      <w:tr w:rsidR="002B5287" w:rsidRPr="00C76A1A" w14:paraId="3739C188" w14:textId="77777777" w:rsidTr="00FD45EF">
        <w:tc>
          <w:tcPr>
            <w:tcW w:w="0" w:type="auto"/>
          </w:tcPr>
          <w:p w14:paraId="1217D457" w14:textId="715E871D" w:rsidR="002B5287" w:rsidRPr="00C76A1A" w:rsidRDefault="002B5287" w:rsidP="00783CB9">
            <w:pPr>
              <w:tabs>
                <w:tab w:val="left" w:pos="360"/>
              </w:tabs>
              <w:textAlignment w:val="baseline"/>
              <w:rPr>
                <w:rFonts w:ascii="Calibri" w:eastAsia="Calibri" w:hAnsi="Calibri"/>
                <w:color w:val="000000"/>
              </w:rPr>
            </w:pPr>
            <w:r>
              <w:rPr>
                <w:rFonts w:ascii="Calibri" w:eastAsia="Calibri" w:hAnsi="Calibri"/>
                <w:color w:val="000000"/>
              </w:rPr>
              <w:t>As a result of the above benefits</w:t>
            </w:r>
            <w:r w:rsidRPr="002F1C7F">
              <w:rPr>
                <w:rFonts w:ascii="Calibri" w:eastAsia="Calibri" w:hAnsi="Calibri"/>
                <w:color w:val="000000"/>
              </w:rPr>
              <w:t>, the guidance will ultimately contribute to reducing research attrition and better patient care.</w:t>
            </w:r>
          </w:p>
        </w:tc>
      </w:tr>
    </w:tbl>
    <w:p w14:paraId="00600B79" w14:textId="225748ED" w:rsidR="00783CB9" w:rsidRPr="00C76A1A" w:rsidRDefault="00783CB9" w:rsidP="00C76A1A">
      <w:pPr>
        <w:spacing w:before="161" w:line="287" w:lineRule="exact"/>
        <w:ind w:right="504"/>
        <w:jc w:val="center"/>
        <w:textAlignment w:val="baseline"/>
        <w:rPr>
          <w:rFonts w:ascii="Calibri" w:eastAsia="Calibri" w:hAnsi="Calibri"/>
          <w:color w:val="000000"/>
        </w:rPr>
      </w:pPr>
      <w:r w:rsidRPr="00C76A1A">
        <w:rPr>
          <w:rFonts w:ascii="Calibri" w:eastAsia="Calibri" w:hAnsi="Calibri"/>
          <w:color w:val="000000"/>
        </w:rPr>
        <w:t>Table 1: Benefits of the Dose-finding CONSORT Extension</w:t>
      </w:r>
    </w:p>
    <w:p w14:paraId="1C2A33BF" w14:textId="73700AA3" w:rsidR="00CD2D79" w:rsidRPr="00AE6F49" w:rsidRDefault="00A97F77" w:rsidP="005E611E">
      <w:pPr>
        <w:spacing w:before="240" w:line="287" w:lineRule="exact"/>
        <w:ind w:right="648"/>
        <w:textAlignment w:val="baseline"/>
        <w:rPr>
          <w:rFonts w:ascii="Calibri" w:eastAsia="Calibri" w:hAnsi="Calibri"/>
          <w:color w:val="000000"/>
        </w:rPr>
      </w:pPr>
      <w:r w:rsidRPr="00AE6F49">
        <w:rPr>
          <w:rFonts w:ascii="Calibri" w:eastAsia="Calibri" w:hAnsi="Calibri"/>
          <w:color w:val="000000"/>
        </w:rPr>
        <w:t xml:space="preserve">In the medium to long-term, this </w:t>
      </w:r>
      <w:r w:rsidR="00783CB9" w:rsidRPr="00AE6F49">
        <w:rPr>
          <w:rFonts w:ascii="Calibri" w:eastAsia="Calibri" w:hAnsi="Calibri"/>
          <w:color w:val="000000"/>
        </w:rPr>
        <w:t>Dose-finding CONSORT</w:t>
      </w:r>
      <w:r w:rsidRPr="00AE6F49">
        <w:rPr>
          <w:rFonts w:ascii="Calibri" w:eastAsia="Calibri" w:hAnsi="Calibri"/>
          <w:color w:val="000000"/>
        </w:rPr>
        <w:t xml:space="preserve"> </w:t>
      </w:r>
      <w:r w:rsidR="009B7629" w:rsidRPr="00AE6F49">
        <w:rPr>
          <w:rFonts w:ascii="Calibri" w:eastAsia="Calibri" w:hAnsi="Calibri"/>
          <w:color w:val="000000"/>
        </w:rPr>
        <w:t xml:space="preserve">Extension </w:t>
      </w:r>
      <w:r w:rsidRPr="00AE6F49">
        <w:rPr>
          <w:rFonts w:ascii="Calibri" w:eastAsia="Calibri" w:hAnsi="Calibri"/>
          <w:color w:val="000000"/>
        </w:rPr>
        <w:t>will benefit society by improving the efficiency and accuracy of dose-finding trials and accelerate the safe development of novel therapies.</w:t>
      </w:r>
    </w:p>
    <w:p w14:paraId="6F36AD29" w14:textId="19AA4DB7" w:rsidR="00CD2D79" w:rsidRPr="00F24428" w:rsidRDefault="00A97F77" w:rsidP="005E611E">
      <w:pPr>
        <w:spacing w:before="240" w:line="287" w:lineRule="exact"/>
        <w:ind w:right="72"/>
        <w:textAlignment w:val="baseline"/>
        <w:rPr>
          <w:rFonts w:asciiTheme="minorHAnsi" w:eastAsia="Calibri" w:hAnsiTheme="minorHAnsi" w:cstheme="minorHAnsi"/>
          <w:color w:val="000000"/>
        </w:rPr>
      </w:pPr>
      <w:r w:rsidRPr="00AE6F49">
        <w:rPr>
          <w:rFonts w:ascii="Calibri" w:eastAsia="Calibri" w:hAnsi="Calibri"/>
          <w:color w:val="000000"/>
        </w:rPr>
        <w:t xml:space="preserve">The </w:t>
      </w:r>
      <w:r w:rsidR="00783CB9" w:rsidRPr="00AE6F49">
        <w:rPr>
          <w:rFonts w:ascii="Calibri" w:eastAsia="Calibri" w:hAnsi="Calibri"/>
          <w:color w:val="000000"/>
        </w:rPr>
        <w:t>Executive C</w:t>
      </w:r>
      <w:r w:rsidRPr="00AE6F49">
        <w:rPr>
          <w:rFonts w:ascii="Calibri" w:eastAsia="Calibri" w:hAnsi="Calibri"/>
          <w:color w:val="000000"/>
        </w:rPr>
        <w:t xml:space="preserve">ommittee would like to invite </w:t>
      </w:r>
      <w:r w:rsidRPr="00F24428">
        <w:rPr>
          <w:rFonts w:asciiTheme="minorHAnsi" w:eastAsia="Calibri" w:hAnsiTheme="minorHAnsi" w:cstheme="minorHAnsi"/>
          <w:color w:val="000000"/>
        </w:rPr>
        <w:t xml:space="preserve">interested stakeholders to register their interest in taking part in the Delphi Survey process </w:t>
      </w:r>
      <w:r w:rsidR="009B7629" w:rsidRPr="00F24428">
        <w:rPr>
          <w:rFonts w:asciiTheme="minorHAnsi" w:eastAsia="Calibri" w:hAnsiTheme="minorHAnsi" w:cstheme="minorHAnsi"/>
          <w:color w:val="000000"/>
        </w:rPr>
        <w:t>via</w:t>
      </w:r>
      <w:r w:rsidR="009B7629" w:rsidRPr="00F24428">
        <w:rPr>
          <w:rFonts w:asciiTheme="minorHAnsi" w:hAnsiTheme="minorHAnsi" w:cstheme="minorHAnsi"/>
        </w:rPr>
        <w:t xml:space="preserve"> the </w:t>
      </w:r>
      <w:r w:rsidR="00AE6F49" w:rsidRPr="00F24428">
        <w:rPr>
          <w:rFonts w:asciiTheme="minorHAnsi" w:hAnsiTheme="minorHAnsi" w:cstheme="minorHAnsi"/>
        </w:rPr>
        <w:t>Dose-finding CONSORT Extension project website</w:t>
      </w:r>
      <w:r w:rsidR="00C74DB0">
        <w:rPr>
          <w:rFonts w:asciiTheme="minorHAnsi" w:hAnsiTheme="minorHAnsi" w:cstheme="minorHAnsi"/>
        </w:rPr>
        <w:t xml:space="preserve"> </w:t>
      </w:r>
      <w:r w:rsidR="00EE60C2">
        <w:rPr>
          <w:rFonts w:asciiTheme="minorHAnsi" w:eastAsia="Calibri" w:hAnsiTheme="minorHAnsi" w:cstheme="minorHAnsi"/>
        </w:rPr>
        <w:t>(10</w:t>
      </w:r>
      <w:r w:rsidR="00C74DB0">
        <w:rPr>
          <w:rFonts w:asciiTheme="minorHAnsi" w:eastAsia="Calibri" w:hAnsiTheme="minorHAnsi" w:cstheme="minorHAnsi"/>
        </w:rPr>
        <w:t xml:space="preserve">). </w:t>
      </w:r>
    </w:p>
    <w:p w14:paraId="1F9DE047" w14:textId="77777777" w:rsidR="00CD2D79" w:rsidRPr="00AE6F49" w:rsidRDefault="00A97F77" w:rsidP="005D6C83">
      <w:pPr>
        <w:spacing w:before="240"/>
        <w:textAlignment w:val="baseline"/>
        <w:rPr>
          <w:rFonts w:ascii="Calibri" w:eastAsia="Calibri" w:hAnsi="Calibri"/>
          <w:b/>
          <w:color w:val="000000"/>
        </w:rPr>
      </w:pPr>
      <w:r w:rsidRPr="00AE6F49">
        <w:rPr>
          <w:rFonts w:ascii="Calibri" w:eastAsia="Calibri" w:hAnsi="Calibri"/>
          <w:b/>
          <w:color w:val="000000"/>
        </w:rPr>
        <w:t>Acknowledgements:</w:t>
      </w:r>
    </w:p>
    <w:p w14:paraId="53BFB42E" w14:textId="32689F19" w:rsidR="00112F00" w:rsidRDefault="00EF0E0B" w:rsidP="005D6C83">
      <w:pPr>
        <w:spacing w:before="240"/>
        <w:textAlignment w:val="baseline"/>
        <w:rPr>
          <w:rFonts w:ascii="Calibri" w:eastAsia="Calibri" w:hAnsi="Calibri"/>
          <w:color w:val="0562C1"/>
        </w:rPr>
      </w:pPr>
      <w:r w:rsidRPr="00AE6F49">
        <w:rPr>
          <w:rFonts w:ascii="Calibri" w:eastAsia="Calibri" w:hAnsi="Calibri"/>
          <w:color w:val="000000"/>
        </w:rPr>
        <w:t>This work is funded through an MRC-NIHR Methodology Research Programme grant “Early Phase Dose-finding Trials: Development of reporting guidance to improve knowledge transfer” (Grant Ref: MR/T044934/1). CJW</w:t>
      </w:r>
      <w:r w:rsidR="00A97F77" w:rsidRPr="00AE6F49">
        <w:rPr>
          <w:rFonts w:ascii="Calibri" w:eastAsia="Calibri" w:hAnsi="Calibri"/>
          <w:color w:val="000000"/>
        </w:rPr>
        <w:t xml:space="preserve"> was supported in this work by NHS Lothian via Edinburgh Clinical Trials Unit.</w:t>
      </w:r>
      <w:r w:rsidRPr="00AE6F49">
        <w:rPr>
          <w:rFonts w:ascii="Calibri" w:eastAsia="Calibri" w:hAnsi="Calibri"/>
          <w:color w:val="000000"/>
        </w:rPr>
        <w:t xml:space="preserve"> SL</w:t>
      </w:r>
      <w:r w:rsidR="00A97F77" w:rsidRPr="00AE6F49">
        <w:rPr>
          <w:rFonts w:ascii="Calibri" w:eastAsia="Calibri" w:hAnsi="Calibri"/>
          <w:color w:val="000000"/>
        </w:rPr>
        <w:t xml:space="preserve"> was funded through the National Center for Advancing Translational Sciences, National Institutes of Health (Grant Number UL1TR001873)</w:t>
      </w:r>
      <w:r w:rsidRPr="00AE6F49">
        <w:rPr>
          <w:rFonts w:ascii="Calibri" w:eastAsia="Calibri" w:hAnsi="Calibri"/>
          <w:color w:val="000000"/>
        </w:rPr>
        <w:t xml:space="preserve"> TJ</w:t>
      </w:r>
      <w:r w:rsidR="00A97F77" w:rsidRPr="00AE6F49">
        <w:rPr>
          <w:rFonts w:ascii="Calibri" w:eastAsia="Calibri" w:hAnsi="Calibri"/>
          <w:color w:val="000000"/>
        </w:rPr>
        <w:t xml:space="preserve"> received funding from UK Medical Research Council (MC UU 00002/14).</w:t>
      </w:r>
      <w:r w:rsidRPr="00106A13">
        <w:rPr>
          <w:rFonts w:ascii="Calibri" w:eastAsia="Calibri" w:hAnsi="Calibri"/>
          <w:color w:val="000000"/>
        </w:rPr>
        <w:t xml:space="preserve"> This reporting guideline under development is registered on the EQUATOR (Enhancing Quality and Transparency of Health Research) Network database</w:t>
      </w:r>
      <w:r w:rsidR="00C74DB0">
        <w:rPr>
          <w:rFonts w:ascii="Calibri" w:eastAsia="Calibri" w:hAnsi="Calibri"/>
          <w:color w:val="000000"/>
        </w:rPr>
        <w:t>.</w:t>
      </w:r>
      <w:r w:rsidR="00AE6F49" w:rsidRPr="00AE6F49">
        <w:rPr>
          <w:rFonts w:ascii="Calibri" w:eastAsia="Calibri" w:hAnsi="Calibri"/>
          <w:color w:val="000000"/>
        </w:rPr>
        <w:t xml:space="preserve"> All the named authors are part of the </w:t>
      </w:r>
      <w:r w:rsidR="00AE6F49" w:rsidRPr="00C76A1A">
        <w:rPr>
          <w:rFonts w:ascii="Calibri" w:eastAsia="Calibri" w:hAnsi="Calibri"/>
          <w:color w:val="000000"/>
        </w:rPr>
        <w:t>Dose-finding CONSORT Extension Executive Committee.</w:t>
      </w:r>
      <w:r w:rsidRPr="00AE6F49">
        <w:rPr>
          <w:rFonts w:ascii="Calibri" w:eastAsia="Calibri" w:hAnsi="Calibri"/>
          <w:color w:val="0562C1"/>
        </w:rPr>
        <w:t xml:space="preserve"> </w:t>
      </w:r>
    </w:p>
    <w:p w14:paraId="38BE9ACA" w14:textId="694E23AA" w:rsidR="00AE6F49" w:rsidRPr="00C76A1A" w:rsidRDefault="00EF0E0B" w:rsidP="005D6C83">
      <w:pPr>
        <w:spacing w:before="240"/>
        <w:ind w:right="360"/>
        <w:textAlignment w:val="baseline"/>
        <w:rPr>
          <w:rFonts w:ascii="Calibri" w:eastAsia="Calibri" w:hAnsi="Calibri"/>
          <w:b/>
          <w:i/>
          <w:color w:val="000000"/>
        </w:rPr>
      </w:pPr>
      <w:r w:rsidRPr="00AE6F49">
        <w:rPr>
          <w:rFonts w:ascii="Calibri" w:eastAsia="Calibri" w:hAnsi="Calibri"/>
          <w:color w:val="000000"/>
        </w:rPr>
        <w:t>The authors</w:t>
      </w:r>
      <w:r w:rsidRPr="00106A13">
        <w:rPr>
          <w:rFonts w:ascii="Calibri" w:eastAsia="Calibri" w:hAnsi="Calibri"/>
          <w:color w:val="000000"/>
        </w:rPr>
        <w:t xml:space="preserve"> </w:t>
      </w:r>
      <w:r w:rsidR="00A97F77" w:rsidRPr="00106A13">
        <w:rPr>
          <w:rFonts w:ascii="Calibri" w:eastAsia="Calibri" w:hAnsi="Calibri"/>
          <w:color w:val="000000"/>
        </w:rPr>
        <w:t>acknowledge the support of Professor Elizabeth Garrett-Mayer, American Society of Clinical Oncology; Professor Deborah Ashby, Imperial College London; and Professor John Isaacs, Newcastle University and Newcastle upon Tyne Hospitals NHS Foundation Trust, members of the Independent Expert Panel in contributing their expertise and support to this initiative.</w:t>
      </w:r>
      <w:r w:rsidR="0066037A" w:rsidRPr="00106A13">
        <w:rPr>
          <w:rFonts w:ascii="Calibri" w:eastAsia="Calibri" w:hAnsi="Calibri"/>
          <w:color w:val="000000"/>
        </w:rPr>
        <w:t xml:space="preserve"> </w:t>
      </w:r>
      <w:r w:rsidRPr="00C76A1A">
        <w:rPr>
          <w:rFonts w:ascii="Calibri" w:eastAsia="Calibri" w:hAnsi="Calibri"/>
          <w:color w:val="000000"/>
        </w:rPr>
        <w:t>The authors also</w:t>
      </w:r>
      <w:r w:rsidR="00A97F77" w:rsidRPr="00C76A1A">
        <w:rPr>
          <w:rFonts w:ascii="Calibri" w:eastAsia="Calibri" w:hAnsi="Calibri"/>
          <w:color w:val="000000"/>
        </w:rPr>
        <w:t xml:space="preserve"> thank the late Professor Doug Altman, Centre for Statistics in Medicine, University of Oxford, for his enthusiasm, inspiration and his significant contribution to the initial conception of this work.</w:t>
      </w:r>
      <w:r w:rsidR="00AE6F49" w:rsidRPr="00C76A1A">
        <w:rPr>
          <w:rFonts w:ascii="Calibri" w:eastAsia="Calibri" w:hAnsi="Calibri"/>
          <w:color w:val="000000"/>
        </w:rPr>
        <w:t xml:space="preserve"> </w:t>
      </w:r>
    </w:p>
    <w:p w14:paraId="6C1C1802" w14:textId="77777777" w:rsidR="00CD2D79" w:rsidRPr="00C76A1A" w:rsidRDefault="00A97F77" w:rsidP="005D6C83">
      <w:pPr>
        <w:spacing w:before="240"/>
        <w:textAlignment w:val="baseline"/>
        <w:rPr>
          <w:rFonts w:ascii="Calibri" w:eastAsia="Calibri" w:hAnsi="Calibri"/>
          <w:b/>
          <w:color w:val="000000"/>
        </w:rPr>
      </w:pPr>
      <w:r w:rsidRPr="00C76A1A">
        <w:rPr>
          <w:rFonts w:ascii="Calibri" w:eastAsia="Calibri" w:hAnsi="Calibri"/>
          <w:b/>
          <w:color w:val="000000"/>
        </w:rPr>
        <w:t>Authors Contributions:</w:t>
      </w:r>
    </w:p>
    <w:p w14:paraId="0CD1F56C" w14:textId="77777777" w:rsidR="00CD2D79" w:rsidRPr="00C76A1A" w:rsidRDefault="00A97F77">
      <w:pPr>
        <w:numPr>
          <w:ilvl w:val="0"/>
          <w:numId w:val="2"/>
        </w:numPr>
        <w:spacing w:before="314" w:line="238" w:lineRule="exact"/>
        <w:textAlignment w:val="baseline"/>
        <w:rPr>
          <w:rFonts w:ascii="Calibri" w:eastAsia="Calibri" w:hAnsi="Calibri"/>
          <w:color w:val="000000"/>
        </w:rPr>
      </w:pPr>
      <w:r w:rsidRPr="00C76A1A">
        <w:rPr>
          <w:rFonts w:ascii="Calibri" w:eastAsia="Calibri" w:hAnsi="Calibri"/>
          <w:color w:val="000000"/>
        </w:rPr>
        <w:t>Conception and funding: CY, JdB, MD, JE, SH, TJ, AK, SL, AM, CJW;</w:t>
      </w:r>
    </w:p>
    <w:p w14:paraId="6DC0EAE7" w14:textId="77777777" w:rsidR="00CD2D79" w:rsidRPr="00C76A1A" w:rsidRDefault="00A97F77">
      <w:pPr>
        <w:numPr>
          <w:ilvl w:val="0"/>
          <w:numId w:val="2"/>
        </w:numPr>
        <w:spacing w:before="59" w:line="238" w:lineRule="exact"/>
        <w:textAlignment w:val="baseline"/>
        <w:rPr>
          <w:rFonts w:ascii="Calibri" w:eastAsia="Calibri" w:hAnsi="Calibri"/>
          <w:color w:val="000000"/>
        </w:rPr>
      </w:pPr>
      <w:r w:rsidRPr="00C76A1A">
        <w:rPr>
          <w:rFonts w:ascii="Calibri" w:eastAsia="Calibri" w:hAnsi="Calibri"/>
          <w:color w:val="000000"/>
        </w:rPr>
        <w:t>Drafting of the manuscript: AE and CY;</w:t>
      </w:r>
    </w:p>
    <w:p w14:paraId="1D008260" w14:textId="77777777" w:rsidR="00CD2D79" w:rsidRPr="00C76A1A" w:rsidRDefault="00A97F77">
      <w:pPr>
        <w:numPr>
          <w:ilvl w:val="0"/>
          <w:numId w:val="2"/>
        </w:numPr>
        <w:spacing w:before="60" w:line="238" w:lineRule="exact"/>
        <w:textAlignment w:val="baseline"/>
        <w:rPr>
          <w:rFonts w:ascii="Calibri" w:eastAsia="Calibri" w:hAnsi="Calibri"/>
          <w:color w:val="000000"/>
        </w:rPr>
      </w:pPr>
      <w:r w:rsidRPr="00C76A1A">
        <w:rPr>
          <w:rFonts w:ascii="Calibri" w:eastAsia="Calibri" w:hAnsi="Calibri"/>
          <w:color w:val="000000"/>
        </w:rPr>
        <w:t>Revising it critically for important intellectual content: all authors;</w:t>
      </w:r>
    </w:p>
    <w:p w14:paraId="37966A6D" w14:textId="77777777" w:rsidR="00CD2D79" w:rsidRPr="00C76A1A" w:rsidRDefault="00A97F77">
      <w:pPr>
        <w:numPr>
          <w:ilvl w:val="0"/>
          <w:numId w:val="2"/>
        </w:numPr>
        <w:spacing w:before="59" w:line="239" w:lineRule="exact"/>
        <w:textAlignment w:val="baseline"/>
        <w:rPr>
          <w:rFonts w:ascii="Calibri" w:eastAsia="Calibri" w:hAnsi="Calibri"/>
          <w:color w:val="000000"/>
        </w:rPr>
      </w:pPr>
      <w:r w:rsidRPr="00C76A1A">
        <w:rPr>
          <w:rFonts w:ascii="Calibri" w:eastAsia="Calibri" w:hAnsi="Calibri"/>
          <w:color w:val="000000"/>
        </w:rPr>
        <w:t>Final approval of the version to be published: all authors.</w:t>
      </w:r>
    </w:p>
    <w:p w14:paraId="207DB15D" w14:textId="77777777" w:rsidR="00CD2D79" w:rsidRPr="00C76A1A" w:rsidRDefault="00A97F77">
      <w:pPr>
        <w:spacing w:before="421" w:line="226" w:lineRule="exact"/>
        <w:textAlignment w:val="baseline"/>
        <w:rPr>
          <w:rFonts w:ascii="Calibri" w:eastAsia="Calibri" w:hAnsi="Calibri"/>
          <w:b/>
          <w:color w:val="000000"/>
        </w:rPr>
      </w:pPr>
      <w:r w:rsidRPr="00C76A1A">
        <w:rPr>
          <w:rFonts w:ascii="Calibri" w:eastAsia="Calibri" w:hAnsi="Calibri"/>
          <w:b/>
          <w:color w:val="000000"/>
        </w:rPr>
        <w:t>Conflicts of interest</w:t>
      </w:r>
    </w:p>
    <w:p w14:paraId="110A077E" w14:textId="77777777" w:rsidR="00CD2D79" w:rsidRPr="00C76A1A" w:rsidRDefault="00A97F77" w:rsidP="0076515A">
      <w:pPr>
        <w:spacing w:before="336" w:after="436" w:line="222" w:lineRule="exact"/>
        <w:textAlignment w:val="baseline"/>
        <w:sectPr w:rsidR="00CD2D79" w:rsidRPr="00C76A1A">
          <w:pgSz w:w="11909" w:h="16838"/>
          <w:pgMar w:top="1440" w:right="1449" w:bottom="1582" w:left="1420" w:header="720" w:footer="720" w:gutter="0"/>
          <w:cols w:space="720"/>
        </w:sectPr>
      </w:pPr>
      <w:r w:rsidRPr="00C76A1A">
        <w:rPr>
          <w:rFonts w:ascii="Calibri" w:eastAsia="Calibri" w:hAnsi="Calibri"/>
          <w:color w:val="000000"/>
        </w:rPr>
        <w:t>The authors declare no known conflict of interest.</w:t>
      </w:r>
    </w:p>
    <w:p w14:paraId="4349D9B9" w14:textId="4B56AC1D" w:rsidR="00EF0E0B" w:rsidRPr="00C76A1A" w:rsidRDefault="00EF0E0B" w:rsidP="00EF0E0B">
      <w:pPr>
        <w:tabs>
          <w:tab w:val="left" w:pos="288"/>
        </w:tabs>
        <w:spacing w:line="286" w:lineRule="exact"/>
        <w:ind w:left="288" w:right="288"/>
        <w:jc w:val="both"/>
        <w:textAlignment w:val="baseline"/>
        <w:rPr>
          <w:rFonts w:asciiTheme="minorHAnsi" w:eastAsia="Calibri" w:hAnsiTheme="minorHAnsi" w:cstheme="minorHAnsi"/>
          <w:b/>
          <w:color w:val="000000"/>
        </w:rPr>
      </w:pPr>
      <w:r w:rsidRPr="00C76A1A">
        <w:rPr>
          <w:rFonts w:asciiTheme="minorHAnsi" w:eastAsia="Calibri" w:hAnsiTheme="minorHAnsi" w:cstheme="minorHAnsi"/>
          <w:b/>
          <w:color w:val="000000"/>
        </w:rPr>
        <w:lastRenderedPageBreak/>
        <w:t>References</w:t>
      </w:r>
    </w:p>
    <w:p w14:paraId="3DC33D92" w14:textId="77777777" w:rsidR="00EF0E0B" w:rsidRPr="00C76A1A" w:rsidRDefault="00EF0E0B" w:rsidP="00EF0E0B">
      <w:pPr>
        <w:tabs>
          <w:tab w:val="left" w:pos="288"/>
        </w:tabs>
        <w:spacing w:line="286" w:lineRule="exact"/>
        <w:ind w:left="288" w:right="288"/>
        <w:jc w:val="both"/>
        <w:textAlignment w:val="baseline"/>
        <w:rPr>
          <w:rFonts w:asciiTheme="minorHAnsi" w:eastAsia="Calibri" w:hAnsiTheme="minorHAnsi" w:cstheme="minorHAnsi"/>
          <w:color w:val="000000"/>
        </w:rPr>
      </w:pPr>
    </w:p>
    <w:p w14:paraId="30635BCF" w14:textId="5E31B27F" w:rsidR="00D8404A"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1.</w:t>
      </w:r>
      <w:r w:rsidRPr="00C76A1A">
        <w:rPr>
          <w:rFonts w:asciiTheme="minorHAnsi" w:eastAsia="Calibri" w:hAnsiTheme="minorHAnsi" w:cstheme="minorHAnsi"/>
          <w:color w:val="000000"/>
        </w:rPr>
        <w:tab/>
        <w:t>Aitken, M. Global trends in clinical research. in Pharma Times 30-31 (2021).</w:t>
      </w:r>
    </w:p>
    <w:p w14:paraId="6EC5D8C2" w14:textId="77777777" w:rsidR="00D8404A"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2.</w:t>
      </w:r>
      <w:r w:rsidRPr="00C76A1A">
        <w:rPr>
          <w:rFonts w:asciiTheme="minorHAnsi" w:eastAsia="Calibri" w:hAnsiTheme="minorHAnsi" w:cstheme="minorHAnsi"/>
          <w:color w:val="000000"/>
        </w:rPr>
        <w:tab/>
        <w:t>Wong, C.H., Siah, K.W. &amp; Lo, A.W. Estimation of clinical trial success rates and related parameters. Biostatistics 20, 273-286 (2019).</w:t>
      </w:r>
    </w:p>
    <w:p w14:paraId="37196C09" w14:textId="77777777" w:rsidR="00D8404A"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3.</w:t>
      </w:r>
      <w:r w:rsidRPr="00C76A1A">
        <w:rPr>
          <w:rFonts w:asciiTheme="minorHAnsi" w:eastAsia="Calibri" w:hAnsiTheme="minorHAnsi" w:cstheme="minorHAnsi"/>
          <w:color w:val="000000"/>
        </w:rPr>
        <w:tab/>
        <w:t>Dowden, H. &amp; Munro, J. Trends in clinical success rates and therapeutic focus. Nat Rev Drug Discov 18, 495-496 (2019).</w:t>
      </w:r>
    </w:p>
    <w:p w14:paraId="65525BED" w14:textId="77777777" w:rsidR="00D8404A"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4.</w:t>
      </w:r>
      <w:r w:rsidRPr="00C76A1A">
        <w:rPr>
          <w:rFonts w:asciiTheme="minorHAnsi" w:eastAsia="Calibri" w:hAnsiTheme="minorHAnsi" w:cstheme="minorHAnsi"/>
          <w:color w:val="000000"/>
        </w:rPr>
        <w:tab/>
        <w:t>Mariani, L. &amp; Marubini, E. Content and quality of currently published phase II cancer trials. J Clin Oncol 18, 429-436 (2000).</w:t>
      </w:r>
    </w:p>
    <w:p w14:paraId="239D77F4" w14:textId="77777777" w:rsidR="00D8404A"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5.</w:t>
      </w:r>
      <w:r w:rsidRPr="00C76A1A">
        <w:rPr>
          <w:rFonts w:asciiTheme="minorHAnsi" w:eastAsia="Calibri" w:hAnsiTheme="minorHAnsi" w:cstheme="minorHAnsi"/>
          <w:color w:val="000000"/>
        </w:rPr>
        <w:tab/>
        <w:t>Rogatko, A., et al. Translation of innovative designs into phase I trials. J Clin Oncol 25, 4982-4986 (2007).</w:t>
      </w:r>
    </w:p>
    <w:p w14:paraId="6B0F91D9" w14:textId="011E4CF5" w:rsidR="00D8404A" w:rsidRPr="00EE60C2"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EE60C2">
        <w:rPr>
          <w:rFonts w:asciiTheme="minorHAnsi" w:eastAsia="Calibri" w:hAnsiTheme="minorHAnsi" w:cstheme="minorHAnsi"/>
          <w:color w:val="000000"/>
        </w:rPr>
        <w:t>6.</w:t>
      </w:r>
      <w:r w:rsidRPr="00EE60C2">
        <w:rPr>
          <w:rFonts w:asciiTheme="minorHAnsi" w:eastAsia="Calibri" w:hAnsiTheme="minorHAnsi" w:cstheme="minorHAnsi"/>
          <w:color w:val="000000"/>
        </w:rPr>
        <w:tab/>
        <w:t>Chiuzan, C., et al. Dose-finding designs for trials of molecularly targeted agents and immunotherapies. J Biopharm Stat 27, 477-494 (2017).</w:t>
      </w:r>
    </w:p>
    <w:p w14:paraId="2FE5DF64" w14:textId="4EDA78A2" w:rsidR="00EE60C2" w:rsidRPr="00EE60C2" w:rsidRDefault="00EE60C2" w:rsidP="00EE60C2">
      <w:pPr>
        <w:tabs>
          <w:tab w:val="left" w:pos="288"/>
        </w:tabs>
        <w:spacing w:before="4" w:line="286" w:lineRule="exact"/>
        <w:ind w:left="288" w:right="288"/>
        <w:jc w:val="both"/>
        <w:textAlignment w:val="baseline"/>
        <w:rPr>
          <w:rFonts w:asciiTheme="minorHAnsi" w:hAnsiTheme="minorHAnsi" w:cstheme="minorHAnsi"/>
          <w:color w:val="222222"/>
          <w:shd w:val="clear" w:color="auto" w:fill="FFFFFF"/>
        </w:rPr>
      </w:pPr>
      <w:r w:rsidRPr="00EE60C2">
        <w:rPr>
          <w:rFonts w:asciiTheme="minorHAnsi" w:eastAsia="Calibri" w:hAnsiTheme="minorHAnsi" w:cstheme="minorHAnsi"/>
          <w:color w:val="000000"/>
        </w:rPr>
        <w:t>7.</w:t>
      </w:r>
      <w:r w:rsidRPr="00EE60C2">
        <w:rPr>
          <w:rFonts w:asciiTheme="minorHAnsi" w:eastAsia="Calibri" w:hAnsiTheme="minorHAnsi" w:cstheme="minorHAnsi"/>
          <w:color w:val="000000"/>
        </w:rPr>
        <w:tab/>
      </w:r>
      <w:r w:rsidRPr="00EE60C2">
        <w:rPr>
          <w:rFonts w:asciiTheme="minorHAnsi" w:hAnsiTheme="minorHAnsi" w:cstheme="minorHAnsi"/>
          <w:color w:val="222222"/>
          <w:shd w:val="clear" w:color="auto" w:fill="FFFFFF"/>
        </w:rPr>
        <w:t>Schulz, K.F., Altman, D.G. &amp; Moher,D., for the CONSORT Group. CONSORT 2010 statement: updated guidelines for reporting parallel group randomised trials. </w:t>
      </w:r>
      <w:r w:rsidRPr="00EE60C2">
        <w:rPr>
          <w:rFonts w:asciiTheme="minorHAnsi" w:hAnsiTheme="minorHAnsi" w:cstheme="minorHAnsi"/>
          <w:i/>
          <w:iCs/>
          <w:color w:val="222222"/>
          <w:shd w:val="clear" w:color="auto" w:fill="FFFFFF"/>
        </w:rPr>
        <w:t>Int. J. Surg.</w:t>
      </w:r>
      <w:r w:rsidRPr="00EE60C2">
        <w:rPr>
          <w:rFonts w:asciiTheme="minorHAnsi" w:hAnsiTheme="minorHAnsi" w:cstheme="minorHAnsi"/>
          <w:color w:val="222222"/>
          <w:shd w:val="clear" w:color="auto" w:fill="FFFFFF"/>
        </w:rPr>
        <w:t> </w:t>
      </w:r>
      <w:r w:rsidRPr="00EE60C2">
        <w:rPr>
          <w:rFonts w:asciiTheme="minorHAnsi" w:hAnsiTheme="minorHAnsi" w:cstheme="minorHAnsi"/>
          <w:b/>
          <w:bCs/>
          <w:color w:val="222222"/>
          <w:shd w:val="clear" w:color="auto" w:fill="FFFFFF"/>
        </w:rPr>
        <w:t>9</w:t>
      </w:r>
      <w:r w:rsidRPr="00EE60C2">
        <w:rPr>
          <w:rFonts w:asciiTheme="minorHAnsi" w:hAnsiTheme="minorHAnsi" w:cstheme="minorHAnsi"/>
          <w:color w:val="222222"/>
          <w:shd w:val="clear" w:color="auto" w:fill="FFFFFF"/>
        </w:rPr>
        <w:t>, 672–677 (2011).</w:t>
      </w:r>
    </w:p>
    <w:p w14:paraId="4F5B133D" w14:textId="264310A5" w:rsidR="00D8404A" w:rsidRPr="00C76A1A" w:rsidRDefault="00EE60C2" w:rsidP="00EE60C2">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EE60C2">
        <w:rPr>
          <w:rFonts w:asciiTheme="minorHAnsi" w:eastAsia="Calibri" w:hAnsiTheme="minorHAnsi" w:cstheme="minorHAnsi"/>
          <w:color w:val="000000"/>
        </w:rPr>
        <w:t>8</w:t>
      </w:r>
      <w:r w:rsidR="00D8404A" w:rsidRPr="00EE60C2">
        <w:rPr>
          <w:rFonts w:asciiTheme="minorHAnsi" w:eastAsia="Calibri" w:hAnsiTheme="minorHAnsi" w:cstheme="minorHAnsi"/>
          <w:color w:val="000000"/>
        </w:rPr>
        <w:t>.</w:t>
      </w:r>
      <w:r w:rsidR="00D8404A" w:rsidRPr="00EE60C2">
        <w:rPr>
          <w:rFonts w:asciiTheme="minorHAnsi" w:eastAsia="Calibri" w:hAnsiTheme="minorHAnsi" w:cstheme="minorHAnsi"/>
          <w:color w:val="000000"/>
        </w:rPr>
        <w:tab/>
        <w:t>Turner, L., et al. Consolidated standards of reporting trials (CONSORT) and the completeness</w:t>
      </w:r>
      <w:r w:rsidR="00D8404A" w:rsidRPr="00C76A1A">
        <w:rPr>
          <w:rFonts w:asciiTheme="minorHAnsi" w:eastAsia="Calibri" w:hAnsiTheme="minorHAnsi" w:cstheme="minorHAnsi"/>
          <w:color w:val="000000"/>
        </w:rPr>
        <w:t xml:space="preserve"> of reporting of randomised controlled trials (RCTs) published in medical journals. Cochrane Database Syst Rev 11, MR000030-MR000030 (2012).</w:t>
      </w:r>
    </w:p>
    <w:p w14:paraId="73FDEA17" w14:textId="7FCDFCB9" w:rsidR="00D8404A" w:rsidRPr="00C76A1A" w:rsidRDefault="00EE60C2"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9</w:t>
      </w:r>
      <w:r w:rsidR="00D8404A" w:rsidRPr="00C76A1A">
        <w:rPr>
          <w:rFonts w:asciiTheme="minorHAnsi" w:eastAsia="Calibri" w:hAnsiTheme="minorHAnsi" w:cstheme="minorHAnsi"/>
          <w:color w:val="000000"/>
        </w:rPr>
        <w:t>.</w:t>
      </w:r>
      <w:r w:rsidR="00D8404A" w:rsidRPr="00C76A1A">
        <w:rPr>
          <w:rFonts w:asciiTheme="minorHAnsi" w:eastAsia="Calibri" w:hAnsiTheme="minorHAnsi" w:cstheme="minorHAnsi"/>
          <w:color w:val="000000"/>
        </w:rPr>
        <w:tab/>
        <w:t>Moher, D., Schulz, K.F., Simera, I. &amp; Altman, D.G. Guidance for developers of health research reporting guidelines. PLoS Med 7, e1000217-e1000217 (2010).</w:t>
      </w:r>
    </w:p>
    <w:p w14:paraId="503454DD" w14:textId="6D10113A" w:rsidR="00AE6F49" w:rsidRPr="00AE6F49" w:rsidRDefault="00EE60C2"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Pr>
          <w:rFonts w:asciiTheme="minorHAnsi" w:eastAsia="Calibri" w:hAnsiTheme="minorHAnsi" w:cstheme="minorHAnsi"/>
          <w:color w:val="000000"/>
        </w:rPr>
        <w:t>10</w:t>
      </w:r>
      <w:r w:rsidR="00D8404A" w:rsidRPr="00C76A1A">
        <w:rPr>
          <w:rFonts w:asciiTheme="minorHAnsi" w:eastAsia="Calibri" w:hAnsiTheme="minorHAnsi" w:cstheme="minorHAnsi"/>
          <w:color w:val="000000"/>
        </w:rPr>
        <w:t xml:space="preserve">. </w:t>
      </w:r>
      <w:r w:rsidR="0020614B">
        <w:rPr>
          <w:rFonts w:asciiTheme="minorHAnsi" w:eastAsia="Calibri" w:hAnsiTheme="minorHAnsi" w:cstheme="minorHAnsi"/>
          <w:color w:val="000000"/>
        </w:rPr>
        <w:t>Dose-finding CONSORT Extension project w</w:t>
      </w:r>
      <w:r w:rsidR="00AE6F49" w:rsidRPr="00AE6F49">
        <w:rPr>
          <w:rFonts w:asciiTheme="minorHAnsi" w:eastAsia="Calibri" w:hAnsiTheme="minorHAnsi" w:cstheme="minorHAnsi"/>
          <w:color w:val="000000"/>
        </w:rPr>
        <w:t xml:space="preserve">ebsite. </w:t>
      </w:r>
      <w:hyperlink r:id="rId8" w:history="1">
        <w:r w:rsidR="00AE6F49" w:rsidRPr="00AE6F49">
          <w:rPr>
            <w:rStyle w:val="Hyperlink"/>
            <w:rFonts w:asciiTheme="minorHAnsi" w:eastAsia="Calibri" w:hAnsiTheme="minorHAnsi" w:cstheme="minorHAnsi"/>
          </w:rPr>
          <w:t>http://www.icr.ac.uk/our-research/researchers-and-teams/professor-christina-yap/dose-finding-consort-extension-project</w:t>
        </w:r>
      </w:hyperlink>
      <w:r w:rsidR="00AE6F49" w:rsidRPr="00AE6F49">
        <w:rPr>
          <w:rFonts w:asciiTheme="minorHAnsi" w:eastAsia="Calibri" w:hAnsiTheme="minorHAnsi" w:cstheme="minorHAnsi"/>
          <w:color w:val="000000"/>
        </w:rPr>
        <w:t xml:space="preserve">  (Assessed: 10 October 2021)</w:t>
      </w:r>
    </w:p>
    <w:p w14:paraId="50B71447" w14:textId="3BD6AC5B" w:rsidR="009B7629" w:rsidRPr="00C76A1A" w:rsidRDefault="00D8404A" w:rsidP="00C76A1A">
      <w:pPr>
        <w:tabs>
          <w:tab w:val="left" w:pos="288"/>
        </w:tabs>
        <w:spacing w:before="4" w:line="286" w:lineRule="exact"/>
        <w:ind w:left="288" w:right="288"/>
        <w:jc w:val="both"/>
        <w:textAlignment w:val="baseline"/>
        <w:rPr>
          <w:rFonts w:asciiTheme="minorHAnsi" w:eastAsia="Calibri" w:hAnsiTheme="minorHAnsi" w:cstheme="minorHAnsi"/>
          <w:color w:val="000000"/>
        </w:rPr>
      </w:pPr>
      <w:r w:rsidRPr="00C76A1A">
        <w:rPr>
          <w:rFonts w:asciiTheme="minorHAnsi" w:eastAsia="Calibri" w:hAnsiTheme="minorHAnsi" w:cstheme="minorHAnsi"/>
          <w:color w:val="000000"/>
        </w:rPr>
        <w:tab/>
      </w:r>
    </w:p>
    <w:sectPr w:rsidR="009B7629" w:rsidRPr="00C76A1A" w:rsidSect="0046718A">
      <w:pgSz w:w="11909"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3EAC" w14:textId="77777777" w:rsidR="00A97F77" w:rsidRDefault="00A97F77">
      <w:r>
        <w:separator/>
      </w:r>
    </w:p>
  </w:endnote>
  <w:endnote w:type="continuationSeparator" w:id="0">
    <w:p w14:paraId="7C265D6B" w14:textId="77777777" w:rsidR="00A97F77" w:rsidRDefault="00A9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28759" w14:textId="77777777" w:rsidR="00A97F77" w:rsidRDefault="00A97F77"/>
  </w:footnote>
  <w:footnote w:type="continuationSeparator" w:id="0">
    <w:p w14:paraId="205532E5" w14:textId="77777777" w:rsidR="00A97F77" w:rsidRDefault="00A9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3D3E"/>
    <w:multiLevelType w:val="multilevel"/>
    <w:tmpl w:val="4332275A"/>
    <w:lvl w:ilvl="0">
      <w:start w:val="1"/>
      <w:numFmt w:val="decimal"/>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961566"/>
    <w:multiLevelType w:val="multilevel"/>
    <w:tmpl w:val="5066C7A6"/>
    <w:lvl w:ilvl="0">
      <w:numFmt w:val="bullet"/>
      <w:lvlText w:val="l"/>
      <w:lvlJc w:val="left"/>
      <w:pPr>
        <w:tabs>
          <w:tab w:val="left" w:pos="360"/>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096950"/>
    <w:multiLevelType w:val="multilevel"/>
    <w:tmpl w:val="00923BF2"/>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79"/>
    <w:rsid w:val="00041275"/>
    <w:rsid w:val="0004313D"/>
    <w:rsid w:val="00046BF9"/>
    <w:rsid w:val="000669D3"/>
    <w:rsid w:val="0009280A"/>
    <w:rsid w:val="000F6AB9"/>
    <w:rsid w:val="00106A13"/>
    <w:rsid w:val="00112F00"/>
    <w:rsid w:val="001A0A98"/>
    <w:rsid w:val="001D322C"/>
    <w:rsid w:val="0020614B"/>
    <w:rsid w:val="00225986"/>
    <w:rsid w:val="002B5287"/>
    <w:rsid w:val="0036367E"/>
    <w:rsid w:val="003E6819"/>
    <w:rsid w:val="003F1B52"/>
    <w:rsid w:val="00440E33"/>
    <w:rsid w:val="0046718A"/>
    <w:rsid w:val="00486023"/>
    <w:rsid w:val="00496BEE"/>
    <w:rsid w:val="00504952"/>
    <w:rsid w:val="005D6C83"/>
    <w:rsid w:val="005E611E"/>
    <w:rsid w:val="0066037A"/>
    <w:rsid w:val="0068098C"/>
    <w:rsid w:val="00686C77"/>
    <w:rsid w:val="00733B79"/>
    <w:rsid w:val="0076515A"/>
    <w:rsid w:val="00783CB9"/>
    <w:rsid w:val="00797EEE"/>
    <w:rsid w:val="007E5EAF"/>
    <w:rsid w:val="00867587"/>
    <w:rsid w:val="008D22A0"/>
    <w:rsid w:val="008E2EBB"/>
    <w:rsid w:val="008F24A7"/>
    <w:rsid w:val="00952F55"/>
    <w:rsid w:val="009B7629"/>
    <w:rsid w:val="00A97F77"/>
    <w:rsid w:val="00AB5A27"/>
    <w:rsid w:val="00AC6F16"/>
    <w:rsid w:val="00AE0CC4"/>
    <w:rsid w:val="00AE6F49"/>
    <w:rsid w:val="00BC7A44"/>
    <w:rsid w:val="00BF2698"/>
    <w:rsid w:val="00C21179"/>
    <w:rsid w:val="00C43A2F"/>
    <w:rsid w:val="00C74DB0"/>
    <w:rsid w:val="00C76A1A"/>
    <w:rsid w:val="00CD2D79"/>
    <w:rsid w:val="00D37EB6"/>
    <w:rsid w:val="00D8404A"/>
    <w:rsid w:val="00E418C1"/>
    <w:rsid w:val="00E60F39"/>
    <w:rsid w:val="00E9732E"/>
    <w:rsid w:val="00EC5AD9"/>
    <w:rsid w:val="00EE60C2"/>
    <w:rsid w:val="00EF0E0B"/>
    <w:rsid w:val="00F24428"/>
    <w:rsid w:val="00F909ED"/>
    <w:rsid w:val="00FB21BE"/>
    <w:rsid w:val="00FD45EF"/>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5BCFE3"/>
  <w15:docId w15:val="{FDF011F7-A7B3-423C-930D-75959ACD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15A"/>
    <w:rPr>
      <w:sz w:val="16"/>
      <w:szCs w:val="16"/>
    </w:rPr>
  </w:style>
  <w:style w:type="paragraph" w:styleId="CommentText">
    <w:name w:val="annotation text"/>
    <w:basedOn w:val="Normal"/>
    <w:link w:val="CommentTextChar"/>
    <w:uiPriority w:val="99"/>
    <w:semiHidden/>
    <w:unhideWhenUsed/>
    <w:rsid w:val="0076515A"/>
    <w:rPr>
      <w:sz w:val="20"/>
      <w:szCs w:val="20"/>
    </w:rPr>
  </w:style>
  <w:style w:type="character" w:customStyle="1" w:styleId="CommentTextChar">
    <w:name w:val="Comment Text Char"/>
    <w:basedOn w:val="DefaultParagraphFont"/>
    <w:link w:val="CommentText"/>
    <w:uiPriority w:val="99"/>
    <w:semiHidden/>
    <w:rsid w:val="0076515A"/>
    <w:rPr>
      <w:sz w:val="20"/>
      <w:szCs w:val="20"/>
    </w:rPr>
  </w:style>
  <w:style w:type="paragraph" w:styleId="CommentSubject">
    <w:name w:val="annotation subject"/>
    <w:basedOn w:val="CommentText"/>
    <w:next w:val="CommentText"/>
    <w:link w:val="CommentSubjectChar"/>
    <w:uiPriority w:val="99"/>
    <w:semiHidden/>
    <w:unhideWhenUsed/>
    <w:rsid w:val="0076515A"/>
    <w:rPr>
      <w:b/>
      <w:bCs/>
    </w:rPr>
  </w:style>
  <w:style w:type="character" w:customStyle="1" w:styleId="CommentSubjectChar">
    <w:name w:val="Comment Subject Char"/>
    <w:basedOn w:val="CommentTextChar"/>
    <w:link w:val="CommentSubject"/>
    <w:uiPriority w:val="99"/>
    <w:semiHidden/>
    <w:rsid w:val="0076515A"/>
    <w:rPr>
      <w:b/>
      <w:bCs/>
      <w:sz w:val="20"/>
      <w:szCs w:val="20"/>
    </w:rPr>
  </w:style>
  <w:style w:type="paragraph" w:styleId="BalloonText">
    <w:name w:val="Balloon Text"/>
    <w:basedOn w:val="Normal"/>
    <w:link w:val="BalloonTextChar"/>
    <w:uiPriority w:val="99"/>
    <w:semiHidden/>
    <w:unhideWhenUsed/>
    <w:rsid w:val="00765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5A"/>
    <w:rPr>
      <w:rFonts w:ascii="Segoe UI" w:hAnsi="Segoe UI" w:cs="Segoe UI"/>
      <w:sz w:val="18"/>
      <w:szCs w:val="18"/>
    </w:rPr>
  </w:style>
  <w:style w:type="character" w:styleId="Hyperlink">
    <w:name w:val="Hyperlink"/>
    <w:basedOn w:val="DefaultParagraphFont"/>
    <w:uiPriority w:val="99"/>
    <w:unhideWhenUsed/>
    <w:rsid w:val="000F6AB9"/>
    <w:rPr>
      <w:color w:val="FF0000"/>
      <w:u w:val="single"/>
    </w:rPr>
  </w:style>
  <w:style w:type="table" w:styleId="TableGrid">
    <w:name w:val="Table Grid"/>
    <w:basedOn w:val="TableNormal"/>
    <w:uiPriority w:val="39"/>
    <w:rsid w:val="00FD4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E33"/>
    <w:pPr>
      <w:tabs>
        <w:tab w:val="center" w:pos="4513"/>
        <w:tab w:val="right" w:pos="9026"/>
      </w:tabs>
    </w:pPr>
  </w:style>
  <w:style w:type="character" w:customStyle="1" w:styleId="HeaderChar">
    <w:name w:val="Header Char"/>
    <w:basedOn w:val="DefaultParagraphFont"/>
    <w:link w:val="Header"/>
    <w:uiPriority w:val="99"/>
    <w:rsid w:val="00440E33"/>
  </w:style>
  <w:style w:type="paragraph" w:styleId="Footer">
    <w:name w:val="footer"/>
    <w:basedOn w:val="Normal"/>
    <w:link w:val="FooterChar"/>
    <w:uiPriority w:val="99"/>
    <w:unhideWhenUsed/>
    <w:rsid w:val="00440E33"/>
    <w:pPr>
      <w:tabs>
        <w:tab w:val="center" w:pos="4513"/>
        <w:tab w:val="right" w:pos="9026"/>
      </w:tabs>
    </w:pPr>
  </w:style>
  <w:style w:type="character" w:customStyle="1" w:styleId="FooterChar">
    <w:name w:val="Footer Char"/>
    <w:basedOn w:val="DefaultParagraphFont"/>
    <w:link w:val="Footer"/>
    <w:uiPriority w:val="99"/>
    <w:rsid w:val="00440E33"/>
  </w:style>
  <w:style w:type="paragraph" w:customStyle="1" w:styleId="xmsonormal">
    <w:name w:val="x_msonormal"/>
    <w:basedOn w:val="Normal"/>
    <w:uiPriority w:val="99"/>
    <w:rsid w:val="00BC7A44"/>
    <w:rPr>
      <w:rFonts w:eastAsiaTheme="minorHAnsi"/>
      <w:sz w:val="24"/>
      <w:szCs w:val="24"/>
      <w:lang w:val="en-GB" w:eastAsia="en-GB"/>
    </w:rPr>
  </w:style>
  <w:style w:type="character" w:styleId="FollowedHyperlink">
    <w:name w:val="FollowedHyperlink"/>
    <w:basedOn w:val="DefaultParagraphFont"/>
    <w:uiPriority w:val="99"/>
    <w:semiHidden/>
    <w:unhideWhenUsed/>
    <w:rsid w:val="009B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3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r.ac.uk/our-research/researchers-and-teams/professor-christina-yap/dose-finding-consort-extension-project" TargetMode="External"/><Relationship Id="rId3" Type="http://schemas.openxmlformats.org/officeDocument/2006/relationships/settings" Target="settings.xml"/><Relationship Id="rId7" Type="http://schemas.openxmlformats.org/officeDocument/2006/relationships/hyperlink" Target="mailto:christina.yap@icr.ac.uk"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1786</Words>
  <Characters>10182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Johnson</dc:creator>
  <cp:lastModifiedBy>Sara Quirk</cp:lastModifiedBy>
  <cp:revision>2</cp:revision>
  <dcterms:created xsi:type="dcterms:W3CDTF">2021-11-18T13:13:00Z</dcterms:created>
  <dcterms:modified xsi:type="dcterms:W3CDTF">2021-11-18T13:13:00Z</dcterms:modified>
</cp:coreProperties>
</file>