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AFA9" w14:textId="77777777" w:rsidR="006B0E2A" w:rsidRDefault="006B0E2A" w:rsidP="00E15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_GoBack"/>
      <w:bookmarkEnd w:id="1"/>
    </w:p>
    <w:bookmarkEnd w:id="0"/>
    <w:p w14:paraId="0055CE4A" w14:textId="4D79AD4C" w:rsidR="00175E6D" w:rsidRDefault="00175E6D" w:rsidP="00E157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BF">
        <w:rPr>
          <w:rFonts w:ascii="Times New Roman" w:hAnsi="Times New Roman" w:cs="Times New Roman"/>
          <w:b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220B1714" w14:textId="046A729D" w:rsidR="00D80854" w:rsidRPr="00100F4E" w:rsidRDefault="002604B6" w:rsidP="00E15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b/>
          <w:sz w:val="24"/>
          <w:szCs w:val="24"/>
        </w:rPr>
        <w:t xml:space="preserve">Supplementary Figure S1. </w:t>
      </w:r>
      <w:r w:rsidR="0015158A" w:rsidRPr="0015158A">
        <w:rPr>
          <w:rFonts w:ascii="Times New Roman" w:hAnsi="Times New Roman" w:cs="Times New Roman"/>
          <w:b/>
          <w:sz w:val="24"/>
          <w:szCs w:val="24"/>
        </w:rPr>
        <w:t>A</w:t>
      </w:r>
      <w:r w:rsidR="008716CC">
        <w:rPr>
          <w:rFonts w:ascii="Times New Roman" w:hAnsi="Times New Roman" w:cs="Times New Roman"/>
          <w:b/>
          <w:sz w:val="24"/>
          <w:szCs w:val="24"/>
        </w:rPr>
        <w:t>.</w:t>
      </w:r>
      <w:r w:rsidRPr="00421BBF">
        <w:rPr>
          <w:rFonts w:ascii="Times New Roman" w:hAnsi="Times New Roman" w:cs="Times New Roman"/>
          <w:sz w:val="24"/>
          <w:szCs w:val="24"/>
        </w:rPr>
        <w:t xml:space="preserve"> HCT116 cells were treated with increasing doses of </w:t>
      </w:r>
      <w:r w:rsidR="00AE6475">
        <w:rPr>
          <w:rFonts w:ascii="Times New Roman" w:hAnsi="Times New Roman" w:cs="Times New Roman"/>
          <w:sz w:val="24"/>
          <w:szCs w:val="24"/>
        </w:rPr>
        <w:t>BOS172722</w:t>
      </w:r>
      <w:r w:rsidRPr="00421BBF">
        <w:rPr>
          <w:rFonts w:ascii="Times New Roman" w:hAnsi="Times New Roman" w:cs="Times New Roman"/>
          <w:sz w:val="24"/>
          <w:szCs w:val="24"/>
        </w:rPr>
        <w:t xml:space="preserve"> for 24 and 48 h. </w:t>
      </w:r>
      <w:r w:rsidR="008716CC">
        <w:rPr>
          <w:rFonts w:ascii="Times New Roman" w:hAnsi="Times New Roman" w:cs="Times New Roman"/>
          <w:sz w:val="24"/>
          <w:szCs w:val="24"/>
        </w:rPr>
        <w:t>Immunoblotting was performed using antibodies against p-histone H3, total histone H3 and cleaved PARP. Tubulin was used as loading control</w:t>
      </w:r>
      <w:r w:rsidR="00EB314A">
        <w:rPr>
          <w:rFonts w:ascii="Times New Roman" w:hAnsi="Times New Roman" w:cs="Times New Roman"/>
          <w:sz w:val="24"/>
          <w:szCs w:val="24"/>
        </w:rPr>
        <w:t>.</w:t>
      </w:r>
      <w:r w:rsidRPr="00421BBF">
        <w:rPr>
          <w:rFonts w:ascii="Times New Roman" w:hAnsi="Times New Roman" w:cs="Times New Roman"/>
          <w:sz w:val="24"/>
          <w:szCs w:val="24"/>
        </w:rPr>
        <w:t xml:space="preserve"> </w:t>
      </w:r>
      <w:r w:rsidRPr="0015158A">
        <w:rPr>
          <w:rFonts w:ascii="Times New Roman" w:hAnsi="Times New Roman" w:cs="Times New Roman"/>
          <w:b/>
          <w:sz w:val="24"/>
          <w:szCs w:val="24"/>
        </w:rPr>
        <w:t>B</w:t>
      </w:r>
      <w:r w:rsidR="008716CC">
        <w:rPr>
          <w:rFonts w:ascii="Times New Roman" w:hAnsi="Times New Roman" w:cs="Times New Roman"/>
          <w:b/>
          <w:sz w:val="24"/>
          <w:szCs w:val="24"/>
        </w:rPr>
        <w:t>.</w:t>
      </w:r>
      <w:r w:rsidRPr="00421BBF">
        <w:rPr>
          <w:rFonts w:ascii="Times New Roman" w:hAnsi="Times New Roman" w:cs="Times New Roman"/>
          <w:sz w:val="24"/>
          <w:szCs w:val="24"/>
        </w:rPr>
        <w:t xml:space="preserve"> </w:t>
      </w:r>
      <w:r w:rsidR="002764DE">
        <w:rPr>
          <w:rFonts w:ascii="Times New Roman" w:hAnsi="Times New Roman" w:cs="Times New Roman"/>
          <w:sz w:val="24"/>
          <w:szCs w:val="24"/>
        </w:rPr>
        <w:t>T</w:t>
      </w:r>
      <w:r w:rsidRPr="00421BBF">
        <w:rPr>
          <w:rFonts w:ascii="Times New Roman" w:hAnsi="Times New Roman" w:cs="Times New Roman"/>
          <w:sz w:val="24"/>
          <w:szCs w:val="24"/>
        </w:rPr>
        <w:t>able showing the fold change difference of GI</w:t>
      </w:r>
      <w:r w:rsidRPr="00421BB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21BBF">
        <w:rPr>
          <w:rFonts w:ascii="Times New Roman" w:hAnsi="Times New Roman" w:cs="Times New Roman"/>
          <w:sz w:val="24"/>
          <w:szCs w:val="24"/>
        </w:rPr>
        <w:t xml:space="preserve"> at indicated incubation time of </w:t>
      </w:r>
      <w:r w:rsidR="00AE6475">
        <w:rPr>
          <w:rFonts w:ascii="Times New Roman" w:hAnsi="Times New Roman" w:cs="Times New Roman"/>
          <w:sz w:val="24"/>
          <w:szCs w:val="24"/>
        </w:rPr>
        <w:t>BOS172722</w:t>
      </w:r>
      <w:r w:rsidRPr="00421BBF">
        <w:rPr>
          <w:rFonts w:ascii="Times New Roman" w:hAnsi="Times New Roman" w:cs="Times New Roman"/>
          <w:sz w:val="24"/>
          <w:szCs w:val="24"/>
        </w:rPr>
        <w:t xml:space="preserve"> compared with GI</w:t>
      </w:r>
      <w:r w:rsidRPr="00421BB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21BBF">
        <w:rPr>
          <w:rFonts w:ascii="Times New Roman" w:hAnsi="Times New Roman" w:cs="Times New Roman"/>
          <w:sz w:val="24"/>
          <w:szCs w:val="24"/>
        </w:rPr>
        <w:t xml:space="preserve"> of </w:t>
      </w:r>
      <w:r w:rsidR="00AE6475">
        <w:rPr>
          <w:rFonts w:ascii="Times New Roman" w:hAnsi="Times New Roman" w:cs="Times New Roman"/>
          <w:sz w:val="24"/>
          <w:szCs w:val="24"/>
        </w:rPr>
        <w:t>BOS172722</w:t>
      </w:r>
      <w:r w:rsidR="0082219D">
        <w:rPr>
          <w:rFonts w:ascii="Times New Roman" w:hAnsi="Times New Roman" w:cs="Times New Roman"/>
          <w:sz w:val="24"/>
          <w:szCs w:val="24"/>
        </w:rPr>
        <w:t xml:space="preserve"> incubated for 96</w:t>
      </w:r>
      <w:r w:rsidRPr="00421BBF">
        <w:rPr>
          <w:rFonts w:ascii="Times New Roman" w:hAnsi="Times New Roman" w:cs="Times New Roman"/>
          <w:sz w:val="24"/>
          <w:szCs w:val="24"/>
        </w:rPr>
        <w:t xml:space="preserve">h. HCT116 cells were treated with </w:t>
      </w:r>
      <w:r w:rsidR="00AE6475">
        <w:rPr>
          <w:rFonts w:ascii="Times New Roman" w:hAnsi="Times New Roman" w:cs="Times New Roman"/>
          <w:sz w:val="24"/>
          <w:szCs w:val="24"/>
        </w:rPr>
        <w:t>BOS172722</w:t>
      </w:r>
      <w:r w:rsidRPr="00421BBF">
        <w:rPr>
          <w:rFonts w:ascii="Times New Roman" w:hAnsi="Times New Roman" w:cs="Times New Roman"/>
          <w:sz w:val="24"/>
          <w:szCs w:val="24"/>
        </w:rPr>
        <w:t xml:space="preserve"> for different incubation time and cells were washed to remove </w:t>
      </w:r>
      <w:r w:rsidR="00AE6475">
        <w:rPr>
          <w:rFonts w:ascii="Times New Roman" w:hAnsi="Times New Roman" w:cs="Times New Roman"/>
          <w:sz w:val="24"/>
          <w:szCs w:val="24"/>
        </w:rPr>
        <w:t>BOS172722</w:t>
      </w:r>
      <w:r w:rsidRPr="00421BBF">
        <w:rPr>
          <w:rFonts w:ascii="Times New Roman" w:hAnsi="Times New Roman" w:cs="Times New Roman"/>
          <w:sz w:val="24"/>
          <w:szCs w:val="24"/>
        </w:rPr>
        <w:t xml:space="preserve"> and replenished with media without </w:t>
      </w:r>
      <w:r w:rsidR="00AE6475">
        <w:rPr>
          <w:rFonts w:ascii="Times New Roman" w:hAnsi="Times New Roman" w:cs="Times New Roman"/>
          <w:sz w:val="24"/>
          <w:szCs w:val="24"/>
        </w:rPr>
        <w:t>BOS172722</w:t>
      </w:r>
      <w:r w:rsidRPr="00421BBF">
        <w:rPr>
          <w:rFonts w:ascii="Times New Roman" w:hAnsi="Times New Roman" w:cs="Times New Roman"/>
          <w:sz w:val="24"/>
          <w:szCs w:val="24"/>
        </w:rPr>
        <w:t>. C</w:t>
      </w:r>
      <w:r w:rsidR="0082219D">
        <w:rPr>
          <w:rFonts w:ascii="Times New Roman" w:hAnsi="Times New Roman" w:cs="Times New Roman"/>
          <w:sz w:val="24"/>
          <w:szCs w:val="24"/>
        </w:rPr>
        <w:t>ells were grown further till 96</w:t>
      </w:r>
      <w:r w:rsidRPr="00421BBF">
        <w:rPr>
          <w:rFonts w:ascii="Times New Roman" w:hAnsi="Times New Roman" w:cs="Times New Roman"/>
          <w:sz w:val="24"/>
          <w:szCs w:val="24"/>
        </w:rPr>
        <w:t>h post-treatment and were fixed with MTT to determine GI</w:t>
      </w:r>
      <w:r w:rsidRPr="00421BB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21BBF">
        <w:rPr>
          <w:rFonts w:ascii="Times New Roman" w:hAnsi="Times New Roman" w:cs="Times New Roman"/>
          <w:sz w:val="24"/>
          <w:szCs w:val="24"/>
        </w:rPr>
        <w:t>. Results were average of 2 independent experiments.</w:t>
      </w:r>
      <w:r w:rsidR="00100F4E">
        <w:rPr>
          <w:rFonts w:ascii="Times New Roman" w:hAnsi="Times New Roman" w:cs="Times New Roman"/>
          <w:sz w:val="24"/>
          <w:szCs w:val="24"/>
        </w:rPr>
        <w:t xml:space="preserve"> </w:t>
      </w:r>
      <w:r w:rsidR="00100F4E" w:rsidRPr="00100F4E">
        <w:rPr>
          <w:rFonts w:ascii="Times New Roman" w:hAnsi="Times New Roman" w:cs="Times New Roman"/>
          <w:b/>
          <w:sz w:val="24"/>
          <w:szCs w:val="24"/>
        </w:rPr>
        <w:t>C</w:t>
      </w:r>
      <w:r w:rsidR="00100F4E">
        <w:rPr>
          <w:rFonts w:ascii="Times New Roman" w:hAnsi="Times New Roman" w:cs="Times New Roman"/>
          <w:sz w:val="24"/>
          <w:szCs w:val="24"/>
        </w:rPr>
        <w:t xml:space="preserve">. </w:t>
      </w:r>
      <w:r w:rsidR="00D80854">
        <w:rPr>
          <w:rFonts w:ascii="Times New Roman" w:hAnsi="Times New Roman" w:cs="Times New Roman"/>
          <w:sz w:val="24"/>
          <w:szCs w:val="24"/>
        </w:rPr>
        <w:t>I</w:t>
      </w:r>
      <w:r w:rsidR="00D80854" w:rsidRPr="00421BBF">
        <w:rPr>
          <w:rFonts w:ascii="Times New Roman" w:hAnsi="Times New Roman" w:cs="Times New Roman"/>
          <w:sz w:val="24"/>
          <w:szCs w:val="24"/>
        </w:rPr>
        <w:t>mmunofluorescence images showing the localization of the indicated kinetochore proteins in HeLa cells, in</w:t>
      </w:r>
      <w:r w:rsidR="00283D51">
        <w:rPr>
          <w:rFonts w:ascii="Times New Roman" w:hAnsi="Times New Roman" w:cs="Times New Roman"/>
          <w:sz w:val="24"/>
          <w:szCs w:val="24"/>
        </w:rPr>
        <w:t xml:space="preserve"> the absence or presence of 200</w:t>
      </w:r>
      <w:r w:rsidR="00D80854" w:rsidRPr="00421BBF">
        <w:rPr>
          <w:rFonts w:ascii="Times New Roman" w:hAnsi="Times New Roman" w:cs="Times New Roman"/>
          <w:sz w:val="24"/>
          <w:szCs w:val="24"/>
        </w:rPr>
        <w:t xml:space="preserve">nM </w:t>
      </w:r>
      <w:r w:rsidR="00D80854">
        <w:rPr>
          <w:rFonts w:ascii="Times New Roman" w:hAnsi="Times New Roman" w:cs="Times New Roman"/>
          <w:sz w:val="24"/>
          <w:szCs w:val="24"/>
        </w:rPr>
        <w:t>BOS172722</w:t>
      </w:r>
      <w:r w:rsidR="00D80854" w:rsidRPr="00421BBF">
        <w:rPr>
          <w:rFonts w:ascii="Times New Roman" w:hAnsi="Times New Roman" w:cs="Times New Roman"/>
          <w:sz w:val="24"/>
          <w:szCs w:val="24"/>
        </w:rPr>
        <w:t>. The white boxes are enlarged to highlight kinetochores.</w:t>
      </w:r>
    </w:p>
    <w:p w14:paraId="32E87DBC" w14:textId="1E7AEF25" w:rsidR="002604B6" w:rsidRPr="000128F7" w:rsidRDefault="002604B6" w:rsidP="00E15797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421BBF">
        <w:rPr>
          <w:rFonts w:ascii="Times New Roman" w:hAnsi="Times New Roman" w:cs="Times New Roman"/>
          <w:b/>
          <w:sz w:val="24"/>
          <w:szCs w:val="24"/>
        </w:rPr>
        <w:t>Supplementary Figure S</w:t>
      </w:r>
      <w:r w:rsidR="00B3167E">
        <w:rPr>
          <w:rFonts w:ascii="Times New Roman" w:hAnsi="Times New Roman" w:cs="Times New Roman"/>
          <w:b/>
          <w:sz w:val="24"/>
          <w:szCs w:val="24"/>
        </w:rPr>
        <w:t>2</w:t>
      </w:r>
      <w:r w:rsidRPr="00421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46EA">
        <w:rPr>
          <w:rFonts w:ascii="Times New Roman" w:hAnsi="Times New Roman" w:cs="Times New Roman"/>
          <w:b/>
          <w:sz w:val="24"/>
          <w:szCs w:val="24"/>
        </w:rPr>
        <w:t>A.</w:t>
      </w:r>
      <w:r w:rsidR="00121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49" w:rsidRPr="00121E4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Box and whiskers plot of GI</w:t>
      </w:r>
      <w:r w:rsidR="00121E49" w:rsidRPr="0060199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</w:rPr>
        <w:t>50</w:t>
      </w:r>
      <w:r w:rsidR="00121E49" w:rsidRPr="00121E4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 categorised by tissue of origin. Top: average doubling time of cell lines above (upper) and below (lower) the median, averages are shown in bold. </w:t>
      </w:r>
      <w:r w:rsidR="00B446EA" w:rsidRPr="00B446E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B</w:t>
      </w:r>
      <w:r w:rsidR="00B446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725305" w:rsidRP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Scatter dot plot of </w:t>
      </w:r>
      <w:proofErr w:type="spellStart"/>
      <w:r w:rsidR="00FB0F96" w:rsidRP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Emax</w:t>
      </w:r>
      <w:proofErr w:type="spellEnd"/>
      <w:r w:rsidR="00FB0F96" w:rsidRP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5 days of </w:t>
      </w:r>
      <w:r w:rsidR="00AF32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</w:t>
      </w:r>
      <w:r w:rsidR="00AF32CC" w:rsidRPr="00AF32CC">
        <w:rPr>
          <w:rFonts w:ascii="Symbol" w:eastAsiaTheme="minorEastAsia" w:hAnsi="Symbol" w:cs="Times New Roman"/>
          <w:color w:val="000000" w:themeColor="text1"/>
          <w:kern w:val="24"/>
          <w:sz w:val="24"/>
          <w:szCs w:val="24"/>
        </w:rPr>
        <w:t></w:t>
      </w:r>
      <w:r w:rsidR="00AF32C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 </w:t>
      </w:r>
      <w:r w:rsidR="00FB0F96" w:rsidRP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BOS172722 treatment in </w:t>
      </w:r>
      <w:r w:rsid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10 </w:t>
      </w:r>
      <w:r w:rsidR="00FB0F96" w:rsidRP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TNBC and </w:t>
      </w:r>
      <w:r w:rsid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9 </w:t>
      </w:r>
      <w:r w:rsidR="00FB0F96" w:rsidRP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non-TNBC cell lines </w:t>
      </w:r>
      <w:r w:rsidR="00050DC7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C-E</w:t>
      </w:r>
      <w:r w:rsidR="00B446E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.</w:t>
      </w:r>
      <w:r w:rsidR="00FB0F9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relative fold change of MPS1 mRNA</w:t>
      </w:r>
      <w:r w:rsidR="00DD4C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level</w:t>
      </w:r>
      <w:r w:rsid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D4C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normalised to house</w:t>
      </w:r>
      <w:r w:rsid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keeping gene </w:t>
      </w:r>
      <w:r w:rsid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PPIA</w:t>
      </w:r>
      <w:r w:rsidR="00050D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(C)</w:t>
      </w:r>
      <w:r w:rsidR="00FB0F96" w:rsidRP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and </w:t>
      </w:r>
      <w:r w:rsid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18S</w:t>
      </w:r>
      <w:r w:rsidR="00B446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50D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(D)</w:t>
      </w:r>
      <w:r w:rsid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25305" w:rsidRP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</w:t>
      </w:r>
      <w:r w:rsid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11</w:t>
      </w:r>
      <w:r w:rsidR="00725305" w:rsidRP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TNBC and </w:t>
      </w:r>
      <w:r w:rsid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10</w:t>
      </w:r>
      <w:r w:rsidR="00725305" w:rsidRP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non-TNBC cell lines</w:t>
      </w:r>
      <w:r w:rsid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 and doubling time in</w:t>
      </w:r>
      <w:r w:rsidR="00121E4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10 </w:t>
      </w:r>
      <w:r w:rsidR="00121E49" w:rsidRP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TNBC and </w:t>
      </w:r>
      <w:r w:rsidR="00121E4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9 </w:t>
      </w:r>
      <w:r w:rsidR="00121E49" w:rsidRPr="00FB0F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non-TNBC cell lines</w:t>
      </w:r>
      <w:r w:rsidR="00050D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50DC7" w:rsidRPr="00050D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</w:t>
      </w:r>
      <w:r w:rsidR="000128F7" w:rsidRPr="00050D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050DC7" w:rsidRPr="00050DC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).</w:t>
      </w:r>
      <w:r w:rsidR="00BF13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25305" w:rsidRP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Triangles in non-TNBC group indicate HER2 positive and overexpressed cell lines. Lines indicate median in each</w:t>
      </w:r>
      <w:r w:rsidR="00725305" w:rsidRPr="0072530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725305" w:rsidRP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group, </w:t>
      </w:r>
      <w:r w:rsidR="00725305" w:rsidRPr="0082219D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p</w:t>
      </w:r>
      <w:r w:rsidR="00725305" w:rsidRP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-value represents</w:t>
      </w:r>
      <w:r w:rsidR="00725305" w:rsidRPr="0072530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725305" w:rsidRPr="0072530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 two-tailed Mann Whitney test.</w:t>
      </w:r>
    </w:p>
    <w:p w14:paraId="2E0D2109" w14:textId="00969832" w:rsidR="00A72B10" w:rsidRDefault="00593B72" w:rsidP="00E15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b/>
          <w:sz w:val="24"/>
          <w:szCs w:val="24"/>
        </w:rPr>
        <w:t>Supplementary Figure S</w:t>
      </w:r>
      <w:r w:rsidR="00B3167E">
        <w:rPr>
          <w:rFonts w:ascii="Times New Roman" w:hAnsi="Times New Roman" w:cs="Times New Roman"/>
          <w:b/>
          <w:sz w:val="24"/>
          <w:szCs w:val="24"/>
        </w:rPr>
        <w:t>3</w:t>
      </w:r>
      <w:r w:rsidRPr="00421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39C">
        <w:rPr>
          <w:rFonts w:ascii="Times New Roman" w:hAnsi="Times New Roman" w:cs="Times New Roman"/>
          <w:sz w:val="24"/>
          <w:szCs w:val="24"/>
        </w:rPr>
        <w:t>BOS172722</w:t>
      </w:r>
      <w:r w:rsidR="00710D65">
        <w:rPr>
          <w:rFonts w:ascii="Times New Roman" w:hAnsi="Times New Roman" w:cs="Times New Roman"/>
          <w:sz w:val="24"/>
          <w:szCs w:val="24"/>
        </w:rPr>
        <w:t xml:space="preserve"> was given at 50</w:t>
      </w:r>
      <w:r w:rsidR="0048739C" w:rsidRPr="00421BBF">
        <w:rPr>
          <w:rFonts w:ascii="Times New Roman" w:hAnsi="Times New Roman" w:cs="Times New Roman"/>
          <w:sz w:val="24"/>
          <w:szCs w:val="24"/>
        </w:rPr>
        <w:t xml:space="preserve">mg/kg orally twice a week </w:t>
      </w:r>
      <w:r w:rsidR="00A05C5E">
        <w:rPr>
          <w:rFonts w:ascii="Times New Roman" w:hAnsi="Times New Roman" w:cs="Times New Roman"/>
          <w:sz w:val="24"/>
          <w:szCs w:val="24"/>
        </w:rPr>
        <w:t xml:space="preserve">(Day 0 and 4) </w:t>
      </w:r>
      <w:r w:rsidR="0048739C" w:rsidRPr="00421BBF">
        <w:rPr>
          <w:rFonts w:ascii="Times New Roman" w:hAnsi="Times New Roman" w:cs="Times New Roman"/>
          <w:sz w:val="24"/>
          <w:szCs w:val="24"/>
        </w:rPr>
        <w:t>f</w:t>
      </w:r>
      <w:r w:rsidR="0048739C">
        <w:rPr>
          <w:rFonts w:ascii="Times New Roman" w:hAnsi="Times New Roman" w:cs="Times New Roman"/>
          <w:sz w:val="24"/>
          <w:szCs w:val="24"/>
        </w:rPr>
        <w:t xml:space="preserve">or 47 days to MDA-MB-231 tumour </w:t>
      </w:r>
      <w:r w:rsidR="0048739C" w:rsidRPr="00421BBF">
        <w:rPr>
          <w:rFonts w:ascii="Times New Roman" w:hAnsi="Times New Roman" w:cs="Times New Roman"/>
          <w:sz w:val="24"/>
          <w:szCs w:val="24"/>
        </w:rPr>
        <w:t>bearing mice</w:t>
      </w:r>
      <w:r w:rsidR="0048739C">
        <w:rPr>
          <w:rFonts w:ascii="Times New Roman" w:hAnsi="Times New Roman" w:cs="Times New Roman"/>
          <w:sz w:val="24"/>
          <w:szCs w:val="24"/>
        </w:rPr>
        <w:t xml:space="preserve">. Graphs showing tumour volume. </w:t>
      </w:r>
      <w:r w:rsidR="0048739C" w:rsidRPr="00421BBF">
        <w:rPr>
          <w:rFonts w:ascii="Times New Roman" w:hAnsi="Times New Roman" w:cs="Times New Roman"/>
          <w:sz w:val="24"/>
          <w:szCs w:val="24"/>
        </w:rPr>
        <w:t>16 mice per group were treated.</w:t>
      </w:r>
      <w:r w:rsidR="0048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F2D70" w14:textId="06F66F38" w:rsidR="007320BA" w:rsidRPr="00B3167E" w:rsidRDefault="00452A60" w:rsidP="00E15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b/>
          <w:sz w:val="24"/>
          <w:szCs w:val="24"/>
        </w:rPr>
        <w:t>Supplementary Figure S</w:t>
      </w:r>
      <w:r w:rsidR="00B3167E">
        <w:rPr>
          <w:rFonts w:ascii="Times New Roman" w:hAnsi="Times New Roman" w:cs="Times New Roman"/>
          <w:b/>
          <w:sz w:val="24"/>
          <w:szCs w:val="24"/>
        </w:rPr>
        <w:t>4</w:t>
      </w:r>
      <w:r w:rsidRPr="00421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2A60">
        <w:rPr>
          <w:rFonts w:ascii="Times New Roman" w:hAnsi="Times New Roman" w:cs="Times New Roman"/>
          <w:b/>
          <w:sz w:val="24"/>
          <w:szCs w:val="24"/>
        </w:rPr>
        <w:t>A</w:t>
      </w:r>
      <w:r w:rsidR="001C0B42">
        <w:rPr>
          <w:rFonts w:ascii="Times New Roman" w:hAnsi="Times New Roman" w:cs="Times New Roman"/>
          <w:b/>
          <w:sz w:val="24"/>
          <w:szCs w:val="24"/>
        </w:rPr>
        <w:t>.</w:t>
      </w:r>
      <w:r w:rsidR="00E63662">
        <w:rPr>
          <w:rFonts w:ascii="Times New Roman" w:hAnsi="Times New Roman" w:cs="Times New Roman"/>
          <w:sz w:val="24"/>
          <w:szCs w:val="24"/>
        </w:rPr>
        <w:t xml:space="preserve"> Distribution of c</w:t>
      </w:r>
      <w:r w:rsidRPr="00F6675A">
        <w:rPr>
          <w:rFonts w:ascii="Times New Roman" w:hAnsi="Times New Roman" w:cs="Times New Roman"/>
          <w:sz w:val="24"/>
          <w:szCs w:val="24"/>
        </w:rPr>
        <w:t xml:space="preserve">hromosome numbers in MDA-MB-231 after incubation with 1nM </w:t>
      </w:r>
      <w:r w:rsidR="009D1F29">
        <w:rPr>
          <w:rFonts w:ascii="Times New Roman" w:hAnsi="Times New Roman" w:cs="Times New Roman"/>
          <w:sz w:val="24"/>
          <w:szCs w:val="24"/>
        </w:rPr>
        <w:t>Paclitaxel</w:t>
      </w:r>
      <w:r w:rsidRPr="00F6675A">
        <w:rPr>
          <w:rFonts w:ascii="Times New Roman" w:hAnsi="Times New Roman" w:cs="Times New Roman"/>
          <w:sz w:val="24"/>
          <w:szCs w:val="24"/>
        </w:rPr>
        <w:t xml:space="preserve"> or vehicle (DMSO) for 36h. Bars depict the average of percentage values from three independent experiments with &gt;20 metaphases scored each. </w:t>
      </w:r>
      <w:r w:rsidR="005C49F8" w:rsidRPr="005C49F8">
        <w:rPr>
          <w:rFonts w:ascii="Times New Roman" w:hAnsi="Times New Roman" w:cs="Times New Roman"/>
          <w:b/>
          <w:sz w:val="24"/>
          <w:szCs w:val="24"/>
        </w:rPr>
        <w:t>B-</w:t>
      </w:r>
      <w:r w:rsidR="00EC5404" w:rsidRPr="005C49F8">
        <w:rPr>
          <w:rFonts w:ascii="Times New Roman" w:hAnsi="Times New Roman" w:cs="Times New Roman"/>
          <w:b/>
          <w:sz w:val="24"/>
          <w:szCs w:val="24"/>
        </w:rPr>
        <w:t>C</w:t>
      </w:r>
      <w:r w:rsidR="00E63662">
        <w:rPr>
          <w:rFonts w:ascii="Times New Roman" w:hAnsi="Times New Roman" w:cs="Times New Roman"/>
          <w:b/>
          <w:sz w:val="24"/>
          <w:szCs w:val="24"/>
        </w:rPr>
        <w:t>.</w:t>
      </w:r>
      <w:r w:rsidR="00E63662">
        <w:rPr>
          <w:rFonts w:ascii="Times New Roman" w:hAnsi="Times New Roman" w:cs="Times New Roman"/>
          <w:sz w:val="24"/>
          <w:szCs w:val="24"/>
        </w:rPr>
        <w:t xml:space="preserve"> Q</w:t>
      </w:r>
      <w:r w:rsidR="00EC5404" w:rsidRPr="005C49F8">
        <w:rPr>
          <w:rFonts w:ascii="Times New Roman" w:hAnsi="Times New Roman" w:cs="Times New Roman"/>
          <w:sz w:val="24"/>
          <w:szCs w:val="24"/>
        </w:rPr>
        <w:t xml:space="preserve">uantification of chromosome alignment errors in HeLa cells. HeLa cells were incubated for 90 minutes with MG132, </w:t>
      </w:r>
      <w:r w:rsidR="009D1F29">
        <w:rPr>
          <w:rFonts w:ascii="Times New Roman" w:hAnsi="Times New Roman" w:cs="Times New Roman"/>
          <w:sz w:val="24"/>
          <w:szCs w:val="24"/>
        </w:rPr>
        <w:t>Paclitaxel</w:t>
      </w:r>
      <w:r w:rsidR="00EC5404" w:rsidRPr="005C49F8">
        <w:rPr>
          <w:rFonts w:ascii="Times New Roman" w:hAnsi="Times New Roman" w:cs="Times New Roman"/>
          <w:sz w:val="24"/>
          <w:szCs w:val="24"/>
        </w:rPr>
        <w:t>, BOS172722 or the combination of both, as indicated</w:t>
      </w:r>
      <w:r w:rsidR="00EC5404" w:rsidRPr="00F6675A">
        <w:rPr>
          <w:rFonts w:ascii="Times New Roman" w:hAnsi="Times New Roman" w:cs="Times New Roman"/>
          <w:sz w:val="24"/>
          <w:szCs w:val="24"/>
        </w:rPr>
        <w:t>. Defects were categorized as normal: with all chromosomes aligned, minor; 1-3 chromosomes unaligned, major: &gt;3 chromosomes unaligned. &gt;100 cells were analyse</w:t>
      </w:r>
      <w:r w:rsidR="005C49F8">
        <w:rPr>
          <w:rFonts w:ascii="Times New Roman" w:hAnsi="Times New Roman" w:cs="Times New Roman"/>
          <w:sz w:val="24"/>
          <w:szCs w:val="24"/>
        </w:rPr>
        <w:t xml:space="preserve">d for each replicate condition. Representative images </w:t>
      </w:r>
      <w:r w:rsidR="005C49F8" w:rsidRPr="001C0B42">
        <w:rPr>
          <w:rFonts w:ascii="Times New Roman" w:hAnsi="Times New Roman" w:cs="Times New Roman"/>
          <w:sz w:val="24"/>
          <w:szCs w:val="24"/>
        </w:rPr>
        <w:t>(B)</w:t>
      </w:r>
      <w:r w:rsidR="005C49F8">
        <w:rPr>
          <w:rFonts w:ascii="Times New Roman" w:hAnsi="Times New Roman" w:cs="Times New Roman"/>
          <w:sz w:val="24"/>
          <w:szCs w:val="24"/>
        </w:rPr>
        <w:t xml:space="preserve"> and graph </w:t>
      </w:r>
      <w:r w:rsidR="00EC5404" w:rsidRPr="00F6675A">
        <w:rPr>
          <w:rFonts w:ascii="Times New Roman" w:hAnsi="Times New Roman" w:cs="Times New Roman"/>
          <w:sz w:val="24"/>
          <w:szCs w:val="24"/>
        </w:rPr>
        <w:t>with mean values and standard deviation from three biological replicates</w:t>
      </w:r>
      <w:r w:rsidR="005C49F8">
        <w:rPr>
          <w:rFonts w:ascii="Times New Roman" w:hAnsi="Times New Roman" w:cs="Times New Roman"/>
          <w:sz w:val="24"/>
          <w:szCs w:val="24"/>
        </w:rPr>
        <w:t xml:space="preserve"> </w:t>
      </w:r>
      <w:r w:rsidR="005C49F8" w:rsidRPr="001C0B42">
        <w:rPr>
          <w:rFonts w:ascii="Times New Roman" w:hAnsi="Times New Roman" w:cs="Times New Roman"/>
          <w:sz w:val="24"/>
          <w:szCs w:val="24"/>
        </w:rPr>
        <w:t>(C)</w:t>
      </w:r>
      <w:r w:rsidR="005C49F8">
        <w:rPr>
          <w:rFonts w:ascii="Times New Roman" w:hAnsi="Times New Roman" w:cs="Times New Roman"/>
          <w:sz w:val="24"/>
          <w:szCs w:val="24"/>
        </w:rPr>
        <w:t xml:space="preserve"> were</w:t>
      </w:r>
      <w:r w:rsidR="00EC5404" w:rsidRPr="00F6675A">
        <w:rPr>
          <w:rFonts w:ascii="Times New Roman" w:hAnsi="Times New Roman" w:cs="Times New Roman"/>
          <w:sz w:val="24"/>
          <w:szCs w:val="24"/>
        </w:rPr>
        <w:t xml:space="preserve"> shown. </w:t>
      </w:r>
      <w:r w:rsidR="00EC5404" w:rsidRPr="005C49F8">
        <w:rPr>
          <w:rFonts w:ascii="Times New Roman" w:hAnsi="Times New Roman" w:cs="Times New Roman"/>
          <w:b/>
          <w:sz w:val="24"/>
          <w:szCs w:val="24"/>
        </w:rPr>
        <w:t>D</w:t>
      </w:r>
      <w:r w:rsidR="001C0B42">
        <w:rPr>
          <w:rFonts w:ascii="Times New Roman" w:hAnsi="Times New Roman" w:cs="Times New Roman"/>
          <w:b/>
          <w:sz w:val="24"/>
          <w:szCs w:val="24"/>
        </w:rPr>
        <w:t>.</w:t>
      </w:r>
      <w:r w:rsidR="00EC5404" w:rsidRPr="005C49F8">
        <w:rPr>
          <w:rFonts w:ascii="Times New Roman" w:hAnsi="Times New Roman" w:cs="Times New Roman"/>
          <w:sz w:val="24"/>
          <w:szCs w:val="24"/>
        </w:rPr>
        <w:t xml:space="preserve"> Bar graph representing the ext</w:t>
      </w:r>
      <w:r w:rsidR="00E63662">
        <w:rPr>
          <w:rFonts w:ascii="Times New Roman" w:hAnsi="Times New Roman" w:cs="Times New Roman"/>
          <w:sz w:val="24"/>
          <w:szCs w:val="24"/>
        </w:rPr>
        <w:t>ent of s</w:t>
      </w:r>
      <w:r w:rsidR="00EC5404" w:rsidRPr="005C49F8">
        <w:rPr>
          <w:rFonts w:ascii="Times New Roman" w:hAnsi="Times New Roman" w:cs="Times New Roman"/>
          <w:sz w:val="24"/>
          <w:szCs w:val="24"/>
        </w:rPr>
        <w:t xml:space="preserve">ynergy observed after incubation with </w:t>
      </w:r>
      <w:r w:rsidR="009D1F29">
        <w:rPr>
          <w:rFonts w:ascii="Times New Roman" w:hAnsi="Times New Roman" w:cs="Times New Roman"/>
          <w:sz w:val="24"/>
          <w:szCs w:val="24"/>
        </w:rPr>
        <w:t>Paclitaxel</w:t>
      </w:r>
      <w:r w:rsidR="00EC5404" w:rsidRPr="005C49F8">
        <w:rPr>
          <w:rFonts w:ascii="Times New Roman" w:hAnsi="Times New Roman" w:cs="Times New Roman"/>
          <w:sz w:val="24"/>
          <w:szCs w:val="24"/>
        </w:rPr>
        <w:t xml:space="preserve"> and BOS172722 for distinct periods of time. Combinations of BOS172722 with 1 and 2nM </w:t>
      </w:r>
      <w:r w:rsidR="009D1F29">
        <w:rPr>
          <w:rFonts w:ascii="Times New Roman" w:hAnsi="Times New Roman" w:cs="Times New Roman"/>
          <w:sz w:val="24"/>
          <w:szCs w:val="24"/>
        </w:rPr>
        <w:t>Paclitaxel</w:t>
      </w:r>
      <w:r w:rsidR="00EC5404" w:rsidRPr="005C49F8">
        <w:rPr>
          <w:rFonts w:ascii="Times New Roman" w:hAnsi="Times New Roman" w:cs="Times New Roman"/>
          <w:sz w:val="24"/>
          <w:szCs w:val="24"/>
        </w:rPr>
        <w:t xml:space="preserve"> were added to MDA-MB-231 cells and removed by washing once after the indicated time. All ass</w:t>
      </w:r>
      <w:r w:rsidR="00710D65">
        <w:rPr>
          <w:rFonts w:ascii="Times New Roman" w:hAnsi="Times New Roman" w:cs="Times New Roman"/>
          <w:sz w:val="24"/>
          <w:szCs w:val="24"/>
        </w:rPr>
        <w:t>ays were read after 5 days (120</w:t>
      </w:r>
      <w:r w:rsidR="00EC5404" w:rsidRPr="005C49F8">
        <w:rPr>
          <w:rFonts w:ascii="Times New Roman" w:hAnsi="Times New Roman" w:cs="Times New Roman"/>
          <w:sz w:val="24"/>
          <w:szCs w:val="24"/>
        </w:rPr>
        <w:t>h). Values are means of at least three independent experiments, error bars represent standard deviation.</w:t>
      </w:r>
      <w:r w:rsidR="00B3167E">
        <w:rPr>
          <w:rFonts w:ascii="Times New Roman" w:hAnsi="Times New Roman" w:cs="Times New Roman"/>
          <w:sz w:val="24"/>
          <w:szCs w:val="24"/>
        </w:rPr>
        <w:t xml:space="preserve"> </w:t>
      </w:r>
      <w:r w:rsidR="00B3167E" w:rsidRPr="00B3167E">
        <w:rPr>
          <w:rFonts w:ascii="Times New Roman" w:hAnsi="Times New Roman" w:cs="Times New Roman"/>
          <w:b/>
          <w:sz w:val="24"/>
          <w:szCs w:val="24"/>
        </w:rPr>
        <w:t>E</w:t>
      </w:r>
      <w:r w:rsidR="00B3167E">
        <w:rPr>
          <w:rFonts w:ascii="Times New Roman" w:hAnsi="Times New Roman" w:cs="Times New Roman"/>
          <w:sz w:val="24"/>
          <w:szCs w:val="24"/>
        </w:rPr>
        <w:t xml:space="preserve">. </w:t>
      </w:r>
      <w:r w:rsidR="007320BA" w:rsidRPr="007320BA">
        <w:rPr>
          <w:rFonts w:ascii="Times New Roman" w:hAnsi="Times New Roman" w:cs="Times New Roman"/>
          <w:sz w:val="24"/>
          <w:szCs w:val="24"/>
        </w:rPr>
        <w:t>Quantification of synergism in relation to the time of addition of BOS172722 or Paclitaxel. Left graph: MDA-MB-231 cells were incubated with a dilution series of Paclitaxel and the MPS1 inhibitor (37.5, 75, 150nM) added either simultaneously (0h), 12 or 24h after addition of Paclitaxel. Right graph: MDA-MB-231 cells were incubated with a dilution series of BOS172722 and Paclitaxel (1 or 2nM) added either simultaneously (0), 12 or 24h after addition of the MPS1 inhibitor. The difference in synergy at simultaneous addition is a consequence of the different experimental setup. Values are means of at least three independent experiments, error bars represent standard deviation.</w:t>
      </w:r>
    </w:p>
    <w:sectPr w:rsidR="007320BA" w:rsidRPr="00B31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11905"/>
    <w:multiLevelType w:val="hybridMultilevel"/>
    <w:tmpl w:val="EFDE9824"/>
    <w:lvl w:ilvl="0" w:tplc="20968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4AAB5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3E2E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C5EFE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60F1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C270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1051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7A8D0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6A09E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47"/>
    <w:rsid w:val="000128F7"/>
    <w:rsid w:val="00013CF0"/>
    <w:rsid w:val="000170C7"/>
    <w:rsid w:val="00030CA4"/>
    <w:rsid w:val="0004163E"/>
    <w:rsid w:val="00050DC7"/>
    <w:rsid w:val="00065673"/>
    <w:rsid w:val="00073472"/>
    <w:rsid w:val="00087B5D"/>
    <w:rsid w:val="000A026D"/>
    <w:rsid w:val="000A0652"/>
    <w:rsid w:val="000C6EEB"/>
    <w:rsid w:val="000C7F16"/>
    <w:rsid w:val="000E5538"/>
    <w:rsid w:val="000F15EC"/>
    <w:rsid w:val="00100F4E"/>
    <w:rsid w:val="0010231A"/>
    <w:rsid w:val="0011193E"/>
    <w:rsid w:val="00121E49"/>
    <w:rsid w:val="001252FF"/>
    <w:rsid w:val="00133EF9"/>
    <w:rsid w:val="0015158A"/>
    <w:rsid w:val="00175E6D"/>
    <w:rsid w:val="001A0445"/>
    <w:rsid w:val="001B6A65"/>
    <w:rsid w:val="001B6DEB"/>
    <w:rsid w:val="001C0B42"/>
    <w:rsid w:val="001D1971"/>
    <w:rsid w:val="001F7E94"/>
    <w:rsid w:val="00203665"/>
    <w:rsid w:val="002379F6"/>
    <w:rsid w:val="002604B6"/>
    <w:rsid w:val="0027041E"/>
    <w:rsid w:val="00273828"/>
    <w:rsid w:val="002764DE"/>
    <w:rsid w:val="00283D51"/>
    <w:rsid w:val="002A2718"/>
    <w:rsid w:val="002B7118"/>
    <w:rsid w:val="00316232"/>
    <w:rsid w:val="00322E54"/>
    <w:rsid w:val="003321A4"/>
    <w:rsid w:val="00345D76"/>
    <w:rsid w:val="00364F03"/>
    <w:rsid w:val="003671A9"/>
    <w:rsid w:val="00370A37"/>
    <w:rsid w:val="00372735"/>
    <w:rsid w:val="0038149A"/>
    <w:rsid w:val="00391809"/>
    <w:rsid w:val="003B03E0"/>
    <w:rsid w:val="003B465E"/>
    <w:rsid w:val="003B4A32"/>
    <w:rsid w:val="003D1098"/>
    <w:rsid w:val="003F368F"/>
    <w:rsid w:val="003F5713"/>
    <w:rsid w:val="00421BBF"/>
    <w:rsid w:val="00422E47"/>
    <w:rsid w:val="00423F47"/>
    <w:rsid w:val="00452A60"/>
    <w:rsid w:val="0048739C"/>
    <w:rsid w:val="00495947"/>
    <w:rsid w:val="004A710A"/>
    <w:rsid w:val="004D56D0"/>
    <w:rsid w:val="004E02B3"/>
    <w:rsid w:val="005376EA"/>
    <w:rsid w:val="00554C67"/>
    <w:rsid w:val="00587D3D"/>
    <w:rsid w:val="005919E4"/>
    <w:rsid w:val="00593B72"/>
    <w:rsid w:val="005A5BE1"/>
    <w:rsid w:val="005B1F73"/>
    <w:rsid w:val="005B38FF"/>
    <w:rsid w:val="005C49F8"/>
    <w:rsid w:val="005F3DD8"/>
    <w:rsid w:val="00601993"/>
    <w:rsid w:val="00623DB0"/>
    <w:rsid w:val="00657B18"/>
    <w:rsid w:val="006646F4"/>
    <w:rsid w:val="00670D04"/>
    <w:rsid w:val="00672785"/>
    <w:rsid w:val="00676D96"/>
    <w:rsid w:val="006827B4"/>
    <w:rsid w:val="006B0E2A"/>
    <w:rsid w:val="006B6F3F"/>
    <w:rsid w:val="006C4723"/>
    <w:rsid w:val="006C72B2"/>
    <w:rsid w:val="006E5566"/>
    <w:rsid w:val="006E7DCA"/>
    <w:rsid w:val="006F192D"/>
    <w:rsid w:val="006F7DBF"/>
    <w:rsid w:val="0070329B"/>
    <w:rsid w:val="007106EB"/>
    <w:rsid w:val="00710D65"/>
    <w:rsid w:val="0071788A"/>
    <w:rsid w:val="00725270"/>
    <w:rsid w:val="00725305"/>
    <w:rsid w:val="007320BA"/>
    <w:rsid w:val="00734AA3"/>
    <w:rsid w:val="00740550"/>
    <w:rsid w:val="00745EFE"/>
    <w:rsid w:val="00764593"/>
    <w:rsid w:val="00765E30"/>
    <w:rsid w:val="007700F0"/>
    <w:rsid w:val="007728C7"/>
    <w:rsid w:val="00783682"/>
    <w:rsid w:val="00787D72"/>
    <w:rsid w:val="007B1D56"/>
    <w:rsid w:val="007B576F"/>
    <w:rsid w:val="007C250E"/>
    <w:rsid w:val="007C486D"/>
    <w:rsid w:val="007E459B"/>
    <w:rsid w:val="0080038D"/>
    <w:rsid w:val="008174CB"/>
    <w:rsid w:val="0082219D"/>
    <w:rsid w:val="008476E1"/>
    <w:rsid w:val="008716CC"/>
    <w:rsid w:val="008A32D2"/>
    <w:rsid w:val="008E1717"/>
    <w:rsid w:val="009230C3"/>
    <w:rsid w:val="0093150E"/>
    <w:rsid w:val="00932F35"/>
    <w:rsid w:val="009413BF"/>
    <w:rsid w:val="009459E3"/>
    <w:rsid w:val="00950365"/>
    <w:rsid w:val="00971BF5"/>
    <w:rsid w:val="009A7F1F"/>
    <w:rsid w:val="009B6D8A"/>
    <w:rsid w:val="009C563D"/>
    <w:rsid w:val="009C7364"/>
    <w:rsid w:val="009D1F29"/>
    <w:rsid w:val="009D4133"/>
    <w:rsid w:val="009D5AE7"/>
    <w:rsid w:val="009D6E0F"/>
    <w:rsid w:val="009E43AA"/>
    <w:rsid w:val="009F3421"/>
    <w:rsid w:val="00A022D6"/>
    <w:rsid w:val="00A05C5E"/>
    <w:rsid w:val="00A2006A"/>
    <w:rsid w:val="00A367FD"/>
    <w:rsid w:val="00A452EB"/>
    <w:rsid w:val="00A46928"/>
    <w:rsid w:val="00A711A1"/>
    <w:rsid w:val="00A72B10"/>
    <w:rsid w:val="00A82FBC"/>
    <w:rsid w:val="00AC0792"/>
    <w:rsid w:val="00AE0664"/>
    <w:rsid w:val="00AE6475"/>
    <w:rsid w:val="00AE75C5"/>
    <w:rsid w:val="00AF32CC"/>
    <w:rsid w:val="00B05C5F"/>
    <w:rsid w:val="00B152BF"/>
    <w:rsid w:val="00B3167E"/>
    <w:rsid w:val="00B420E5"/>
    <w:rsid w:val="00B446EA"/>
    <w:rsid w:val="00B7362B"/>
    <w:rsid w:val="00B95883"/>
    <w:rsid w:val="00BE2085"/>
    <w:rsid w:val="00BF1331"/>
    <w:rsid w:val="00C40461"/>
    <w:rsid w:val="00C71784"/>
    <w:rsid w:val="00C84B47"/>
    <w:rsid w:val="00C85F57"/>
    <w:rsid w:val="00C863E1"/>
    <w:rsid w:val="00C96AC2"/>
    <w:rsid w:val="00CB5BCC"/>
    <w:rsid w:val="00CC651C"/>
    <w:rsid w:val="00CC7A2B"/>
    <w:rsid w:val="00CD1A16"/>
    <w:rsid w:val="00CE4738"/>
    <w:rsid w:val="00CE527F"/>
    <w:rsid w:val="00CF3D96"/>
    <w:rsid w:val="00CF7B47"/>
    <w:rsid w:val="00D0562D"/>
    <w:rsid w:val="00D14E7F"/>
    <w:rsid w:val="00D43380"/>
    <w:rsid w:val="00D55E20"/>
    <w:rsid w:val="00D71859"/>
    <w:rsid w:val="00D7324E"/>
    <w:rsid w:val="00D73808"/>
    <w:rsid w:val="00D74906"/>
    <w:rsid w:val="00D762BB"/>
    <w:rsid w:val="00D77A1E"/>
    <w:rsid w:val="00D80854"/>
    <w:rsid w:val="00D81EC4"/>
    <w:rsid w:val="00D87AEA"/>
    <w:rsid w:val="00DC4956"/>
    <w:rsid w:val="00DD4C75"/>
    <w:rsid w:val="00DF1CD4"/>
    <w:rsid w:val="00E15797"/>
    <w:rsid w:val="00E63662"/>
    <w:rsid w:val="00E642C4"/>
    <w:rsid w:val="00E74F99"/>
    <w:rsid w:val="00EB314A"/>
    <w:rsid w:val="00EB3570"/>
    <w:rsid w:val="00EC35C4"/>
    <w:rsid w:val="00EC5404"/>
    <w:rsid w:val="00EF57F6"/>
    <w:rsid w:val="00F05E8C"/>
    <w:rsid w:val="00F23E65"/>
    <w:rsid w:val="00F27E4B"/>
    <w:rsid w:val="00F53F5A"/>
    <w:rsid w:val="00F565B1"/>
    <w:rsid w:val="00F6675A"/>
    <w:rsid w:val="00F82D5B"/>
    <w:rsid w:val="00FB0469"/>
    <w:rsid w:val="00FB0F96"/>
    <w:rsid w:val="00FD3A9C"/>
    <w:rsid w:val="00FF1148"/>
    <w:rsid w:val="00FF404A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D8124"/>
  <w15:docId w15:val="{6208DEB4-BC21-264F-B3FC-E330954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ing 1"/>
    <w:basedOn w:val="Normal"/>
    <w:next w:val="Normal"/>
    <w:link w:val="Heading2Char"/>
    <w:autoRedefine/>
    <w:qFormat/>
    <w:rsid w:val="00B95883"/>
    <w:pPr>
      <w:keepNext/>
      <w:spacing w:before="120" w:after="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1 Char"/>
    <w:basedOn w:val="DefaultParagraphFont"/>
    <w:link w:val="Heading2"/>
    <w:rsid w:val="00B95883"/>
    <w:rPr>
      <w:rFonts w:ascii="Times New Roman" w:eastAsia="Times New Roman" w:hAnsi="Times New Roman" w:cs="Times New Roman"/>
      <w:b/>
      <w:bCs/>
      <w:iCs/>
      <w:sz w:val="28"/>
      <w:szCs w:val="28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32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8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49DC-65DE-7049-86E8-494B200B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Anderhub</dc:creator>
  <cp:lastModifiedBy>Microsoft Office User</cp:lastModifiedBy>
  <cp:revision>2</cp:revision>
  <dcterms:created xsi:type="dcterms:W3CDTF">2019-10-09T09:15:00Z</dcterms:created>
  <dcterms:modified xsi:type="dcterms:W3CDTF">2019-10-09T09:15:00Z</dcterms:modified>
</cp:coreProperties>
</file>