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1F760C" w14:textId="28C1507D" w:rsidR="00616AF5" w:rsidRPr="00616AF5" w:rsidRDefault="00BF0D19" w:rsidP="00342857">
      <w:pPr>
        <w:jc w:val="both"/>
        <w:rPr>
          <w:rFonts w:ascii="Arial" w:hAnsi="Arial" w:cs="Arial"/>
          <w:b/>
          <w:sz w:val="22"/>
          <w:szCs w:val="22"/>
          <w:lang w:val="en-US"/>
        </w:rPr>
      </w:pPr>
      <w:r w:rsidRPr="008C7FCA">
        <w:rPr>
          <w:rFonts w:ascii="Arial" w:hAnsi="Arial" w:cs="Arial"/>
          <w:b/>
          <w:sz w:val="22"/>
          <w:szCs w:val="22"/>
          <w:lang w:val="en-US"/>
        </w:rPr>
        <w:t>Directing therapy with circulating tumo</w:t>
      </w:r>
      <w:r w:rsidR="000C6FDC">
        <w:rPr>
          <w:rFonts w:ascii="Arial" w:hAnsi="Arial" w:cs="Arial"/>
          <w:b/>
          <w:sz w:val="22"/>
          <w:szCs w:val="22"/>
          <w:lang w:val="en-US"/>
        </w:rPr>
        <w:t>u</w:t>
      </w:r>
      <w:r w:rsidRPr="008C7FCA">
        <w:rPr>
          <w:rFonts w:ascii="Arial" w:hAnsi="Arial" w:cs="Arial"/>
          <w:b/>
          <w:sz w:val="22"/>
          <w:szCs w:val="22"/>
          <w:lang w:val="en-US"/>
        </w:rPr>
        <w:t>r DNA</w:t>
      </w:r>
      <w:r w:rsidR="00F82F8B" w:rsidRPr="008C7FCA">
        <w:rPr>
          <w:rFonts w:ascii="Arial" w:hAnsi="Arial" w:cs="Arial"/>
          <w:b/>
          <w:sz w:val="22"/>
          <w:szCs w:val="22"/>
          <w:lang w:val="en-US"/>
        </w:rPr>
        <w:t xml:space="preserve"> analysis</w:t>
      </w:r>
      <w:r w:rsidRPr="008C7FCA">
        <w:rPr>
          <w:rFonts w:ascii="Arial" w:hAnsi="Arial" w:cs="Arial"/>
          <w:b/>
          <w:sz w:val="22"/>
          <w:szCs w:val="22"/>
          <w:lang w:val="en-US"/>
        </w:rPr>
        <w:t xml:space="preserve"> in advanced breast cancer</w:t>
      </w:r>
      <w:r w:rsidR="005E1252">
        <w:rPr>
          <w:rFonts w:ascii="Arial" w:hAnsi="Arial" w:cs="Arial"/>
          <w:b/>
          <w:sz w:val="22"/>
          <w:szCs w:val="22"/>
          <w:lang w:val="en-US"/>
        </w:rPr>
        <w:t xml:space="preserve">: </w:t>
      </w:r>
      <w:r w:rsidR="00CF5AF2">
        <w:rPr>
          <w:rFonts w:ascii="Arial" w:hAnsi="Arial" w:cs="Arial"/>
          <w:b/>
          <w:sz w:val="22"/>
          <w:szCs w:val="22"/>
          <w:lang w:val="en-US"/>
        </w:rPr>
        <w:t>T</w:t>
      </w:r>
      <w:r w:rsidR="00C23C6F">
        <w:rPr>
          <w:rFonts w:ascii="Arial" w:hAnsi="Arial" w:cs="Arial"/>
          <w:b/>
          <w:sz w:val="22"/>
          <w:szCs w:val="22"/>
          <w:lang w:val="en-US"/>
        </w:rPr>
        <w:t xml:space="preserve">he </w:t>
      </w:r>
      <w:r w:rsidR="00C23C6F" w:rsidRPr="00C23C6F">
        <w:rPr>
          <w:rFonts w:ascii="Arial" w:hAnsi="Arial" w:cs="Arial"/>
          <w:b/>
          <w:sz w:val="22"/>
          <w:szCs w:val="22"/>
          <w:lang w:val="en-US"/>
        </w:rPr>
        <w:t xml:space="preserve">multi-cohort </w:t>
      </w:r>
      <w:r w:rsidR="005E1252">
        <w:rPr>
          <w:rFonts w:ascii="Arial" w:hAnsi="Arial" w:cs="Arial"/>
          <w:b/>
          <w:sz w:val="22"/>
          <w:szCs w:val="22"/>
          <w:lang w:val="en-US"/>
        </w:rPr>
        <w:t xml:space="preserve">plasmaMATCH </w:t>
      </w:r>
      <w:r w:rsidR="0066791B">
        <w:rPr>
          <w:rFonts w:ascii="Arial" w:hAnsi="Arial" w:cs="Arial"/>
          <w:b/>
          <w:sz w:val="22"/>
          <w:szCs w:val="22"/>
          <w:lang w:val="en-US"/>
        </w:rPr>
        <w:t xml:space="preserve">platform </w:t>
      </w:r>
      <w:r w:rsidR="005E1252">
        <w:rPr>
          <w:rFonts w:ascii="Arial" w:hAnsi="Arial" w:cs="Arial"/>
          <w:b/>
          <w:sz w:val="22"/>
          <w:szCs w:val="22"/>
          <w:lang w:val="en-US"/>
        </w:rPr>
        <w:t>trial</w:t>
      </w:r>
    </w:p>
    <w:p w14:paraId="5C99AA7D" w14:textId="007E0273" w:rsidR="00342857" w:rsidRPr="00DA2BE7" w:rsidRDefault="00342857" w:rsidP="003471B6">
      <w:pPr>
        <w:jc w:val="both"/>
        <w:rPr>
          <w:rFonts w:ascii="Arial" w:hAnsi="Arial" w:cs="Arial"/>
          <w:sz w:val="22"/>
          <w:szCs w:val="22"/>
          <w:lang w:val="en-US"/>
        </w:rPr>
      </w:pPr>
      <w:r w:rsidRPr="007769F1">
        <w:rPr>
          <w:rFonts w:ascii="Arial" w:hAnsi="Arial" w:cs="Arial"/>
          <w:sz w:val="22"/>
          <w:szCs w:val="22"/>
          <w:lang w:val="en-US"/>
        </w:rPr>
        <w:t>Nicholas C Turner</w:t>
      </w:r>
      <w:r w:rsidR="0023669F">
        <w:rPr>
          <w:rFonts w:ascii="Arial" w:hAnsi="Arial" w:cs="Arial"/>
          <w:sz w:val="22"/>
          <w:szCs w:val="22"/>
          <w:lang w:val="en-US"/>
        </w:rPr>
        <w:t xml:space="preserve">, </w:t>
      </w:r>
      <w:r w:rsidR="00397D71" w:rsidRPr="00DA2BE7">
        <w:rPr>
          <w:rFonts w:ascii="Arial" w:hAnsi="Arial" w:cs="Arial"/>
          <w:sz w:val="22"/>
          <w:szCs w:val="22"/>
          <w:lang w:val="en-US"/>
        </w:rPr>
        <w:t>Belinda Kingston</w:t>
      </w:r>
      <w:r w:rsidR="0023669F">
        <w:rPr>
          <w:rFonts w:ascii="Arial" w:hAnsi="Arial" w:cs="Arial"/>
          <w:sz w:val="22"/>
          <w:szCs w:val="22"/>
          <w:lang w:val="en-US"/>
        </w:rPr>
        <w:t xml:space="preserve">, </w:t>
      </w:r>
      <w:r w:rsidR="00397D71" w:rsidRPr="00DA2BE7">
        <w:rPr>
          <w:rFonts w:ascii="Arial" w:hAnsi="Arial" w:cs="Arial"/>
          <w:sz w:val="22"/>
          <w:szCs w:val="22"/>
          <w:lang w:val="en-US"/>
        </w:rPr>
        <w:t xml:space="preserve">Lucy </w:t>
      </w:r>
      <w:r w:rsidR="00B812C8">
        <w:rPr>
          <w:rFonts w:ascii="Arial" w:hAnsi="Arial" w:cs="Arial"/>
          <w:sz w:val="22"/>
          <w:szCs w:val="22"/>
          <w:lang w:val="en-US"/>
        </w:rPr>
        <w:t>S</w:t>
      </w:r>
      <w:r w:rsidR="00397D71" w:rsidRPr="00DA2BE7">
        <w:rPr>
          <w:rFonts w:ascii="Arial" w:hAnsi="Arial" w:cs="Arial"/>
          <w:sz w:val="22"/>
          <w:szCs w:val="22"/>
          <w:lang w:val="en-US"/>
        </w:rPr>
        <w:t xml:space="preserve"> Kilburn</w:t>
      </w:r>
      <w:r w:rsidR="0023669F">
        <w:rPr>
          <w:rFonts w:ascii="Arial" w:hAnsi="Arial" w:cs="Arial"/>
          <w:sz w:val="22"/>
          <w:szCs w:val="22"/>
          <w:lang w:val="en-US"/>
        </w:rPr>
        <w:t xml:space="preserve">, </w:t>
      </w:r>
      <w:r w:rsidR="00397D71" w:rsidRPr="00DA2BE7">
        <w:rPr>
          <w:rFonts w:ascii="Arial" w:hAnsi="Arial" w:cs="Arial"/>
          <w:sz w:val="22"/>
          <w:szCs w:val="22"/>
          <w:lang w:val="en-US"/>
        </w:rPr>
        <w:t>Sarah Kernaghan</w:t>
      </w:r>
      <w:r w:rsidR="0023669F">
        <w:rPr>
          <w:rFonts w:ascii="Arial" w:hAnsi="Arial" w:cs="Arial"/>
          <w:sz w:val="22"/>
          <w:szCs w:val="22"/>
          <w:lang w:val="en-US"/>
        </w:rPr>
        <w:t xml:space="preserve">, </w:t>
      </w:r>
      <w:r w:rsidR="00397D71" w:rsidRPr="00DA2BE7">
        <w:rPr>
          <w:rFonts w:ascii="Arial" w:hAnsi="Arial" w:cs="Arial"/>
          <w:sz w:val="22"/>
          <w:szCs w:val="22"/>
          <w:lang w:val="en-US"/>
        </w:rPr>
        <w:t>Andrew M Wardley</w:t>
      </w:r>
      <w:r w:rsidR="0023669F">
        <w:rPr>
          <w:rFonts w:ascii="Arial" w:hAnsi="Arial" w:cs="Arial"/>
          <w:sz w:val="22"/>
          <w:szCs w:val="22"/>
          <w:lang w:val="en-US"/>
        </w:rPr>
        <w:t xml:space="preserve">, </w:t>
      </w:r>
      <w:r w:rsidR="00397D71" w:rsidRPr="00DA2BE7">
        <w:rPr>
          <w:rFonts w:ascii="Arial" w:hAnsi="Arial" w:cs="Arial"/>
          <w:sz w:val="22"/>
          <w:szCs w:val="22"/>
          <w:lang w:val="en-US"/>
        </w:rPr>
        <w:t xml:space="preserve">Iain </w:t>
      </w:r>
      <w:r w:rsidR="005F436F">
        <w:rPr>
          <w:rFonts w:ascii="Arial" w:hAnsi="Arial" w:cs="Arial"/>
          <w:sz w:val="22"/>
          <w:szCs w:val="22"/>
          <w:lang w:val="en-US"/>
        </w:rPr>
        <w:t xml:space="preserve">R </w:t>
      </w:r>
      <w:r w:rsidR="00397D71" w:rsidRPr="00DA2BE7">
        <w:rPr>
          <w:rFonts w:ascii="Arial" w:hAnsi="Arial" w:cs="Arial"/>
          <w:sz w:val="22"/>
          <w:szCs w:val="22"/>
          <w:lang w:val="en-US"/>
        </w:rPr>
        <w:t>Macpherson</w:t>
      </w:r>
      <w:r w:rsidR="0023669F">
        <w:rPr>
          <w:rFonts w:ascii="Arial" w:hAnsi="Arial" w:cs="Arial"/>
          <w:sz w:val="22"/>
          <w:szCs w:val="22"/>
          <w:lang w:val="en-US"/>
        </w:rPr>
        <w:t xml:space="preserve">, </w:t>
      </w:r>
      <w:r w:rsidR="00397D71" w:rsidRPr="00DA2BE7">
        <w:rPr>
          <w:rFonts w:ascii="Arial" w:hAnsi="Arial" w:cs="Arial"/>
          <w:sz w:val="22"/>
          <w:szCs w:val="22"/>
          <w:lang w:val="en-US"/>
        </w:rPr>
        <w:t>Richard D Baird</w:t>
      </w:r>
      <w:r w:rsidR="0023669F">
        <w:rPr>
          <w:rFonts w:ascii="Arial" w:hAnsi="Arial" w:cs="Arial"/>
          <w:sz w:val="22"/>
          <w:szCs w:val="22"/>
          <w:lang w:val="en-US"/>
        </w:rPr>
        <w:t xml:space="preserve">, </w:t>
      </w:r>
      <w:r w:rsidR="00397D71" w:rsidRPr="00DA2BE7">
        <w:rPr>
          <w:rFonts w:ascii="Arial" w:hAnsi="Arial" w:cs="Arial"/>
          <w:sz w:val="22"/>
          <w:szCs w:val="22"/>
          <w:lang w:val="en-US"/>
        </w:rPr>
        <w:t>Rebecca Roylance</w:t>
      </w:r>
      <w:r w:rsidR="00BC4FFB">
        <w:rPr>
          <w:rFonts w:ascii="Arial" w:hAnsi="Arial" w:cs="Arial"/>
          <w:sz w:val="22"/>
          <w:szCs w:val="22"/>
          <w:lang w:val="en-US"/>
        </w:rPr>
        <w:t>,</w:t>
      </w:r>
      <w:r w:rsidR="0023669F">
        <w:rPr>
          <w:rFonts w:ascii="Arial" w:hAnsi="Arial" w:cs="Arial"/>
          <w:sz w:val="22"/>
          <w:szCs w:val="22"/>
          <w:lang w:val="en-US"/>
        </w:rPr>
        <w:t xml:space="preserve"> </w:t>
      </w:r>
      <w:r w:rsidR="00397D71" w:rsidRPr="00DA2BE7">
        <w:rPr>
          <w:rFonts w:ascii="Arial" w:hAnsi="Arial" w:cs="Arial"/>
          <w:sz w:val="22"/>
          <w:szCs w:val="22"/>
          <w:lang w:val="en-US"/>
        </w:rPr>
        <w:t>Peter Stephens</w:t>
      </w:r>
      <w:r w:rsidR="00BC4FFB">
        <w:rPr>
          <w:rFonts w:ascii="Arial" w:hAnsi="Arial" w:cs="Arial"/>
          <w:sz w:val="22"/>
          <w:szCs w:val="22"/>
          <w:lang w:val="en-US"/>
        </w:rPr>
        <w:t>,</w:t>
      </w:r>
      <w:r w:rsidR="0023669F">
        <w:rPr>
          <w:rFonts w:ascii="Arial" w:hAnsi="Arial" w:cs="Arial"/>
          <w:sz w:val="22"/>
          <w:szCs w:val="22"/>
          <w:lang w:val="en-US"/>
        </w:rPr>
        <w:t xml:space="preserve"> </w:t>
      </w:r>
      <w:r w:rsidR="00397D71" w:rsidRPr="00DA2BE7">
        <w:rPr>
          <w:rFonts w:ascii="Arial" w:hAnsi="Arial" w:cs="Arial"/>
          <w:sz w:val="22"/>
          <w:szCs w:val="22"/>
          <w:lang w:val="en-US"/>
        </w:rPr>
        <w:t>Olga Oikonomidou</w:t>
      </w:r>
      <w:r w:rsidR="0023669F">
        <w:rPr>
          <w:rFonts w:ascii="Arial" w:hAnsi="Arial" w:cs="Arial"/>
          <w:sz w:val="22"/>
          <w:szCs w:val="22"/>
          <w:lang w:val="en-US"/>
        </w:rPr>
        <w:t xml:space="preserve">, </w:t>
      </w:r>
      <w:r w:rsidR="00397D71" w:rsidRPr="00DA2BE7">
        <w:rPr>
          <w:rFonts w:ascii="Arial" w:hAnsi="Arial" w:cs="Arial"/>
          <w:sz w:val="22"/>
          <w:szCs w:val="22"/>
          <w:lang w:val="en-US"/>
        </w:rPr>
        <w:t>Jeremy P Braybrooke</w:t>
      </w:r>
      <w:r w:rsidR="0023669F">
        <w:rPr>
          <w:rFonts w:ascii="Arial" w:hAnsi="Arial" w:cs="Arial"/>
          <w:sz w:val="22"/>
          <w:szCs w:val="22"/>
          <w:lang w:val="en-US"/>
        </w:rPr>
        <w:t xml:space="preserve">, </w:t>
      </w:r>
      <w:r w:rsidR="00397D71" w:rsidRPr="00DA2BE7">
        <w:rPr>
          <w:rFonts w:ascii="Arial" w:hAnsi="Arial" w:cs="Arial"/>
          <w:sz w:val="22"/>
          <w:szCs w:val="22"/>
          <w:lang w:val="en-US"/>
        </w:rPr>
        <w:t>Mark Tuthill</w:t>
      </w:r>
      <w:r w:rsidR="0023669F">
        <w:rPr>
          <w:rFonts w:ascii="Arial" w:hAnsi="Arial" w:cs="Arial"/>
          <w:sz w:val="22"/>
          <w:szCs w:val="22"/>
          <w:lang w:val="en-US"/>
        </w:rPr>
        <w:t xml:space="preserve">, </w:t>
      </w:r>
      <w:r w:rsidR="00397D71" w:rsidRPr="00DA2BE7">
        <w:rPr>
          <w:rFonts w:ascii="Arial" w:hAnsi="Arial" w:cs="Arial"/>
          <w:sz w:val="22"/>
          <w:szCs w:val="22"/>
          <w:lang w:val="en-US"/>
        </w:rPr>
        <w:t>Jacinta Abraham</w:t>
      </w:r>
      <w:r w:rsidR="004E5D66">
        <w:rPr>
          <w:rFonts w:ascii="Arial" w:hAnsi="Arial" w:cs="Arial"/>
          <w:sz w:val="22"/>
          <w:szCs w:val="22"/>
          <w:lang w:val="en-US"/>
        </w:rPr>
        <w:t>,</w:t>
      </w:r>
      <w:r w:rsidR="0023669F">
        <w:rPr>
          <w:rFonts w:ascii="Arial" w:hAnsi="Arial" w:cs="Arial"/>
          <w:sz w:val="22"/>
          <w:szCs w:val="22"/>
          <w:lang w:val="en-US"/>
        </w:rPr>
        <w:t xml:space="preserve"> </w:t>
      </w:r>
      <w:r w:rsidR="00397D71" w:rsidRPr="00DA2BE7">
        <w:rPr>
          <w:rFonts w:ascii="Arial" w:hAnsi="Arial" w:cs="Arial"/>
          <w:sz w:val="22"/>
          <w:szCs w:val="22"/>
          <w:lang w:val="en-US"/>
        </w:rPr>
        <w:t>Matthew C Winter</w:t>
      </w:r>
      <w:r w:rsidR="0023669F">
        <w:rPr>
          <w:rFonts w:ascii="Arial" w:hAnsi="Arial" w:cs="Arial"/>
          <w:sz w:val="22"/>
          <w:szCs w:val="22"/>
          <w:lang w:val="en-US"/>
        </w:rPr>
        <w:t xml:space="preserve">, </w:t>
      </w:r>
      <w:r w:rsidR="00397D71" w:rsidRPr="00DA2BE7">
        <w:rPr>
          <w:rFonts w:ascii="Arial" w:hAnsi="Arial" w:cs="Arial"/>
          <w:sz w:val="22"/>
          <w:szCs w:val="22"/>
          <w:lang w:val="en-US"/>
        </w:rPr>
        <w:t>Hannah Bye</w:t>
      </w:r>
      <w:r w:rsidR="0023669F">
        <w:rPr>
          <w:rFonts w:ascii="Arial" w:hAnsi="Arial" w:cs="Arial"/>
          <w:sz w:val="22"/>
          <w:szCs w:val="22"/>
          <w:lang w:val="en-US"/>
        </w:rPr>
        <w:t xml:space="preserve">, </w:t>
      </w:r>
      <w:r w:rsidR="00397D71" w:rsidRPr="00DA2BE7">
        <w:rPr>
          <w:rFonts w:ascii="Arial" w:hAnsi="Arial" w:cs="Arial"/>
          <w:sz w:val="22"/>
          <w:szCs w:val="22"/>
          <w:lang w:val="en-US"/>
        </w:rPr>
        <w:t>Michael Hubank</w:t>
      </w:r>
      <w:r w:rsidR="0023669F">
        <w:rPr>
          <w:rFonts w:ascii="Arial" w:hAnsi="Arial" w:cs="Arial"/>
          <w:sz w:val="22"/>
          <w:szCs w:val="22"/>
          <w:lang w:val="en-US"/>
        </w:rPr>
        <w:t xml:space="preserve">, </w:t>
      </w:r>
      <w:r w:rsidR="0062308C">
        <w:rPr>
          <w:rFonts w:ascii="Arial" w:hAnsi="Arial" w:cs="Arial"/>
          <w:sz w:val="22"/>
          <w:szCs w:val="22"/>
          <w:lang w:val="en-US"/>
        </w:rPr>
        <w:t>Heid</w:t>
      </w:r>
      <w:r w:rsidR="006A2715">
        <w:rPr>
          <w:rFonts w:ascii="Arial" w:hAnsi="Arial" w:cs="Arial"/>
          <w:sz w:val="22"/>
          <w:szCs w:val="22"/>
          <w:lang w:val="en-US"/>
        </w:rPr>
        <w:t>run</w:t>
      </w:r>
      <w:r w:rsidR="0062308C">
        <w:rPr>
          <w:rFonts w:ascii="Arial" w:hAnsi="Arial" w:cs="Arial"/>
          <w:sz w:val="22"/>
          <w:szCs w:val="22"/>
          <w:lang w:val="en-US"/>
        </w:rPr>
        <w:t xml:space="preserve"> Gevensleben</w:t>
      </w:r>
      <w:r w:rsidR="0023669F">
        <w:rPr>
          <w:rFonts w:ascii="Arial" w:hAnsi="Arial" w:cs="Arial"/>
          <w:sz w:val="22"/>
          <w:szCs w:val="22"/>
          <w:lang w:val="en-US"/>
        </w:rPr>
        <w:t xml:space="preserve">, </w:t>
      </w:r>
      <w:r w:rsidR="003603B0" w:rsidRPr="00DA2BE7">
        <w:rPr>
          <w:rFonts w:ascii="Arial" w:hAnsi="Arial" w:cs="Arial"/>
          <w:sz w:val="22"/>
          <w:szCs w:val="22"/>
          <w:lang w:val="en-US"/>
        </w:rPr>
        <w:t>Ros Cutts</w:t>
      </w:r>
      <w:r w:rsidR="0023669F">
        <w:rPr>
          <w:rFonts w:ascii="Arial" w:hAnsi="Arial" w:cs="Arial"/>
          <w:sz w:val="22"/>
          <w:szCs w:val="22"/>
          <w:lang w:val="en-US"/>
        </w:rPr>
        <w:t xml:space="preserve">, </w:t>
      </w:r>
      <w:r w:rsidR="00397D71" w:rsidRPr="00DA2BE7">
        <w:rPr>
          <w:rFonts w:ascii="Arial" w:hAnsi="Arial" w:cs="Arial"/>
          <w:sz w:val="22"/>
          <w:szCs w:val="22"/>
          <w:lang w:val="en-US"/>
        </w:rPr>
        <w:t>Claire Snowdon</w:t>
      </w:r>
      <w:r w:rsidR="0023669F">
        <w:rPr>
          <w:rFonts w:ascii="Arial" w:hAnsi="Arial" w:cs="Arial"/>
          <w:sz w:val="22"/>
          <w:szCs w:val="22"/>
          <w:lang w:val="en-US"/>
        </w:rPr>
        <w:t xml:space="preserve">, </w:t>
      </w:r>
      <w:r w:rsidR="00397D71" w:rsidRPr="00DA2BE7">
        <w:rPr>
          <w:rFonts w:ascii="Arial" w:hAnsi="Arial" w:cs="Arial"/>
          <w:sz w:val="22"/>
          <w:szCs w:val="22"/>
          <w:lang w:val="en-US"/>
        </w:rPr>
        <w:t xml:space="preserve">Daniel </w:t>
      </w:r>
      <w:r w:rsidR="00717A0B" w:rsidRPr="00DA2BE7">
        <w:rPr>
          <w:rFonts w:ascii="Arial" w:hAnsi="Arial" w:cs="Arial"/>
          <w:sz w:val="22"/>
          <w:szCs w:val="22"/>
          <w:lang w:val="en-US"/>
        </w:rPr>
        <w:t>Rea</w:t>
      </w:r>
      <w:r w:rsidR="0023669F">
        <w:rPr>
          <w:rFonts w:ascii="Arial" w:hAnsi="Arial" w:cs="Arial"/>
          <w:sz w:val="22"/>
          <w:szCs w:val="22"/>
          <w:lang w:val="en-US"/>
        </w:rPr>
        <w:t xml:space="preserve">, </w:t>
      </w:r>
      <w:r w:rsidR="00397D71" w:rsidRPr="00DA2BE7">
        <w:rPr>
          <w:rFonts w:ascii="Arial" w:hAnsi="Arial" w:cs="Arial"/>
          <w:sz w:val="22"/>
          <w:szCs w:val="22"/>
          <w:lang w:val="en-US"/>
        </w:rPr>
        <w:t>David Cameron</w:t>
      </w:r>
      <w:r w:rsidR="0023669F">
        <w:rPr>
          <w:rFonts w:ascii="Arial" w:hAnsi="Arial" w:cs="Arial"/>
          <w:sz w:val="22"/>
          <w:szCs w:val="22"/>
          <w:lang w:val="en-US"/>
        </w:rPr>
        <w:t xml:space="preserve">, </w:t>
      </w:r>
      <w:r w:rsidR="00397D71" w:rsidRPr="00DA2BE7">
        <w:rPr>
          <w:rFonts w:ascii="Arial" w:hAnsi="Arial" w:cs="Arial"/>
          <w:sz w:val="22"/>
          <w:szCs w:val="22"/>
          <w:lang w:val="en-US"/>
        </w:rPr>
        <w:t>Abeer Shaaban</w:t>
      </w:r>
      <w:r w:rsidR="0023669F">
        <w:rPr>
          <w:rFonts w:ascii="Arial" w:hAnsi="Arial" w:cs="Arial"/>
          <w:sz w:val="22"/>
          <w:szCs w:val="22"/>
          <w:lang w:val="en-US"/>
        </w:rPr>
        <w:t xml:space="preserve">, </w:t>
      </w:r>
      <w:r w:rsidR="00397D71" w:rsidRPr="00DA2BE7">
        <w:rPr>
          <w:rFonts w:ascii="Arial" w:hAnsi="Arial" w:cs="Arial"/>
          <w:sz w:val="22"/>
          <w:szCs w:val="22"/>
          <w:lang w:val="en-US"/>
        </w:rPr>
        <w:t>Katrina Randle</w:t>
      </w:r>
      <w:r w:rsidR="0023669F">
        <w:rPr>
          <w:rFonts w:ascii="Arial" w:hAnsi="Arial" w:cs="Arial"/>
          <w:sz w:val="22"/>
          <w:szCs w:val="22"/>
          <w:lang w:val="en-US"/>
        </w:rPr>
        <w:t xml:space="preserve">, </w:t>
      </w:r>
      <w:r w:rsidR="002B2652">
        <w:rPr>
          <w:rFonts w:ascii="Arial" w:hAnsi="Arial" w:cs="Arial"/>
          <w:sz w:val="22"/>
          <w:szCs w:val="22"/>
          <w:lang w:val="en-US"/>
        </w:rPr>
        <w:t>Sue Martin</w:t>
      </w:r>
      <w:r w:rsidR="0023669F">
        <w:rPr>
          <w:rFonts w:ascii="Arial" w:hAnsi="Arial" w:cs="Arial"/>
          <w:sz w:val="22"/>
          <w:szCs w:val="22"/>
          <w:lang w:val="en-US"/>
        </w:rPr>
        <w:t xml:space="preserve">, </w:t>
      </w:r>
      <w:r w:rsidR="00397D71" w:rsidRPr="00DA2BE7">
        <w:rPr>
          <w:rFonts w:ascii="Arial" w:hAnsi="Arial" w:cs="Arial"/>
          <w:sz w:val="22"/>
          <w:szCs w:val="22"/>
          <w:lang w:val="en-US"/>
        </w:rPr>
        <w:t>Katie Wilkinson</w:t>
      </w:r>
      <w:r w:rsidR="0023669F">
        <w:rPr>
          <w:rFonts w:ascii="Arial" w:hAnsi="Arial" w:cs="Arial"/>
          <w:sz w:val="22"/>
          <w:szCs w:val="22"/>
          <w:lang w:val="en-US"/>
        </w:rPr>
        <w:t xml:space="preserve">, </w:t>
      </w:r>
      <w:r w:rsidR="00397D71" w:rsidRPr="00DA2BE7">
        <w:rPr>
          <w:rFonts w:ascii="Arial" w:hAnsi="Arial" w:cs="Arial"/>
          <w:sz w:val="22"/>
          <w:szCs w:val="22"/>
          <w:lang w:val="en-US"/>
        </w:rPr>
        <w:t>Laura Moretti</w:t>
      </w:r>
      <w:r w:rsidR="0023669F">
        <w:rPr>
          <w:rFonts w:ascii="Arial" w:hAnsi="Arial" w:cs="Arial"/>
          <w:sz w:val="22"/>
          <w:szCs w:val="22"/>
          <w:lang w:val="en-US"/>
        </w:rPr>
        <w:t xml:space="preserve">, </w:t>
      </w:r>
      <w:r w:rsidR="00397D71" w:rsidRPr="00DA2BE7">
        <w:rPr>
          <w:rFonts w:ascii="Arial" w:hAnsi="Arial" w:cs="Arial"/>
          <w:sz w:val="22"/>
          <w:szCs w:val="22"/>
          <w:lang w:val="en-US"/>
        </w:rPr>
        <w:t>Judith M Bliss</w:t>
      </w:r>
      <w:r w:rsidR="005F7482" w:rsidRPr="00DA2BE7">
        <w:rPr>
          <w:rFonts w:ascii="Arial" w:hAnsi="Arial" w:cs="Arial"/>
          <w:sz w:val="22"/>
          <w:szCs w:val="22"/>
          <w:vertAlign w:val="superscript"/>
          <w:lang w:val="en-US"/>
        </w:rPr>
        <w:t>*</w:t>
      </w:r>
      <w:r w:rsidR="0023669F">
        <w:rPr>
          <w:rFonts w:ascii="Arial" w:hAnsi="Arial" w:cs="Arial"/>
          <w:sz w:val="22"/>
          <w:szCs w:val="22"/>
          <w:lang w:val="en-US"/>
        </w:rPr>
        <w:t xml:space="preserve">, </w:t>
      </w:r>
      <w:r w:rsidR="00F63EA4" w:rsidRPr="00DA2BE7">
        <w:rPr>
          <w:rFonts w:ascii="Arial" w:hAnsi="Arial" w:cs="Arial"/>
          <w:sz w:val="22"/>
          <w:szCs w:val="22"/>
          <w:lang w:val="en-US"/>
        </w:rPr>
        <w:t>Alistair Ring</w:t>
      </w:r>
      <w:r w:rsidR="005F7482" w:rsidRPr="00DA2BE7">
        <w:rPr>
          <w:rFonts w:ascii="Arial" w:hAnsi="Arial" w:cs="Arial"/>
          <w:sz w:val="22"/>
          <w:szCs w:val="22"/>
          <w:vertAlign w:val="superscript"/>
          <w:lang w:val="en-US"/>
        </w:rPr>
        <w:t>*</w:t>
      </w:r>
      <w:r w:rsidR="004E5D66">
        <w:rPr>
          <w:rFonts w:ascii="Arial" w:hAnsi="Arial" w:cs="Arial"/>
          <w:sz w:val="22"/>
          <w:szCs w:val="22"/>
          <w:vertAlign w:val="superscript"/>
          <w:lang w:val="en-US"/>
        </w:rPr>
        <w:t xml:space="preserve"> </w:t>
      </w:r>
    </w:p>
    <w:p w14:paraId="0E2E6D22" w14:textId="0A238AE5" w:rsidR="00342857" w:rsidRPr="00DA2BE7" w:rsidRDefault="00FA6755" w:rsidP="00342857">
      <w:pPr>
        <w:jc w:val="both"/>
        <w:rPr>
          <w:rFonts w:ascii="Arial" w:hAnsi="Arial" w:cs="Arial"/>
          <w:sz w:val="22"/>
          <w:szCs w:val="22"/>
          <w:lang w:val="en-US"/>
        </w:rPr>
      </w:pPr>
      <w:r>
        <w:rPr>
          <w:rFonts w:ascii="Arial" w:hAnsi="Arial" w:cs="Arial"/>
          <w:sz w:val="22"/>
          <w:szCs w:val="22"/>
          <w:lang w:val="en-US"/>
        </w:rPr>
        <w:t>*Joint last authors</w:t>
      </w:r>
    </w:p>
    <w:p w14:paraId="28324823" w14:textId="511AB731" w:rsidR="00FD5FF5" w:rsidRDefault="00FD5FF5" w:rsidP="00616AF5">
      <w:pPr>
        <w:spacing w:line="240" w:lineRule="auto"/>
        <w:jc w:val="both"/>
        <w:rPr>
          <w:rFonts w:ascii="Arial" w:hAnsi="Arial" w:cs="Arial"/>
          <w:sz w:val="20"/>
          <w:szCs w:val="20"/>
          <w:lang w:val="en-US"/>
        </w:rPr>
      </w:pPr>
      <w:r>
        <w:rPr>
          <w:rFonts w:ascii="Arial" w:hAnsi="Arial" w:cs="Arial"/>
          <w:sz w:val="20"/>
          <w:szCs w:val="20"/>
          <w:lang w:val="en-US"/>
        </w:rPr>
        <w:t>Affiliations</w:t>
      </w:r>
    </w:p>
    <w:p w14:paraId="25FA182A" w14:textId="26233DDC" w:rsidR="004761BC" w:rsidRPr="0026226F" w:rsidRDefault="00342857" w:rsidP="00616AF5">
      <w:pPr>
        <w:spacing w:line="240" w:lineRule="auto"/>
        <w:jc w:val="both"/>
        <w:rPr>
          <w:rFonts w:ascii="Arial" w:hAnsi="Arial" w:cs="Arial"/>
          <w:sz w:val="20"/>
          <w:szCs w:val="20"/>
          <w:lang w:val="en-US"/>
        </w:rPr>
      </w:pPr>
      <w:r w:rsidRPr="0026226F">
        <w:rPr>
          <w:rFonts w:ascii="Arial" w:hAnsi="Arial" w:cs="Arial"/>
          <w:sz w:val="20"/>
          <w:szCs w:val="20"/>
          <w:lang w:val="en-US"/>
        </w:rPr>
        <w:t xml:space="preserve">Breast </w:t>
      </w:r>
      <w:r w:rsidR="0018053A" w:rsidRPr="0026226F">
        <w:rPr>
          <w:rFonts w:ascii="Arial" w:hAnsi="Arial" w:cs="Arial"/>
          <w:sz w:val="20"/>
          <w:szCs w:val="20"/>
          <w:lang w:val="en-US"/>
        </w:rPr>
        <w:t xml:space="preserve">Cancer </w:t>
      </w:r>
      <w:r w:rsidRPr="0026226F">
        <w:rPr>
          <w:rFonts w:ascii="Arial" w:hAnsi="Arial" w:cs="Arial"/>
          <w:sz w:val="20"/>
          <w:szCs w:val="20"/>
          <w:lang w:val="en-US"/>
        </w:rPr>
        <w:t>Now Research Centre</w:t>
      </w:r>
      <w:r w:rsidR="00B93247" w:rsidRPr="0026226F">
        <w:rPr>
          <w:rFonts w:ascii="Arial" w:hAnsi="Arial" w:cs="Arial"/>
          <w:sz w:val="20"/>
          <w:szCs w:val="20"/>
          <w:lang w:val="en-US"/>
        </w:rPr>
        <w:t xml:space="preserve"> at</w:t>
      </w:r>
      <w:r w:rsidRPr="0026226F">
        <w:rPr>
          <w:rFonts w:ascii="Arial" w:hAnsi="Arial" w:cs="Arial"/>
          <w:sz w:val="20"/>
          <w:szCs w:val="20"/>
          <w:lang w:val="en-US"/>
        </w:rPr>
        <w:t xml:space="preserve"> The Institute of Cancer Research, London, UK</w:t>
      </w:r>
      <w:r w:rsidR="00FD5FF5">
        <w:rPr>
          <w:rFonts w:ascii="Arial" w:hAnsi="Arial" w:cs="Arial"/>
          <w:sz w:val="20"/>
          <w:szCs w:val="20"/>
          <w:lang w:val="en-US"/>
        </w:rPr>
        <w:t xml:space="preserve"> (Prof N Turner MD, B Kingston MB</w:t>
      </w:r>
      <w:r w:rsidR="004F0861">
        <w:rPr>
          <w:rFonts w:ascii="Arial" w:hAnsi="Arial" w:cs="Arial"/>
          <w:sz w:val="20"/>
          <w:szCs w:val="20"/>
          <w:lang w:val="en-US"/>
        </w:rPr>
        <w:t>, R Cutts PhD</w:t>
      </w:r>
      <w:r w:rsidR="00FD5FF5">
        <w:rPr>
          <w:rFonts w:ascii="Arial" w:hAnsi="Arial" w:cs="Arial"/>
          <w:sz w:val="20"/>
          <w:szCs w:val="20"/>
          <w:lang w:val="en-US"/>
        </w:rPr>
        <w:t>)</w:t>
      </w:r>
      <w:r w:rsidR="004F0861">
        <w:rPr>
          <w:rFonts w:ascii="Arial" w:hAnsi="Arial" w:cs="Arial"/>
          <w:sz w:val="20"/>
          <w:szCs w:val="20"/>
          <w:lang w:val="en-US"/>
        </w:rPr>
        <w:t xml:space="preserve">, </w:t>
      </w:r>
      <w:r w:rsidR="009C5B39" w:rsidRPr="0026226F">
        <w:rPr>
          <w:rFonts w:ascii="Arial" w:hAnsi="Arial" w:cs="Arial"/>
          <w:sz w:val="20"/>
          <w:szCs w:val="20"/>
          <w:lang w:val="en-US"/>
        </w:rPr>
        <w:t xml:space="preserve">Breast Unit, </w:t>
      </w:r>
      <w:r w:rsidR="00062B0C" w:rsidRPr="0026226F">
        <w:rPr>
          <w:rFonts w:ascii="Arial" w:hAnsi="Arial" w:cs="Arial"/>
          <w:sz w:val="20"/>
          <w:szCs w:val="20"/>
          <w:lang w:val="en-US"/>
        </w:rPr>
        <w:t xml:space="preserve">The </w:t>
      </w:r>
      <w:r w:rsidR="009C5B39" w:rsidRPr="0026226F">
        <w:rPr>
          <w:rFonts w:ascii="Arial" w:hAnsi="Arial" w:cs="Arial"/>
          <w:sz w:val="20"/>
          <w:szCs w:val="20"/>
          <w:lang w:val="en-US"/>
        </w:rPr>
        <w:t>Royal Marsden Hospital</w:t>
      </w:r>
      <w:r w:rsidR="00062B0C" w:rsidRPr="0026226F">
        <w:rPr>
          <w:rFonts w:ascii="Arial" w:hAnsi="Arial" w:cs="Arial"/>
          <w:sz w:val="20"/>
          <w:szCs w:val="20"/>
          <w:lang w:val="en-US"/>
        </w:rPr>
        <w:t xml:space="preserve"> NHS Foundation Trust</w:t>
      </w:r>
      <w:r w:rsidR="009C5B39" w:rsidRPr="0026226F">
        <w:rPr>
          <w:rFonts w:ascii="Arial" w:hAnsi="Arial" w:cs="Arial"/>
          <w:sz w:val="20"/>
          <w:szCs w:val="20"/>
          <w:lang w:val="en-US"/>
        </w:rPr>
        <w:t>, London, UK</w:t>
      </w:r>
      <w:r w:rsidR="004F0861">
        <w:rPr>
          <w:rFonts w:ascii="Arial" w:hAnsi="Arial" w:cs="Arial"/>
          <w:sz w:val="20"/>
          <w:szCs w:val="20"/>
          <w:lang w:val="en-US"/>
        </w:rPr>
        <w:t xml:space="preserve"> (Prof N Turner MD</w:t>
      </w:r>
      <w:r w:rsidR="00497493">
        <w:rPr>
          <w:rFonts w:ascii="Arial" w:hAnsi="Arial" w:cs="Arial"/>
          <w:sz w:val="20"/>
          <w:szCs w:val="20"/>
          <w:lang w:val="en-US"/>
        </w:rPr>
        <w:t xml:space="preserve">, </w:t>
      </w:r>
      <w:r w:rsidR="004F0861">
        <w:rPr>
          <w:rFonts w:ascii="Arial" w:hAnsi="Arial" w:cs="Arial"/>
          <w:sz w:val="20"/>
          <w:szCs w:val="20"/>
          <w:lang w:val="en-US"/>
        </w:rPr>
        <w:t xml:space="preserve">A Ring MD), </w:t>
      </w:r>
      <w:r w:rsidR="004761BC" w:rsidRPr="0026226F">
        <w:rPr>
          <w:rFonts w:ascii="Arial" w:hAnsi="Arial" w:cs="Arial"/>
          <w:sz w:val="20"/>
          <w:szCs w:val="20"/>
          <w:lang w:val="en-US"/>
        </w:rPr>
        <w:t xml:space="preserve">Clinical Trials and Statistics Unit at The Institute of Cancer Research, London, </w:t>
      </w:r>
      <w:r w:rsidR="00911D50" w:rsidRPr="0026226F">
        <w:rPr>
          <w:rFonts w:ascii="Arial" w:hAnsi="Arial" w:cs="Arial"/>
          <w:sz w:val="20"/>
          <w:szCs w:val="20"/>
          <w:lang w:val="en-US"/>
        </w:rPr>
        <w:t>UK</w:t>
      </w:r>
      <w:r w:rsidR="004F0861">
        <w:rPr>
          <w:rFonts w:ascii="Arial" w:hAnsi="Arial" w:cs="Arial"/>
          <w:sz w:val="20"/>
          <w:szCs w:val="20"/>
          <w:lang w:val="en-US"/>
        </w:rPr>
        <w:t xml:space="preserve"> (LS Kilburn MSc, S Kernaghan BSc, </w:t>
      </w:r>
      <w:r w:rsidR="00432ABB">
        <w:rPr>
          <w:rFonts w:ascii="Arial" w:hAnsi="Arial" w:cs="Arial"/>
          <w:sz w:val="20"/>
          <w:szCs w:val="20"/>
          <w:lang w:val="en-US"/>
        </w:rPr>
        <w:t xml:space="preserve">C Snowdon MSc, S Martin BSc, K Wilkinson BSc, L Moretti MSc, Prof JM Bliss MSc), </w:t>
      </w:r>
      <w:r w:rsidR="004761BC" w:rsidRPr="0026226F">
        <w:rPr>
          <w:rFonts w:ascii="Arial" w:hAnsi="Arial" w:cs="Arial"/>
          <w:sz w:val="20"/>
          <w:szCs w:val="20"/>
          <w:lang w:val="en-US"/>
        </w:rPr>
        <w:t>The NIHR Manchester Clinical Research Facility at The Christie NHS Foundation Trust &amp; Division of Cancer Sciences, School of Medical Sciences, Faculty of Biology Medicine &amp; Health, University of Manchester</w:t>
      </w:r>
      <w:r w:rsidR="00432ABB">
        <w:rPr>
          <w:rFonts w:ascii="Arial" w:hAnsi="Arial" w:cs="Arial"/>
          <w:sz w:val="20"/>
          <w:szCs w:val="20"/>
          <w:lang w:val="en-US"/>
        </w:rPr>
        <w:t xml:space="preserve"> (Prof A</w:t>
      </w:r>
      <w:r w:rsidR="00BC4FFB">
        <w:rPr>
          <w:rFonts w:ascii="Arial" w:hAnsi="Arial" w:cs="Arial"/>
          <w:sz w:val="20"/>
          <w:szCs w:val="20"/>
          <w:lang w:val="en-US"/>
        </w:rPr>
        <w:t>M</w:t>
      </w:r>
      <w:r w:rsidR="00432ABB">
        <w:rPr>
          <w:rFonts w:ascii="Arial" w:hAnsi="Arial" w:cs="Arial"/>
          <w:sz w:val="20"/>
          <w:szCs w:val="20"/>
          <w:lang w:val="en-US"/>
        </w:rPr>
        <w:t xml:space="preserve"> Wardley MD), </w:t>
      </w:r>
      <w:r w:rsidR="005F436F" w:rsidRPr="0026226F">
        <w:rPr>
          <w:rFonts w:ascii="Arial" w:hAnsi="Arial" w:cs="Arial"/>
          <w:sz w:val="20"/>
          <w:szCs w:val="20"/>
          <w:lang w:val="en-US"/>
        </w:rPr>
        <w:t xml:space="preserve">Institute of Cancer Sciences, University of Glasgow, </w:t>
      </w:r>
      <w:r w:rsidR="004761BC" w:rsidRPr="0026226F">
        <w:rPr>
          <w:rFonts w:ascii="Arial" w:hAnsi="Arial" w:cs="Arial"/>
          <w:sz w:val="20"/>
          <w:szCs w:val="20"/>
          <w:lang w:val="en-US"/>
        </w:rPr>
        <w:t xml:space="preserve">Glasgow, </w:t>
      </w:r>
      <w:r w:rsidR="00911D50" w:rsidRPr="0026226F">
        <w:rPr>
          <w:rFonts w:ascii="Arial" w:hAnsi="Arial" w:cs="Arial"/>
          <w:sz w:val="20"/>
          <w:szCs w:val="20"/>
          <w:lang w:val="en-US"/>
        </w:rPr>
        <w:t>UK</w:t>
      </w:r>
      <w:r w:rsidR="00432ABB">
        <w:rPr>
          <w:rFonts w:ascii="Arial" w:hAnsi="Arial" w:cs="Arial"/>
          <w:sz w:val="20"/>
          <w:szCs w:val="20"/>
          <w:lang w:val="en-US"/>
        </w:rPr>
        <w:t xml:space="preserve"> (IR Macpherson</w:t>
      </w:r>
      <w:r w:rsidR="00497493">
        <w:rPr>
          <w:rFonts w:ascii="Arial" w:hAnsi="Arial" w:cs="Arial"/>
          <w:sz w:val="20"/>
          <w:szCs w:val="20"/>
          <w:lang w:val="en-US"/>
        </w:rPr>
        <w:t xml:space="preserve"> </w:t>
      </w:r>
      <w:r w:rsidR="00452919">
        <w:rPr>
          <w:rFonts w:ascii="Arial" w:hAnsi="Arial" w:cs="Arial"/>
          <w:sz w:val="20"/>
          <w:szCs w:val="20"/>
          <w:lang w:val="en-US"/>
        </w:rPr>
        <w:t>MD</w:t>
      </w:r>
      <w:r w:rsidR="00432ABB">
        <w:rPr>
          <w:rFonts w:ascii="Arial" w:hAnsi="Arial" w:cs="Arial"/>
          <w:sz w:val="20"/>
          <w:szCs w:val="20"/>
          <w:lang w:val="en-US"/>
        </w:rPr>
        <w:t>)</w:t>
      </w:r>
      <w:r w:rsidR="00497493">
        <w:rPr>
          <w:rFonts w:ascii="Arial" w:hAnsi="Arial" w:cs="Arial"/>
          <w:sz w:val="20"/>
          <w:szCs w:val="20"/>
          <w:lang w:val="en-US"/>
        </w:rPr>
        <w:t xml:space="preserve">, </w:t>
      </w:r>
      <w:r w:rsidR="004761BC" w:rsidRPr="0026226F">
        <w:rPr>
          <w:rFonts w:ascii="Arial" w:hAnsi="Arial" w:cs="Arial"/>
          <w:sz w:val="20"/>
          <w:szCs w:val="20"/>
          <w:lang w:val="en-US"/>
        </w:rPr>
        <w:t xml:space="preserve">Cancer Research UK Cambridge Centre, Cambridge, </w:t>
      </w:r>
      <w:r w:rsidR="00911D50" w:rsidRPr="0026226F">
        <w:rPr>
          <w:rFonts w:ascii="Arial" w:hAnsi="Arial" w:cs="Arial"/>
          <w:sz w:val="20"/>
          <w:szCs w:val="20"/>
          <w:lang w:val="en-US"/>
        </w:rPr>
        <w:t>UK</w:t>
      </w:r>
      <w:r w:rsidR="00497493">
        <w:rPr>
          <w:rFonts w:ascii="Arial" w:hAnsi="Arial" w:cs="Arial"/>
          <w:sz w:val="20"/>
          <w:szCs w:val="20"/>
          <w:lang w:val="en-US"/>
        </w:rPr>
        <w:t xml:space="preserve"> (R</w:t>
      </w:r>
      <w:r w:rsidR="00BC4FFB">
        <w:rPr>
          <w:rFonts w:ascii="Arial" w:hAnsi="Arial" w:cs="Arial"/>
          <w:sz w:val="20"/>
          <w:szCs w:val="20"/>
          <w:lang w:val="en-US"/>
        </w:rPr>
        <w:t>D</w:t>
      </w:r>
      <w:r w:rsidR="00497493">
        <w:rPr>
          <w:rFonts w:ascii="Arial" w:hAnsi="Arial" w:cs="Arial"/>
          <w:sz w:val="20"/>
          <w:szCs w:val="20"/>
          <w:lang w:val="en-US"/>
        </w:rPr>
        <w:t xml:space="preserve"> Baird MD), </w:t>
      </w:r>
      <w:r w:rsidR="004761BC" w:rsidRPr="0026226F">
        <w:rPr>
          <w:rFonts w:ascii="Arial" w:hAnsi="Arial" w:cs="Arial"/>
          <w:sz w:val="20"/>
          <w:szCs w:val="20"/>
          <w:lang w:val="en-US"/>
        </w:rPr>
        <w:t xml:space="preserve">University College London Hospitals NHS Foundation Trust, &amp; NIHR University College London Hospitals Biomedical Research Centre London, </w:t>
      </w:r>
      <w:r w:rsidR="00911D50" w:rsidRPr="0026226F">
        <w:rPr>
          <w:rFonts w:ascii="Arial" w:hAnsi="Arial" w:cs="Arial"/>
          <w:sz w:val="20"/>
          <w:szCs w:val="20"/>
          <w:lang w:val="en-US"/>
        </w:rPr>
        <w:t>UK</w:t>
      </w:r>
      <w:r w:rsidR="00497493">
        <w:rPr>
          <w:rFonts w:ascii="Arial" w:hAnsi="Arial" w:cs="Arial"/>
          <w:sz w:val="20"/>
          <w:szCs w:val="20"/>
          <w:lang w:val="en-US"/>
        </w:rPr>
        <w:t xml:space="preserve"> (R Roylance MD), </w:t>
      </w:r>
      <w:r w:rsidR="004761BC" w:rsidRPr="0026226F">
        <w:rPr>
          <w:rFonts w:ascii="Arial" w:hAnsi="Arial" w:cs="Arial"/>
          <w:sz w:val="20"/>
          <w:szCs w:val="20"/>
          <w:lang w:val="en-US"/>
        </w:rPr>
        <w:t xml:space="preserve">Royal Devon and Exeter NHS Foundation Trust, Exeter, </w:t>
      </w:r>
      <w:r w:rsidR="00911D50" w:rsidRPr="0026226F">
        <w:rPr>
          <w:rFonts w:ascii="Arial" w:hAnsi="Arial" w:cs="Arial"/>
          <w:sz w:val="20"/>
          <w:szCs w:val="20"/>
          <w:lang w:val="en-US"/>
        </w:rPr>
        <w:t>UK</w:t>
      </w:r>
      <w:r w:rsidR="00497493">
        <w:rPr>
          <w:rFonts w:ascii="Arial" w:hAnsi="Arial" w:cs="Arial"/>
          <w:sz w:val="20"/>
          <w:szCs w:val="20"/>
          <w:lang w:val="en-US"/>
        </w:rPr>
        <w:t xml:space="preserve"> (P Stephens PhD), </w:t>
      </w:r>
      <w:r w:rsidR="000A7DEF" w:rsidRPr="0026226F">
        <w:rPr>
          <w:rFonts w:ascii="Arial" w:hAnsi="Arial" w:cs="Arial"/>
          <w:sz w:val="20"/>
          <w:szCs w:val="20"/>
          <w:lang w:val="en-US"/>
        </w:rPr>
        <w:t xml:space="preserve">University of Edinburgh, CRUK Edinburgh Centre, </w:t>
      </w:r>
      <w:r w:rsidR="004761BC" w:rsidRPr="0026226F">
        <w:rPr>
          <w:rFonts w:ascii="Arial" w:hAnsi="Arial" w:cs="Arial"/>
          <w:sz w:val="20"/>
          <w:szCs w:val="20"/>
          <w:lang w:val="en-US"/>
        </w:rPr>
        <w:t xml:space="preserve">Edinburgh Cancer Centre, Western General Hospital, Edinburgh, </w:t>
      </w:r>
      <w:r w:rsidR="00911D50" w:rsidRPr="0026226F">
        <w:rPr>
          <w:rFonts w:ascii="Arial" w:hAnsi="Arial" w:cs="Arial"/>
          <w:sz w:val="20"/>
          <w:szCs w:val="20"/>
          <w:lang w:val="en-US"/>
        </w:rPr>
        <w:t>UK</w:t>
      </w:r>
      <w:r w:rsidR="00497493">
        <w:rPr>
          <w:rFonts w:ascii="Arial" w:hAnsi="Arial" w:cs="Arial"/>
          <w:sz w:val="20"/>
          <w:szCs w:val="20"/>
          <w:lang w:val="en-US"/>
        </w:rPr>
        <w:t xml:space="preserve"> (O Oikonomidou MD</w:t>
      </w:r>
      <w:r w:rsidR="004E5D66">
        <w:rPr>
          <w:rFonts w:ascii="Arial" w:hAnsi="Arial" w:cs="Arial"/>
          <w:sz w:val="20"/>
          <w:szCs w:val="20"/>
          <w:lang w:val="en-US"/>
        </w:rPr>
        <w:t>, Prof D Cameron MD</w:t>
      </w:r>
      <w:r w:rsidR="00497493">
        <w:rPr>
          <w:rFonts w:ascii="Arial" w:hAnsi="Arial" w:cs="Arial"/>
          <w:sz w:val="20"/>
          <w:szCs w:val="20"/>
          <w:lang w:val="en-US"/>
        </w:rPr>
        <w:t>)</w:t>
      </w:r>
      <w:r w:rsidR="00BC4FFB">
        <w:rPr>
          <w:rFonts w:ascii="Arial" w:hAnsi="Arial" w:cs="Arial"/>
          <w:sz w:val="20"/>
          <w:szCs w:val="20"/>
          <w:lang w:val="en-US"/>
        </w:rPr>
        <w:t xml:space="preserve">, </w:t>
      </w:r>
      <w:r w:rsidR="004761BC" w:rsidRPr="0026226F">
        <w:rPr>
          <w:rFonts w:ascii="Arial" w:hAnsi="Arial" w:cs="Arial"/>
          <w:sz w:val="20"/>
          <w:szCs w:val="20"/>
          <w:lang w:val="en-US"/>
        </w:rPr>
        <w:t xml:space="preserve">University Hospitals Bristol NHS Foundation Trust, Bristol, </w:t>
      </w:r>
      <w:r w:rsidR="00911D50" w:rsidRPr="0026226F">
        <w:rPr>
          <w:rFonts w:ascii="Arial" w:hAnsi="Arial" w:cs="Arial"/>
          <w:sz w:val="20"/>
          <w:szCs w:val="20"/>
          <w:lang w:val="en-US"/>
        </w:rPr>
        <w:t>UK</w:t>
      </w:r>
      <w:r w:rsidR="00BC4FFB">
        <w:rPr>
          <w:rFonts w:ascii="Arial" w:hAnsi="Arial" w:cs="Arial"/>
          <w:sz w:val="20"/>
          <w:szCs w:val="20"/>
          <w:lang w:val="en-US"/>
        </w:rPr>
        <w:t xml:space="preserve"> (JP Braybrooke FRCP), </w:t>
      </w:r>
      <w:r w:rsidR="004761BC" w:rsidRPr="0026226F">
        <w:rPr>
          <w:rFonts w:ascii="Arial" w:hAnsi="Arial" w:cs="Arial"/>
          <w:sz w:val="20"/>
          <w:szCs w:val="20"/>
          <w:lang w:val="en-US"/>
        </w:rPr>
        <w:t xml:space="preserve">Oxford University Hospitals NHS Foundation Trust, Oxford, </w:t>
      </w:r>
      <w:r w:rsidR="00911D50" w:rsidRPr="0026226F">
        <w:rPr>
          <w:rFonts w:ascii="Arial" w:hAnsi="Arial" w:cs="Arial"/>
          <w:sz w:val="20"/>
          <w:szCs w:val="20"/>
          <w:lang w:val="en-US"/>
        </w:rPr>
        <w:t>UK</w:t>
      </w:r>
      <w:r w:rsidR="00B4481F">
        <w:rPr>
          <w:rFonts w:ascii="Arial" w:hAnsi="Arial" w:cs="Arial"/>
          <w:sz w:val="20"/>
          <w:szCs w:val="20"/>
          <w:lang w:val="en-US"/>
        </w:rPr>
        <w:t xml:space="preserve"> (M Tuthill MRCP)</w:t>
      </w:r>
      <w:r w:rsidR="006A6481">
        <w:rPr>
          <w:rFonts w:ascii="Arial" w:hAnsi="Arial" w:cs="Arial"/>
          <w:sz w:val="20"/>
          <w:szCs w:val="20"/>
          <w:lang w:val="en-US"/>
        </w:rPr>
        <w:t xml:space="preserve">, </w:t>
      </w:r>
      <w:r w:rsidR="004761BC" w:rsidRPr="0026226F">
        <w:rPr>
          <w:rFonts w:ascii="Arial" w:hAnsi="Arial" w:cs="Arial"/>
          <w:sz w:val="20"/>
          <w:szCs w:val="20"/>
          <w:lang w:val="en-US"/>
        </w:rPr>
        <w:t xml:space="preserve">Velindre University NHS Trust, Cardiff, </w:t>
      </w:r>
      <w:r w:rsidR="00911D50" w:rsidRPr="0026226F">
        <w:rPr>
          <w:rFonts w:ascii="Arial" w:hAnsi="Arial" w:cs="Arial"/>
          <w:sz w:val="20"/>
          <w:szCs w:val="20"/>
          <w:lang w:val="en-US"/>
        </w:rPr>
        <w:t>UK</w:t>
      </w:r>
      <w:r w:rsidR="004761BC" w:rsidRPr="0026226F">
        <w:rPr>
          <w:rFonts w:ascii="Arial" w:hAnsi="Arial" w:cs="Arial"/>
          <w:sz w:val="20"/>
          <w:szCs w:val="20"/>
          <w:lang w:val="en-US"/>
        </w:rPr>
        <w:t xml:space="preserve"> </w:t>
      </w:r>
      <w:r w:rsidR="006A6481">
        <w:rPr>
          <w:rFonts w:ascii="Arial" w:hAnsi="Arial" w:cs="Arial"/>
          <w:sz w:val="20"/>
          <w:szCs w:val="20"/>
          <w:lang w:val="en-US"/>
        </w:rPr>
        <w:t xml:space="preserve">(J Abraham BMBS), </w:t>
      </w:r>
      <w:r w:rsidR="004761BC" w:rsidRPr="0026226F">
        <w:rPr>
          <w:rFonts w:ascii="Arial" w:hAnsi="Arial" w:cs="Arial"/>
          <w:sz w:val="20"/>
          <w:szCs w:val="20"/>
          <w:lang w:val="en-US"/>
        </w:rPr>
        <w:t xml:space="preserve">Weston Park Hospital, Sheffield Teaching Hospitals NHS Foundation Trust, Sheffield, </w:t>
      </w:r>
      <w:r w:rsidR="00911D50" w:rsidRPr="0026226F">
        <w:rPr>
          <w:rFonts w:ascii="Arial" w:hAnsi="Arial" w:cs="Arial"/>
          <w:sz w:val="20"/>
          <w:szCs w:val="20"/>
          <w:lang w:val="en-US"/>
        </w:rPr>
        <w:t>UK</w:t>
      </w:r>
      <w:r w:rsidR="006A6481">
        <w:rPr>
          <w:rFonts w:ascii="Arial" w:hAnsi="Arial" w:cs="Arial"/>
          <w:sz w:val="20"/>
          <w:szCs w:val="20"/>
          <w:lang w:val="en-US"/>
        </w:rPr>
        <w:t xml:space="preserve"> (</w:t>
      </w:r>
      <w:r w:rsidR="009B5B95">
        <w:rPr>
          <w:rFonts w:ascii="Arial" w:hAnsi="Arial" w:cs="Arial"/>
          <w:sz w:val="20"/>
          <w:szCs w:val="20"/>
          <w:lang w:val="en-US"/>
        </w:rPr>
        <w:t xml:space="preserve">MC Winter MD), </w:t>
      </w:r>
      <w:r w:rsidR="002C2672" w:rsidRPr="0026226F">
        <w:rPr>
          <w:rFonts w:ascii="Arial" w:hAnsi="Arial" w:cs="Arial"/>
          <w:sz w:val="20"/>
          <w:szCs w:val="20"/>
          <w:lang w:val="en-US"/>
        </w:rPr>
        <w:t xml:space="preserve">The Royal Marsden NHS Foundation Trust, Sutton, </w:t>
      </w:r>
      <w:r w:rsidR="00911D50" w:rsidRPr="0026226F">
        <w:rPr>
          <w:rFonts w:ascii="Arial" w:hAnsi="Arial" w:cs="Arial"/>
          <w:sz w:val="20"/>
          <w:szCs w:val="20"/>
          <w:lang w:val="en-US"/>
        </w:rPr>
        <w:t>UK</w:t>
      </w:r>
      <w:r w:rsidR="002C2672" w:rsidRPr="0026226F">
        <w:rPr>
          <w:rFonts w:ascii="Arial" w:hAnsi="Arial" w:cs="Arial"/>
          <w:sz w:val="20"/>
          <w:szCs w:val="20"/>
          <w:lang w:val="en-US"/>
        </w:rPr>
        <w:t xml:space="preserve"> </w:t>
      </w:r>
      <w:r w:rsidR="009B5B95">
        <w:rPr>
          <w:rFonts w:ascii="Arial" w:hAnsi="Arial" w:cs="Arial"/>
          <w:sz w:val="20"/>
          <w:szCs w:val="20"/>
          <w:lang w:val="en-US"/>
        </w:rPr>
        <w:t xml:space="preserve">(H Bye PhD, M Hubank PhD), </w:t>
      </w:r>
      <w:r w:rsidR="002C2672" w:rsidRPr="0026226F">
        <w:rPr>
          <w:rFonts w:ascii="Arial" w:hAnsi="Arial" w:cs="Arial"/>
          <w:sz w:val="20"/>
          <w:szCs w:val="20"/>
          <w:lang w:val="en-US"/>
        </w:rPr>
        <w:t xml:space="preserve">The Institute of Cancer Research, London, </w:t>
      </w:r>
      <w:r w:rsidR="00911D50" w:rsidRPr="0026226F">
        <w:rPr>
          <w:rFonts w:ascii="Arial" w:hAnsi="Arial" w:cs="Arial"/>
          <w:sz w:val="20"/>
          <w:szCs w:val="20"/>
          <w:lang w:val="en-US"/>
        </w:rPr>
        <w:t>UK</w:t>
      </w:r>
      <w:r w:rsidR="009B5B95">
        <w:rPr>
          <w:rFonts w:ascii="Arial" w:hAnsi="Arial" w:cs="Arial"/>
          <w:sz w:val="20"/>
          <w:szCs w:val="20"/>
          <w:lang w:val="en-US"/>
        </w:rPr>
        <w:t xml:space="preserve"> (M Hubank PhD), </w:t>
      </w:r>
      <w:r w:rsidR="00984DDF" w:rsidRPr="0026226F">
        <w:rPr>
          <w:rFonts w:ascii="Arial" w:hAnsi="Arial" w:cs="Arial"/>
          <w:sz w:val="20"/>
          <w:szCs w:val="20"/>
          <w:lang w:val="en-US"/>
        </w:rPr>
        <w:t>Institute of Pathology, Bonn University Hospital, Bonn, Germany</w:t>
      </w:r>
      <w:r w:rsidR="009B5B95">
        <w:rPr>
          <w:rFonts w:ascii="Arial" w:hAnsi="Arial" w:cs="Arial"/>
          <w:sz w:val="20"/>
          <w:szCs w:val="20"/>
          <w:lang w:val="en-US"/>
        </w:rPr>
        <w:t xml:space="preserve"> (H Gevensleben MD)</w:t>
      </w:r>
      <w:r w:rsidR="00A4566E">
        <w:rPr>
          <w:rFonts w:ascii="Arial" w:hAnsi="Arial" w:cs="Arial"/>
          <w:sz w:val="20"/>
          <w:szCs w:val="20"/>
          <w:lang w:val="en-US"/>
        </w:rPr>
        <w:t xml:space="preserve">, </w:t>
      </w:r>
      <w:r w:rsidR="004761BC" w:rsidRPr="0026226F">
        <w:rPr>
          <w:rFonts w:ascii="Arial" w:hAnsi="Arial" w:cs="Arial"/>
          <w:sz w:val="20"/>
          <w:szCs w:val="20"/>
          <w:lang w:val="en-US"/>
        </w:rPr>
        <w:t xml:space="preserve">University Hospitals Birmingham NHS Foundation Trust, Birmingham, </w:t>
      </w:r>
      <w:r w:rsidR="00911D50" w:rsidRPr="0026226F">
        <w:rPr>
          <w:rFonts w:ascii="Arial" w:hAnsi="Arial" w:cs="Arial"/>
          <w:sz w:val="20"/>
          <w:szCs w:val="20"/>
          <w:lang w:val="en-US"/>
        </w:rPr>
        <w:t>UK</w:t>
      </w:r>
      <w:r w:rsidR="00A4566E">
        <w:rPr>
          <w:rFonts w:ascii="Arial" w:hAnsi="Arial" w:cs="Arial"/>
          <w:sz w:val="20"/>
          <w:szCs w:val="20"/>
          <w:lang w:val="en-US"/>
        </w:rPr>
        <w:t xml:space="preserve"> (Prof D Rea FRCP, A Shaaban PhD), </w:t>
      </w:r>
      <w:r w:rsidR="004761BC" w:rsidRPr="0026226F">
        <w:rPr>
          <w:rFonts w:ascii="Arial" w:hAnsi="Arial" w:cs="Arial"/>
          <w:sz w:val="20"/>
          <w:szCs w:val="20"/>
          <w:lang w:val="en-US"/>
        </w:rPr>
        <w:t xml:space="preserve">Independent Cancer Patients' Voice, </w:t>
      </w:r>
      <w:r w:rsidR="00911D50" w:rsidRPr="0026226F">
        <w:rPr>
          <w:rFonts w:ascii="Arial" w:hAnsi="Arial" w:cs="Arial"/>
          <w:sz w:val="20"/>
          <w:szCs w:val="20"/>
          <w:lang w:val="en-US"/>
        </w:rPr>
        <w:t>UK</w:t>
      </w:r>
      <w:r w:rsidR="00A4566E">
        <w:rPr>
          <w:rFonts w:ascii="Arial" w:hAnsi="Arial" w:cs="Arial"/>
          <w:sz w:val="20"/>
          <w:szCs w:val="20"/>
          <w:lang w:val="en-US"/>
        </w:rPr>
        <w:t xml:space="preserve"> (K Randle MSc)</w:t>
      </w:r>
    </w:p>
    <w:p w14:paraId="5ACE00A8" w14:textId="77777777" w:rsidR="00616AF5" w:rsidRDefault="00616AF5" w:rsidP="00616AF5">
      <w:pPr>
        <w:spacing w:line="240" w:lineRule="auto"/>
        <w:jc w:val="both"/>
        <w:rPr>
          <w:rFonts w:ascii="Arial" w:hAnsi="Arial" w:cs="Arial"/>
          <w:b/>
          <w:sz w:val="22"/>
          <w:szCs w:val="22"/>
          <w:lang w:val="en-US"/>
        </w:rPr>
      </w:pPr>
    </w:p>
    <w:p w14:paraId="04E11A12" w14:textId="77777777" w:rsidR="00616AF5" w:rsidRDefault="00342857" w:rsidP="00616AF5">
      <w:pPr>
        <w:spacing w:line="240" w:lineRule="auto"/>
        <w:jc w:val="both"/>
        <w:rPr>
          <w:rFonts w:ascii="Arial" w:hAnsi="Arial" w:cs="Arial"/>
          <w:b/>
          <w:sz w:val="22"/>
          <w:szCs w:val="22"/>
          <w:lang w:val="en-US"/>
        </w:rPr>
      </w:pPr>
      <w:r w:rsidRPr="00DA2BE7">
        <w:rPr>
          <w:rFonts w:ascii="Arial" w:hAnsi="Arial" w:cs="Arial"/>
          <w:b/>
          <w:sz w:val="22"/>
          <w:szCs w:val="22"/>
          <w:lang w:val="en-US"/>
        </w:rPr>
        <w:t>Corresponding author:</w:t>
      </w:r>
    </w:p>
    <w:p w14:paraId="0FF7B966" w14:textId="3108EBED" w:rsidR="00342857" w:rsidRPr="00616AF5" w:rsidRDefault="00342857" w:rsidP="00616AF5">
      <w:pPr>
        <w:spacing w:line="240" w:lineRule="auto"/>
        <w:jc w:val="both"/>
        <w:rPr>
          <w:rFonts w:ascii="Arial" w:hAnsi="Arial" w:cs="Arial"/>
          <w:b/>
          <w:sz w:val="22"/>
          <w:szCs w:val="22"/>
          <w:lang w:val="en-US"/>
        </w:rPr>
      </w:pPr>
      <w:r w:rsidRPr="00DA2BE7">
        <w:rPr>
          <w:rFonts w:ascii="Arial" w:hAnsi="Arial" w:cs="Arial"/>
          <w:b/>
          <w:bCs/>
          <w:sz w:val="22"/>
          <w:szCs w:val="22"/>
          <w:lang w:val="en-US"/>
        </w:rPr>
        <w:t xml:space="preserve">Nicholas Turner, </w:t>
      </w:r>
      <w:r w:rsidRPr="00DA2BE7">
        <w:rPr>
          <w:rFonts w:ascii="Arial" w:hAnsi="Arial" w:cs="Arial"/>
          <w:sz w:val="22"/>
          <w:szCs w:val="22"/>
          <w:lang w:val="en-US"/>
        </w:rPr>
        <w:t xml:space="preserve">The Institute of Cancer Research and Royal Marsden Hospital, 237 Fulham Road, London, SW3 6JB, UK, </w:t>
      </w:r>
      <w:r w:rsidR="0026226F">
        <w:rPr>
          <w:rFonts w:ascii="Arial" w:hAnsi="Arial" w:cs="Arial"/>
          <w:sz w:val="22"/>
          <w:szCs w:val="22"/>
          <w:lang w:val="en-US"/>
        </w:rPr>
        <w:t>Tel: +44 (0) 207 153 5574</w:t>
      </w:r>
      <w:r w:rsidRPr="00DA2BE7">
        <w:rPr>
          <w:rFonts w:ascii="Arial" w:hAnsi="Arial" w:cs="Arial"/>
          <w:sz w:val="22"/>
          <w:szCs w:val="22"/>
          <w:lang w:val="en-US"/>
        </w:rPr>
        <w:t xml:space="preserve">, Email: </w:t>
      </w:r>
      <w:hyperlink r:id="rId8" w:history="1">
        <w:r w:rsidRPr="00DA2BE7">
          <w:rPr>
            <w:rStyle w:val="Hyperlink"/>
            <w:rFonts w:ascii="Arial" w:hAnsi="Arial" w:cs="Arial"/>
            <w:bCs/>
            <w:sz w:val="22"/>
            <w:szCs w:val="22"/>
            <w:lang w:val="en-US"/>
          </w:rPr>
          <w:t>nicholas.turner@icr.ac.uk</w:t>
        </w:r>
      </w:hyperlink>
    </w:p>
    <w:p w14:paraId="3ADED537" w14:textId="77777777" w:rsidR="00C11287" w:rsidRDefault="00C11287" w:rsidP="004B43C4">
      <w:pPr>
        <w:jc w:val="both"/>
        <w:rPr>
          <w:rFonts w:ascii="Arial" w:hAnsi="Arial" w:cs="Arial"/>
          <w:b/>
          <w:bCs/>
          <w:sz w:val="22"/>
          <w:szCs w:val="22"/>
          <w:lang w:val="en-US"/>
        </w:rPr>
      </w:pPr>
    </w:p>
    <w:p w14:paraId="0F54AB0C" w14:textId="3E4FB61E" w:rsidR="00A43273" w:rsidRPr="008C7FCA" w:rsidRDefault="00A4566E" w:rsidP="00921A9E">
      <w:pPr>
        <w:rPr>
          <w:rFonts w:ascii="Arial" w:hAnsi="Arial" w:cs="Arial"/>
          <w:b/>
          <w:bCs/>
          <w:sz w:val="22"/>
          <w:szCs w:val="22"/>
          <w:lang w:val="en-US"/>
        </w:rPr>
      </w:pPr>
      <w:r>
        <w:rPr>
          <w:rFonts w:ascii="Arial" w:hAnsi="Arial" w:cs="Arial"/>
          <w:b/>
          <w:bCs/>
          <w:sz w:val="22"/>
          <w:szCs w:val="22"/>
          <w:lang w:val="en-US"/>
        </w:rPr>
        <w:br w:type="page"/>
      </w:r>
      <w:r w:rsidR="00A43273" w:rsidRPr="008C7FCA">
        <w:rPr>
          <w:rFonts w:ascii="Arial" w:hAnsi="Arial" w:cs="Arial"/>
          <w:b/>
          <w:bCs/>
          <w:sz w:val="22"/>
          <w:szCs w:val="22"/>
          <w:lang w:val="en-US"/>
        </w:rPr>
        <w:lastRenderedPageBreak/>
        <w:t>Abstract</w:t>
      </w:r>
    </w:p>
    <w:p w14:paraId="1D382D5B" w14:textId="77777777" w:rsidR="00342857" w:rsidRPr="008C7FCA" w:rsidRDefault="00342857" w:rsidP="00521F6D">
      <w:pPr>
        <w:jc w:val="both"/>
        <w:rPr>
          <w:rFonts w:ascii="Arial" w:hAnsi="Arial" w:cs="Arial"/>
          <w:sz w:val="22"/>
          <w:szCs w:val="22"/>
          <w:lang w:val="en-US"/>
        </w:rPr>
      </w:pPr>
      <w:r w:rsidRPr="008C7FCA">
        <w:rPr>
          <w:rFonts w:ascii="Arial" w:hAnsi="Arial" w:cs="Arial"/>
          <w:sz w:val="22"/>
          <w:szCs w:val="22"/>
          <w:lang w:val="en-US"/>
        </w:rPr>
        <w:t>Background</w:t>
      </w:r>
    </w:p>
    <w:p w14:paraId="0F30B1EF" w14:textId="26808042" w:rsidR="00342857" w:rsidRPr="008C7FCA" w:rsidRDefault="00342857" w:rsidP="00521F6D">
      <w:pPr>
        <w:jc w:val="both"/>
        <w:rPr>
          <w:rFonts w:ascii="Arial" w:hAnsi="Arial" w:cs="Arial"/>
          <w:sz w:val="22"/>
          <w:szCs w:val="22"/>
          <w:lang w:val="en-US"/>
        </w:rPr>
      </w:pPr>
      <w:r w:rsidRPr="008C7FCA">
        <w:rPr>
          <w:rFonts w:ascii="Arial" w:hAnsi="Arial" w:cs="Arial"/>
          <w:sz w:val="22"/>
          <w:szCs w:val="22"/>
          <w:lang w:val="en-US"/>
        </w:rPr>
        <w:t>Circulating tumo</w:t>
      </w:r>
      <w:r w:rsidR="00167D39">
        <w:rPr>
          <w:rFonts w:ascii="Arial" w:hAnsi="Arial" w:cs="Arial"/>
          <w:sz w:val="22"/>
          <w:szCs w:val="22"/>
          <w:lang w:val="en-US"/>
        </w:rPr>
        <w:t>u</w:t>
      </w:r>
      <w:r w:rsidRPr="008C7FCA">
        <w:rPr>
          <w:rFonts w:ascii="Arial" w:hAnsi="Arial" w:cs="Arial"/>
          <w:sz w:val="22"/>
          <w:szCs w:val="22"/>
          <w:lang w:val="en-US"/>
        </w:rPr>
        <w:t>r DNA</w:t>
      </w:r>
      <w:r w:rsidR="00AE6D16" w:rsidRPr="008C7FCA">
        <w:rPr>
          <w:rFonts w:ascii="Arial" w:hAnsi="Arial" w:cs="Arial"/>
          <w:sz w:val="22"/>
          <w:szCs w:val="22"/>
          <w:lang w:val="en-US"/>
        </w:rPr>
        <w:t xml:space="preserve"> </w:t>
      </w:r>
      <w:r w:rsidRPr="008C7FCA">
        <w:rPr>
          <w:rFonts w:ascii="Arial" w:hAnsi="Arial" w:cs="Arial"/>
          <w:sz w:val="22"/>
          <w:szCs w:val="22"/>
          <w:lang w:val="en-US"/>
        </w:rPr>
        <w:t xml:space="preserve">(ctDNA) testing may provide a </w:t>
      </w:r>
      <w:r w:rsidR="00AD11A4">
        <w:rPr>
          <w:rFonts w:ascii="Arial" w:hAnsi="Arial" w:cs="Arial"/>
          <w:sz w:val="22"/>
          <w:szCs w:val="22"/>
          <w:lang w:val="en-US"/>
        </w:rPr>
        <w:t>contemporary</w:t>
      </w:r>
      <w:r w:rsidR="00AD11A4" w:rsidRPr="008C7FCA">
        <w:rPr>
          <w:rFonts w:ascii="Arial" w:hAnsi="Arial" w:cs="Arial"/>
          <w:sz w:val="22"/>
          <w:szCs w:val="22"/>
          <w:lang w:val="en-US"/>
        </w:rPr>
        <w:t xml:space="preserve"> </w:t>
      </w:r>
      <w:r w:rsidRPr="008C7FCA">
        <w:rPr>
          <w:rFonts w:ascii="Arial" w:hAnsi="Arial" w:cs="Arial"/>
          <w:sz w:val="22"/>
          <w:szCs w:val="22"/>
          <w:lang w:val="en-US"/>
        </w:rPr>
        <w:t xml:space="preserve">assessment of the </w:t>
      </w:r>
      <w:r w:rsidR="00BE2C5F" w:rsidRPr="008C7FCA">
        <w:rPr>
          <w:rFonts w:ascii="Arial" w:hAnsi="Arial" w:cs="Arial"/>
          <w:sz w:val="22"/>
          <w:szCs w:val="22"/>
          <w:lang w:val="en-US"/>
        </w:rPr>
        <w:t>gen</w:t>
      </w:r>
      <w:r w:rsidR="00BE2C5F">
        <w:rPr>
          <w:rFonts w:ascii="Arial" w:hAnsi="Arial" w:cs="Arial"/>
          <w:sz w:val="22"/>
          <w:szCs w:val="22"/>
          <w:lang w:val="en-US"/>
        </w:rPr>
        <w:t>omic</w:t>
      </w:r>
      <w:r w:rsidR="00BE2C5F" w:rsidRPr="008C7FCA">
        <w:rPr>
          <w:rFonts w:ascii="Arial" w:hAnsi="Arial" w:cs="Arial"/>
          <w:sz w:val="22"/>
          <w:szCs w:val="22"/>
          <w:lang w:val="en-US"/>
        </w:rPr>
        <w:t xml:space="preserve"> </w:t>
      </w:r>
      <w:r w:rsidRPr="008C7FCA">
        <w:rPr>
          <w:rFonts w:ascii="Arial" w:hAnsi="Arial" w:cs="Arial"/>
          <w:sz w:val="22"/>
          <w:szCs w:val="22"/>
          <w:lang w:val="en-US"/>
        </w:rPr>
        <w:t>profile of advanced cancer</w:t>
      </w:r>
      <w:r w:rsidR="00AD11A4">
        <w:rPr>
          <w:rFonts w:ascii="Arial" w:hAnsi="Arial" w:cs="Arial"/>
          <w:sz w:val="22"/>
          <w:szCs w:val="22"/>
          <w:lang w:val="en-US"/>
        </w:rPr>
        <w:t>, wi</w:t>
      </w:r>
      <w:r w:rsidR="00AD11A4" w:rsidRPr="00B86E4F">
        <w:rPr>
          <w:rFonts w:ascii="Arial" w:hAnsi="Arial" w:cs="Arial"/>
          <w:sz w:val="22"/>
          <w:szCs w:val="22"/>
          <w:lang w:val="en-US"/>
        </w:rPr>
        <w:t>thout need</w:t>
      </w:r>
      <w:r w:rsidR="007E3645" w:rsidRPr="00B86E4F">
        <w:rPr>
          <w:rFonts w:ascii="Arial" w:hAnsi="Arial" w:cs="Arial"/>
          <w:sz w:val="22"/>
          <w:szCs w:val="22"/>
          <w:lang w:val="en-US"/>
        </w:rPr>
        <w:t xml:space="preserve"> </w:t>
      </w:r>
      <w:r w:rsidR="00BE2C5F" w:rsidRPr="00B86E4F">
        <w:rPr>
          <w:rFonts w:ascii="Arial" w:hAnsi="Arial" w:cs="Arial"/>
          <w:sz w:val="22"/>
          <w:szCs w:val="22"/>
          <w:lang w:val="en-US"/>
        </w:rPr>
        <w:t xml:space="preserve">to </w:t>
      </w:r>
      <w:r w:rsidR="007E3645" w:rsidRPr="00B86E4F">
        <w:rPr>
          <w:rFonts w:ascii="Arial" w:hAnsi="Arial" w:cs="Arial"/>
          <w:sz w:val="22"/>
          <w:szCs w:val="22"/>
          <w:lang w:val="en-US"/>
        </w:rPr>
        <w:t>repeat</w:t>
      </w:r>
      <w:r w:rsidR="00AD11A4" w:rsidRPr="00B86E4F">
        <w:rPr>
          <w:rFonts w:ascii="Arial" w:hAnsi="Arial" w:cs="Arial"/>
          <w:sz w:val="22"/>
          <w:szCs w:val="22"/>
          <w:lang w:val="en-US"/>
        </w:rPr>
        <w:t xml:space="preserve"> </w:t>
      </w:r>
      <w:r w:rsidR="00C4772B">
        <w:rPr>
          <w:rFonts w:ascii="Arial" w:hAnsi="Arial" w:cs="Arial"/>
          <w:sz w:val="22"/>
          <w:szCs w:val="22"/>
          <w:lang w:val="en-US"/>
        </w:rPr>
        <w:t>tumour</w:t>
      </w:r>
      <w:r w:rsidR="00AD11A4" w:rsidRPr="00B86E4F">
        <w:rPr>
          <w:rFonts w:ascii="Arial" w:hAnsi="Arial" w:cs="Arial"/>
          <w:sz w:val="22"/>
          <w:szCs w:val="22"/>
          <w:lang w:val="en-US"/>
        </w:rPr>
        <w:t xml:space="preserve"> biopsy</w:t>
      </w:r>
      <w:r w:rsidRPr="00B86E4F">
        <w:rPr>
          <w:rFonts w:ascii="Arial" w:hAnsi="Arial" w:cs="Arial"/>
          <w:sz w:val="22"/>
          <w:szCs w:val="22"/>
          <w:lang w:val="en-US"/>
        </w:rPr>
        <w:t xml:space="preserve">. </w:t>
      </w:r>
      <w:r w:rsidR="00E52115" w:rsidRPr="00B86E4F">
        <w:rPr>
          <w:rFonts w:ascii="Arial" w:hAnsi="Arial" w:cs="Arial"/>
          <w:sz w:val="22"/>
          <w:szCs w:val="22"/>
        </w:rPr>
        <w:t xml:space="preserve">The plasmaMATCH trial was designed to </w:t>
      </w:r>
      <w:r w:rsidR="00385586" w:rsidRPr="00385586">
        <w:rPr>
          <w:rFonts w:ascii="Arial" w:hAnsi="Arial" w:cs="Arial"/>
          <w:sz w:val="22"/>
          <w:szCs w:val="22"/>
        </w:rPr>
        <w:t xml:space="preserve">assess </w:t>
      </w:r>
      <w:r w:rsidR="002B79ED">
        <w:rPr>
          <w:rFonts w:ascii="Arial" w:hAnsi="Arial" w:cs="Arial"/>
          <w:sz w:val="22"/>
          <w:szCs w:val="22"/>
        </w:rPr>
        <w:t xml:space="preserve">the accuracy of </w:t>
      </w:r>
      <w:r w:rsidR="00385586" w:rsidRPr="00385586">
        <w:rPr>
          <w:rFonts w:ascii="Arial" w:hAnsi="Arial" w:cs="Arial"/>
          <w:sz w:val="22"/>
          <w:szCs w:val="22"/>
        </w:rPr>
        <w:t xml:space="preserve">ctDNA testing in </w:t>
      </w:r>
      <w:r w:rsidR="000E305C">
        <w:rPr>
          <w:rFonts w:ascii="Arial" w:hAnsi="Arial" w:cs="Arial"/>
          <w:sz w:val="22"/>
          <w:szCs w:val="22"/>
        </w:rPr>
        <w:t>a</w:t>
      </w:r>
      <w:r w:rsidR="00385586" w:rsidRPr="00385586">
        <w:rPr>
          <w:rFonts w:ascii="Arial" w:hAnsi="Arial" w:cs="Arial"/>
          <w:sz w:val="22"/>
          <w:szCs w:val="22"/>
        </w:rPr>
        <w:t xml:space="preserve"> </w:t>
      </w:r>
      <w:r w:rsidR="002B79ED">
        <w:rPr>
          <w:rFonts w:ascii="Arial" w:hAnsi="Arial" w:cs="Arial"/>
          <w:sz w:val="22"/>
          <w:szCs w:val="22"/>
        </w:rPr>
        <w:t xml:space="preserve">large </w:t>
      </w:r>
      <w:r w:rsidR="00385586" w:rsidRPr="00385586">
        <w:rPr>
          <w:rFonts w:ascii="Arial" w:hAnsi="Arial" w:cs="Arial"/>
          <w:sz w:val="22"/>
          <w:szCs w:val="22"/>
        </w:rPr>
        <w:t>prospective study</w:t>
      </w:r>
      <w:r w:rsidR="002B79ED">
        <w:rPr>
          <w:rFonts w:ascii="Arial" w:hAnsi="Arial" w:cs="Arial"/>
          <w:sz w:val="22"/>
          <w:szCs w:val="22"/>
        </w:rPr>
        <w:t xml:space="preserve"> in advanced breast cancer</w:t>
      </w:r>
      <w:r w:rsidR="00385586" w:rsidRPr="00385586">
        <w:rPr>
          <w:rFonts w:ascii="Arial" w:hAnsi="Arial" w:cs="Arial"/>
          <w:sz w:val="22"/>
          <w:szCs w:val="22"/>
        </w:rPr>
        <w:t xml:space="preserve">, and the ability of ctDNA testing to </w:t>
      </w:r>
      <w:r w:rsidR="00F23D7A">
        <w:rPr>
          <w:rFonts w:ascii="Arial" w:hAnsi="Arial" w:cs="Arial"/>
          <w:sz w:val="22"/>
          <w:szCs w:val="22"/>
        </w:rPr>
        <w:t>select patients for</w:t>
      </w:r>
      <w:r w:rsidR="00725D32">
        <w:rPr>
          <w:rFonts w:ascii="Arial" w:hAnsi="Arial" w:cs="Arial"/>
          <w:sz w:val="22"/>
          <w:szCs w:val="22"/>
        </w:rPr>
        <w:t xml:space="preserve"> </w:t>
      </w:r>
      <w:r w:rsidR="00E83ECD">
        <w:rPr>
          <w:rFonts w:ascii="Arial" w:hAnsi="Arial" w:cs="Arial"/>
          <w:sz w:val="22"/>
          <w:szCs w:val="22"/>
        </w:rPr>
        <w:t>mutation-directed therapy.</w:t>
      </w:r>
      <w:r w:rsidR="00385586" w:rsidRPr="00385586">
        <w:rPr>
          <w:rFonts w:ascii="Arial" w:hAnsi="Arial" w:cs="Arial"/>
          <w:sz w:val="22"/>
          <w:szCs w:val="22"/>
        </w:rPr>
        <w:t xml:space="preserve"> </w:t>
      </w:r>
    </w:p>
    <w:p w14:paraId="5A26E84D" w14:textId="77777777" w:rsidR="00342857" w:rsidRPr="008C7FCA" w:rsidRDefault="00342857" w:rsidP="00521F6D">
      <w:pPr>
        <w:jc w:val="both"/>
        <w:rPr>
          <w:rFonts w:ascii="Arial" w:hAnsi="Arial" w:cs="Arial"/>
          <w:sz w:val="22"/>
          <w:szCs w:val="22"/>
          <w:lang w:val="en-US"/>
        </w:rPr>
      </w:pPr>
    </w:p>
    <w:p w14:paraId="21AAC0F2" w14:textId="77777777" w:rsidR="00342857" w:rsidRPr="008C7FCA" w:rsidRDefault="00342857" w:rsidP="00521F6D">
      <w:pPr>
        <w:jc w:val="both"/>
        <w:rPr>
          <w:rFonts w:ascii="Arial" w:hAnsi="Arial" w:cs="Arial"/>
          <w:sz w:val="22"/>
          <w:szCs w:val="22"/>
          <w:lang w:val="en-US"/>
        </w:rPr>
      </w:pPr>
      <w:r w:rsidRPr="008C7FCA">
        <w:rPr>
          <w:rFonts w:ascii="Arial" w:hAnsi="Arial" w:cs="Arial"/>
          <w:sz w:val="22"/>
          <w:szCs w:val="22"/>
          <w:lang w:val="en-US"/>
        </w:rPr>
        <w:t>Methods</w:t>
      </w:r>
    </w:p>
    <w:p w14:paraId="2EB8B7C4" w14:textId="0B7B59D6" w:rsidR="00342857" w:rsidRPr="008C7FCA" w:rsidRDefault="00342857" w:rsidP="00521F6D">
      <w:pPr>
        <w:jc w:val="both"/>
        <w:rPr>
          <w:rFonts w:ascii="Arial" w:hAnsi="Arial" w:cs="Arial"/>
          <w:sz w:val="22"/>
          <w:szCs w:val="22"/>
          <w:lang w:val="en-US"/>
        </w:rPr>
      </w:pPr>
      <w:r w:rsidRPr="008C7FCA">
        <w:rPr>
          <w:rFonts w:ascii="Arial" w:hAnsi="Arial" w:cs="Arial"/>
          <w:sz w:val="22"/>
          <w:szCs w:val="22"/>
          <w:lang w:val="en-US"/>
        </w:rPr>
        <w:t xml:space="preserve">plasmaMATCH </w:t>
      </w:r>
      <w:r w:rsidR="00611503">
        <w:rPr>
          <w:rFonts w:ascii="Arial" w:hAnsi="Arial" w:cs="Arial"/>
          <w:sz w:val="22"/>
          <w:szCs w:val="22"/>
          <w:lang w:val="en-US"/>
        </w:rPr>
        <w:t>is a</w:t>
      </w:r>
      <w:r w:rsidR="00614E37">
        <w:rPr>
          <w:rFonts w:ascii="Arial" w:hAnsi="Arial" w:cs="Arial"/>
          <w:sz w:val="22"/>
          <w:szCs w:val="22"/>
          <w:lang w:val="en-US"/>
        </w:rPr>
        <w:t>n</w:t>
      </w:r>
      <w:r w:rsidR="00E52115">
        <w:rPr>
          <w:rFonts w:ascii="Arial" w:hAnsi="Arial" w:cs="Arial"/>
          <w:sz w:val="22"/>
          <w:szCs w:val="22"/>
          <w:lang w:val="en-US"/>
        </w:rPr>
        <w:t xml:space="preserve"> open label,</w:t>
      </w:r>
      <w:r w:rsidR="00611503">
        <w:rPr>
          <w:rFonts w:ascii="Arial" w:hAnsi="Arial" w:cs="Arial"/>
          <w:sz w:val="22"/>
          <w:szCs w:val="22"/>
          <w:lang w:val="en-US"/>
        </w:rPr>
        <w:t xml:space="preserve"> multi-</w:t>
      </w:r>
      <w:r w:rsidR="000228CB">
        <w:rPr>
          <w:rFonts w:ascii="Arial" w:hAnsi="Arial" w:cs="Arial"/>
          <w:sz w:val="22"/>
          <w:szCs w:val="22"/>
          <w:lang w:val="en-US"/>
        </w:rPr>
        <w:t>centre</w:t>
      </w:r>
      <w:r w:rsidR="00E52115">
        <w:rPr>
          <w:rFonts w:ascii="Arial" w:hAnsi="Arial" w:cs="Arial"/>
          <w:sz w:val="22"/>
          <w:szCs w:val="22"/>
          <w:lang w:val="en-US"/>
        </w:rPr>
        <w:t>, multi-cohort</w:t>
      </w:r>
      <w:r w:rsidR="00611503">
        <w:rPr>
          <w:rFonts w:ascii="Arial" w:hAnsi="Arial" w:cs="Arial"/>
          <w:sz w:val="22"/>
          <w:szCs w:val="22"/>
          <w:lang w:val="en-US"/>
        </w:rPr>
        <w:t xml:space="preserve"> </w:t>
      </w:r>
      <w:r w:rsidR="00AE62E0" w:rsidRPr="008C7FCA">
        <w:rPr>
          <w:rFonts w:ascii="Arial" w:hAnsi="Arial" w:cs="Arial"/>
          <w:sz w:val="22"/>
          <w:szCs w:val="22"/>
          <w:lang w:val="en-US"/>
        </w:rPr>
        <w:t xml:space="preserve">platform </w:t>
      </w:r>
      <w:r w:rsidRPr="008C7FCA">
        <w:rPr>
          <w:rFonts w:ascii="Arial" w:hAnsi="Arial" w:cs="Arial"/>
          <w:sz w:val="22"/>
          <w:szCs w:val="22"/>
          <w:lang w:val="en-US"/>
        </w:rPr>
        <w:t xml:space="preserve">trial </w:t>
      </w:r>
      <w:r w:rsidR="00EE2D87" w:rsidRPr="008C7FCA">
        <w:rPr>
          <w:rFonts w:ascii="Arial" w:hAnsi="Arial" w:cs="Arial"/>
          <w:sz w:val="22"/>
          <w:szCs w:val="22"/>
          <w:lang w:val="en-US"/>
        </w:rPr>
        <w:t>of</w:t>
      </w:r>
      <w:r w:rsidRPr="008C7FCA">
        <w:rPr>
          <w:rFonts w:ascii="Arial" w:hAnsi="Arial" w:cs="Arial"/>
          <w:sz w:val="22"/>
          <w:szCs w:val="22"/>
          <w:lang w:val="en-US"/>
        </w:rPr>
        <w:t xml:space="preserve"> ctDNA testing in</w:t>
      </w:r>
      <w:r w:rsidR="00E52115" w:rsidRPr="006673A3">
        <w:rPr>
          <w:rFonts w:ascii="Arial" w:hAnsi="Arial" w:cs="Arial"/>
          <w:sz w:val="22"/>
          <w:szCs w:val="22"/>
          <w:lang w:val="en-US"/>
        </w:rPr>
        <w:t xml:space="preserve"> ~1000 patients</w:t>
      </w:r>
      <w:r w:rsidR="00872816">
        <w:rPr>
          <w:rFonts w:ascii="Arial" w:hAnsi="Arial" w:cs="Arial"/>
          <w:sz w:val="22"/>
          <w:szCs w:val="22"/>
          <w:lang w:val="en-US"/>
        </w:rPr>
        <w:t xml:space="preserve"> of</w:t>
      </w:r>
      <w:r w:rsidR="002B79ED">
        <w:rPr>
          <w:rFonts w:ascii="Arial" w:hAnsi="Arial" w:cs="Arial"/>
          <w:sz w:val="22"/>
          <w:szCs w:val="22"/>
          <w:lang w:val="en-US"/>
        </w:rPr>
        <w:t xml:space="preserve"> at least</w:t>
      </w:r>
      <w:r w:rsidR="00E52115" w:rsidRPr="006673A3">
        <w:rPr>
          <w:rFonts w:ascii="Arial" w:hAnsi="Arial" w:cs="Arial"/>
          <w:sz w:val="22"/>
          <w:szCs w:val="22"/>
          <w:lang w:val="en-US"/>
        </w:rPr>
        <w:t xml:space="preserve"> </w:t>
      </w:r>
      <w:r w:rsidR="00412339">
        <w:rPr>
          <w:rFonts w:ascii="Arial" w:hAnsi="Arial" w:cs="Arial"/>
          <w:sz w:val="22"/>
          <w:szCs w:val="22"/>
          <w:lang w:val="en-US"/>
        </w:rPr>
        <w:t xml:space="preserve">18 years </w:t>
      </w:r>
      <w:r w:rsidR="006F6C2B">
        <w:rPr>
          <w:rFonts w:ascii="Arial" w:hAnsi="Arial" w:cs="Arial"/>
          <w:sz w:val="22"/>
          <w:szCs w:val="22"/>
          <w:lang w:val="en-US"/>
        </w:rPr>
        <w:t xml:space="preserve">of </w:t>
      </w:r>
      <w:r w:rsidR="002B79ED">
        <w:rPr>
          <w:rFonts w:ascii="Arial" w:hAnsi="Arial" w:cs="Arial"/>
          <w:sz w:val="22"/>
          <w:szCs w:val="22"/>
          <w:lang w:val="en-US"/>
        </w:rPr>
        <w:t xml:space="preserve">age </w:t>
      </w:r>
      <w:r w:rsidR="00E52115" w:rsidRPr="006673A3">
        <w:rPr>
          <w:rFonts w:ascii="Arial" w:hAnsi="Arial" w:cs="Arial"/>
          <w:sz w:val="22"/>
          <w:szCs w:val="22"/>
          <w:lang w:val="en-US"/>
        </w:rPr>
        <w:t xml:space="preserve">with </w:t>
      </w:r>
      <w:r w:rsidRPr="008C7FCA">
        <w:rPr>
          <w:rFonts w:ascii="Arial" w:hAnsi="Arial" w:cs="Arial"/>
          <w:sz w:val="22"/>
          <w:szCs w:val="22"/>
          <w:lang w:val="en-US"/>
        </w:rPr>
        <w:t xml:space="preserve">advanced </w:t>
      </w:r>
      <w:r w:rsidR="0000731F" w:rsidRPr="008C7FCA">
        <w:rPr>
          <w:rFonts w:ascii="Arial" w:hAnsi="Arial" w:cs="Arial"/>
          <w:sz w:val="22"/>
          <w:szCs w:val="22"/>
          <w:lang w:val="en-US"/>
        </w:rPr>
        <w:t>breast cancer</w:t>
      </w:r>
      <w:r w:rsidR="000228CB" w:rsidRPr="000228CB">
        <w:rPr>
          <w:rFonts w:ascii="Arial" w:eastAsia="ScalaLancetPro" w:hAnsi="Arial" w:cs="Arial"/>
          <w:sz w:val="22"/>
          <w:szCs w:val="22"/>
          <w:lang w:val="en-US"/>
        </w:rPr>
        <w:t xml:space="preserve"> </w:t>
      </w:r>
      <w:r w:rsidR="002B79ED">
        <w:rPr>
          <w:rFonts w:ascii="Arial" w:hAnsi="Arial" w:cs="Arial"/>
          <w:sz w:val="22"/>
          <w:szCs w:val="22"/>
          <w:lang w:val="en-US"/>
        </w:rPr>
        <w:t xml:space="preserve">and ECOG performance status 0-1. </w:t>
      </w:r>
      <w:r w:rsidR="000228CB" w:rsidRPr="00EE1760">
        <w:rPr>
          <w:rFonts w:ascii="Arial" w:hAnsi="Arial" w:cs="Arial"/>
          <w:sz w:val="22"/>
          <w:szCs w:val="22"/>
          <w:lang w:val="en-US"/>
        </w:rPr>
        <w:t xml:space="preserve">Patients </w:t>
      </w:r>
      <w:r w:rsidR="00872816">
        <w:rPr>
          <w:rFonts w:ascii="Arial" w:hAnsi="Arial" w:cs="Arial"/>
          <w:sz w:val="22"/>
          <w:szCs w:val="22"/>
          <w:lang w:val="en-US"/>
        </w:rPr>
        <w:t>had at</w:t>
      </w:r>
      <w:r w:rsidR="000228CB" w:rsidRPr="00EE1760">
        <w:rPr>
          <w:rFonts w:ascii="Arial" w:hAnsi="Arial" w:cs="Arial"/>
          <w:sz w:val="22"/>
          <w:szCs w:val="22"/>
          <w:lang w:val="en-US"/>
        </w:rPr>
        <w:t xml:space="preserve"> least one prior line of treatment for advanced</w:t>
      </w:r>
      <w:r w:rsidR="000228CB" w:rsidRPr="008C7FCA">
        <w:rPr>
          <w:rFonts w:ascii="Arial" w:hAnsi="Arial" w:cs="Arial"/>
          <w:sz w:val="22"/>
          <w:szCs w:val="22"/>
          <w:lang w:val="en-US"/>
        </w:rPr>
        <w:t xml:space="preserve"> breast cancer and/or relapsed within 12 months of (neo)adjuvant chemotherapy. </w:t>
      </w:r>
      <w:r w:rsidR="000228CB" w:rsidRPr="008C7FCA">
        <w:rPr>
          <w:rFonts w:ascii="Arial" w:hAnsi="Arial" w:cs="Arial"/>
          <w:iCs/>
          <w:sz w:val="22"/>
          <w:szCs w:val="22"/>
          <w:lang w:val="en-US"/>
        </w:rPr>
        <w:t xml:space="preserve">Patients with </w:t>
      </w:r>
      <w:r w:rsidR="000228CB" w:rsidRPr="006F6C2B">
        <w:rPr>
          <w:rFonts w:ascii="Arial" w:hAnsi="Arial" w:cs="Arial"/>
          <w:sz w:val="22"/>
          <w:szCs w:val="22"/>
          <w:lang w:val="en-US"/>
        </w:rPr>
        <w:t>HER2</w:t>
      </w:r>
      <w:r w:rsidR="000228CB" w:rsidRPr="008C7FCA">
        <w:rPr>
          <w:rFonts w:ascii="Arial" w:hAnsi="Arial" w:cs="Arial"/>
          <w:iCs/>
          <w:sz w:val="22"/>
          <w:szCs w:val="22"/>
          <w:lang w:val="en-US"/>
        </w:rPr>
        <w:t xml:space="preserve"> amplified (HER2</w:t>
      </w:r>
      <w:r w:rsidR="000228CB">
        <w:rPr>
          <w:rFonts w:ascii="Arial" w:hAnsi="Arial" w:cs="Arial"/>
          <w:iCs/>
          <w:sz w:val="22"/>
          <w:szCs w:val="22"/>
          <w:lang w:val="en-US"/>
        </w:rPr>
        <w:t>-</w:t>
      </w:r>
      <w:r w:rsidR="000228CB" w:rsidRPr="008C7FCA">
        <w:rPr>
          <w:rFonts w:ascii="Arial" w:hAnsi="Arial" w:cs="Arial"/>
          <w:iCs/>
          <w:sz w:val="22"/>
          <w:szCs w:val="22"/>
          <w:lang w:val="en-US"/>
        </w:rPr>
        <w:t xml:space="preserve">positive) breast cancer had at least two </w:t>
      </w:r>
      <w:r w:rsidR="000228CB">
        <w:rPr>
          <w:rFonts w:ascii="Arial" w:hAnsi="Arial" w:cs="Arial"/>
          <w:iCs/>
          <w:sz w:val="22"/>
          <w:szCs w:val="22"/>
          <w:lang w:val="en-US"/>
        </w:rPr>
        <w:t xml:space="preserve">prior </w:t>
      </w:r>
      <w:r w:rsidR="000228CB" w:rsidRPr="008C7FCA">
        <w:rPr>
          <w:rFonts w:ascii="Arial" w:hAnsi="Arial" w:cs="Arial"/>
          <w:iCs/>
          <w:sz w:val="22"/>
          <w:szCs w:val="22"/>
          <w:lang w:val="en-US"/>
        </w:rPr>
        <w:t xml:space="preserve">lines of </w:t>
      </w:r>
      <w:r w:rsidR="00872816">
        <w:rPr>
          <w:rFonts w:ascii="Arial" w:hAnsi="Arial" w:cs="Arial"/>
          <w:iCs/>
          <w:sz w:val="22"/>
          <w:szCs w:val="22"/>
          <w:lang w:val="en-US"/>
        </w:rPr>
        <w:t xml:space="preserve">advanced </w:t>
      </w:r>
      <w:r w:rsidR="000228CB" w:rsidRPr="008C7FCA">
        <w:rPr>
          <w:rFonts w:ascii="Arial" w:hAnsi="Arial" w:cs="Arial"/>
          <w:iCs/>
          <w:sz w:val="22"/>
          <w:szCs w:val="22"/>
          <w:lang w:val="en-US"/>
        </w:rPr>
        <w:t>HER2 targeted therapy</w:t>
      </w:r>
      <w:r w:rsidR="00872816">
        <w:rPr>
          <w:rFonts w:ascii="Arial" w:hAnsi="Arial" w:cs="Arial"/>
          <w:iCs/>
          <w:sz w:val="22"/>
          <w:szCs w:val="22"/>
          <w:lang w:val="en-US"/>
        </w:rPr>
        <w:t xml:space="preserve">. </w:t>
      </w:r>
      <w:r w:rsidR="0020139E">
        <w:rPr>
          <w:rFonts w:ascii="Arial" w:hAnsi="Arial" w:cs="Arial"/>
          <w:sz w:val="22"/>
          <w:szCs w:val="22"/>
          <w:lang w:val="en-US"/>
        </w:rPr>
        <w:t>P</w:t>
      </w:r>
      <w:r w:rsidR="00E52115">
        <w:rPr>
          <w:rFonts w:ascii="Arial" w:hAnsi="Arial" w:cs="Arial"/>
          <w:sz w:val="22"/>
          <w:szCs w:val="22"/>
          <w:lang w:val="en-US"/>
        </w:rPr>
        <w:t xml:space="preserve">atients </w:t>
      </w:r>
      <w:r w:rsidR="0020139E">
        <w:rPr>
          <w:rFonts w:ascii="Arial" w:hAnsi="Arial" w:cs="Arial"/>
          <w:sz w:val="22"/>
          <w:szCs w:val="22"/>
          <w:lang w:val="en-US"/>
        </w:rPr>
        <w:t xml:space="preserve">were </w:t>
      </w:r>
      <w:r w:rsidR="00E52115">
        <w:rPr>
          <w:rFonts w:ascii="Arial" w:hAnsi="Arial" w:cs="Arial"/>
          <w:sz w:val="22"/>
          <w:szCs w:val="22"/>
          <w:lang w:val="en-US"/>
        </w:rPr>
        <w:t xml:space="preserve">recruited into four parallel </w:t>
      </w:r>
      <w:r w:rsidRPr="008C7FCA">
        <w:rPr>
          <w:rFonts w:ascii="Arial" w:hAnsi="Arial" w:cs="Arial"/>
          <w:sz w:val="22"/>
          <w:szCs w:val="22"/>
          <w:lang w:val="en-US"/>
        </w:rPr>
        <w:t xml:space="preserve">treatment cohorts matched to </w:t>
      </w:r>
      <w:r w:rsidRPr="00EE1760">
        <w:rPr>
          <w:rFonts w:ascii="Arial" w:hAnsi="Arial" w:cs="Arial"/>
          <w:sz w:val="22"/>
          <w:szCs w:val="22"/>
          <w:lang w:val="en-US"/>
        </w:rPr>
        <w:t>mutations identified in ctDNA</w:t>
      </w:r>
      <w:r w:rsidR="001844DB" w:rsidRPr="00EE1760">
        <w:rPr>
          <w:rFonts w:ascii="Arial" w:hAnsi="Arial" w:cs="Arial"/>
          <w:sz w:val="22"/>
          <w:szCs w:val="22"/>
          <w:lang w:val="en-US"/>
        </w:rPr>
        <w:t xml:space="preserve">: </w:t>
      </w:r>
      <w:r w:rsidRPr="00EE1760">
        <w:rPr>
          <w:rFonts w:ascii="Arial" w:hAnsi="Arial" w:cs="Arial"/>
          <w:sz w:val="22"/>
          <w:szCs w:val="22"/>
          <w:lang w:val="en-US"/>
        </w:rPr>
        <w:t>A:</w:t>
      </w:r>
      <w:r w:rsidRPr="004256A3">
        <w:rPr>
          <w:rFonts w:ascii="Arial" w:hAnsi="Arial" w:cs="Arial"/>
          <w:i/>
          <w:sz w:val="22"/>
          <w:szCs w:val="22"/>
          <w:lang w:val="en-US"/>
        </w:rPr>
        <w:t>ESR1</w:t>
      </w:r>
      <w:r w:rsidRPr="00EE1760">
        <w:rPr>
          <w:rFonts w:ascii="Arial" w:hAnsi="Arial" w:cs="Arial"/>
          <w:sz w:val="22"/>
          <w:szCs w:val="22"/>
          <w:lang w:val="en-US"/>
        </w:rPr>
        <w:t xml:space="preserve"> mutation</w:t>
      </w:r>
      <w:r w:rsidR="003D47DC">
        <w:rPr>
          <w:rFonts w:ascii="Arial" w:hAnsi="Arial" w:cs="Arial"/>
          <w:sz w:val="22"/>
          <w:szCs w:val="22"/>
          <w:lang w:val="en-US"/>
        </w:rPr>
        <w:t xml:space="preserve"> (</w:t>
      </w:r>
      <w:r w:rsidR="003D47DC" w:rsidRPr="008C7FCA">
        <w:rPr>
          <w:rFonts w:ascii="Arial" w:hAnsi="Arial" w:cs="Arial"/>
          <w:sz w:val="22"/>
          <w:szCs w:val="22"/>
          <w:lang w:val="en-US"/>
        </w:rPr>
        <w:t xml:space="preserve">extended-dose fulvestrant </w:t>
      </w:r>
      <w:r w:rsidR="003D47DC">
        <w:rPr>
          <w:rFonts w:ascii="Arial" w:hAnsi="Arial" w:cs="Arial"/>
          <w:sz w:val="22"/>
          <w:szCs w:val="22"/>
          <w:lang w:val="en-US"/>
        </w:rPr>
        <w:t xml:space="preserve">– 500mg IM </w:t>
      </w:r>
      <w:r w:rsidR="003D47DC" w:rsidRPr="008C7FCA">
        <w:rPr>
          <w:rFonts w:ascii="Arial" w:hAnsi="Arial" w:cs="Arial"/>
          <w:sz w:val="22"/>
          <w:szCs w:val="22"/>
          <w:lang w:val="en-US"/>
        </w:rPr>
        <w:t>on Cycle 1 D</w:t>
      </w:r>
      <w:r w:rsidR="003D47DC">
        <w:rPr>
          <w:rFonts w:ascii="Arial" w:hAnsi="Arial" w:cs="Arial"/>
          <w:sz w:val="22"/>
          <w:szCs w:val="22"/>
          <w:lang w:val="en-US"/>
        </w:rPr>
        <w:t xml:space="preserve">ay </w:t>
      </w:r>
      <w:r w:rsidR="003D47DC" w:rsidRPr="008C7FCA">
        <w:rPr>
          <w:rFonts w:ascii="Arial" w:hAnsi="Arial" w:cs="Arial"/>
          <w:sz w:val="22"/>
          <w:szCs w:val="22"/>
          <w:lang w:val="en-US"/>
        </w:rPr>
        <w:t>1, 8 and 15 and Cycle 2 onwards Day 1 and 15</w:t>
      </w:r>
      <w:r w:rsidR="003D47DC">
        <w:rPr>
          <w:rFonts w:ascii="Arial" w:hAnsi="Arial" w:cs="Arial"/>
          <w:sz w:val="22"/>
          <w:szCs w:val="22"/>
          <w:lang w:val="en-US"/>
        </w:rPr>
        <w:t xml:space="preserve"> on a 28-day cycle) </w:t>
      </w:r>
      <w:r w:rsidRPr="00EE1760">
        <w:rPr>
          <w:rFonts w:ascii="Arial" w:hAnsi="Arial" w:cs="Arial"/>
          <w:sz w:val="22"/>
          <w:szCs w:val="22"/>
          <w:lang w:val="en-US"/>
        </w:rPr>
        <w:t>, B:</w:t>
      </w:r>
      <w:r w:rsidR="004256A3" w:rsidRPr="004256A3">
        <w:rPr>
          <w:rFonts w:ascii="Arial" w:hAnsi="Arial" w:cs="Arial"/>
          <w:i/>
          <w:sz w:val="22"/>
          <w:szCs w:val="22"/>
          <w:lang w:val="en-US"/>
        </w:rPr>
        <w:t>ERBB2</w:t>
      </w:r>
      <w:r w:rsidR="004256A3" w:rsidRPr="00EE1760">
        <w:rPr>
          <w:rFonts w:ascii="Arial" w:hAnsi="Arial" w:cs="Arial"/>
          <w:sz w:val="22"/>
          <w:szCs w:val="22"/>
          <w:lang w:val="en-US"/>
        </w:rPr>
        <w:t xml:space="preserve"> </w:t>
      </w:r>
      <w:r w:rsidRPr="00EE1760">
        <w:rPr>
          <w:rFonts w:ascii="Arial" w:hAnsi="Arial" w:cs="Arial"/>
          <w:sz w:val="22"/>
          <w:szCs w:val="22"/>
          <w:lang w:val="en-US"/>
        </w:rPr>
        <w:t>mutation</w:t>
      </w:r>
      <w:r w:rsidR="003D47DC">
        <w:rPr>
          <w:rFonts w:ascii="Arial" w:hAnsi="Arial" w:cs="Arial"/>
          <w:sz w:val="22"/>
          <w:szCs w:val="22"/>
          <w:lang w:val="en-US"/>
        </w:rPr>
        <w:t xml:space="preserve"> (neratinib</w:t>
      </w:r>
      <w:r w:rsidR="00DD5C15">
        <w:rPr>
          <w:rFonts w:ascii="Arial" w:hAnsi="Arial" w:cs="Arial"/>
          <w:sz w:val="22"/>
          <w:szCs w:val="22"/>
          <w:lang w:val="en-US"/>
        </w:rPr>
        <w:t xml:space="preserve"> – 240m</w:t>
      </w:r>
      <w:r w:rsidR="00F85D18">
        <w:rPr>
          <w:rFonts w:ascii="Arial" w:hAnsi="Arial" w:cs="Arial"/>
          <w:sz w:val="22"/>
          <w:szCs w:val="22"/>
          <w:lang w:val="en-US"/>
        </w:rPr>
        <w:t>g orally QD</w:t>
      </w:r>
      <w:r w:rsidR="006F6C2B">
        <w:rPr>
          <w:rFonts w:ascii="Arial" w:hAnsi="Arial" w:cs="Arial"/>
          <w:sz w:val="22"/>
          <w:szCs w:val="22"/>
          <w:lang w:val="en-US"/>
        </w:rPr>
        <w:t xml:space="preserve"> </w:t>
      </w:r>
      <w:r w:rsidR="00DD5C15">
        <w:rPr>
          <w:rFonts w:ascii="Arial" w:hAnsi="Arial" w:cs="Arial"/>
          <w:sz w:val="22"/>
          <w:szCs w:val="22"/>
          <w:lang w:val="en-US"/>
        </w:rPr>
        <w:t>– and if ER-positive with</w:t>
      </w:r>
      <w:r w:rsidR="00675273">
        <w:rPr>
          <w:rFonts w:ascii="Arial" w:hAnsi="Arial" w:cs="Arial"/>
          <w:sz w:val="22"/>
          <w:szCs w:val="22"/>
          <w:lang w:val="en-US"/>
        </w:rPr>
        <w:t xml:space="preserve"> standard dose</w:t>
      </w:r>
      <w:r w:rsidR="00DD5C15">
        <w:rPr>
          <w:rFonts w:ascii="Arial" w:hAnsi="Arial" w:cs="Arial"/>
          <w:sz w:val="22"/>
          <w:szCs w:val="22"/>
          <w:lang w:val="en-US"/>
        </w:rPr>
        <w:t xml:space="preserve"> fulvestrant 500mg</w:t>
      </w:r>
      <w:r w:rsidR="00DD5C15" w:rsidRPr="00DD5C15">
        <w:rPr>
          <w:rFonts w:ascii="Arial" w:hAnsi="Arial" w:cs="Arial"/>
          <w:sz w:val="22"/>
          <w:szCs w:val="22"/>
          <w:lang w:val="en-US"/>
        </w:rPr>
        <w:t xml:space="preserve"> </w:t>
      </w:r>
      <w:r w:rsidR="00DD5C15">
        <w:rPr>
          <w:rFonts w:ascii="Arial" w:hAnsi="Arial" w:cs="Arial"/>
          <w:sz w:val="22"/>
          <w:szCs w:val="22"/>
          <w:lang w:val="en-US"/>
        </w:rPr>
        <w:t xml:space="preserve">IM </w:t>
      </w:r>
      <w:r w:rsidR="00DD5C15" w:rsidRPr="008C7FCA">
        <w:rPr>
          <w:rFonts w:ascii="Arial" w:hAnsi="Arial" w:cs="Arial"/>
          <w:sz w:val="22"/>
          <w:szCs w:val="22"/>
          <w:lang w:val="en-US"/>
        </w:rPr>
        <w:t>on Cycle 1 D</w:t>
      </w:r>
      <w:r w:rsidR="00DD5C15">
        <w:rPr>
          <w:rFonts w:ascii="Arial" w:hAnsi="Arial" w:cs="Arial"/>
          <w:sz w:val="22"/>
          <w:szCs w:val="22"/>
          <w:lang w:val="en-US"/>
        </w:rPr>
        <w:t xml:space="preserve">ay 1 </w:t>
      </w:r>
      <w:r w:rsidR="00DD5C15" w:rsidRPr="008C7FCA">
        <w:rPr>
          <w:rFonts w:ascii="Arial" w:hAnsi="Arial" w:cs="Arial"/>
          <w:sz w:val="22"/>
          <w:szCs w:val="22"/>
          <w:lang w:val="en-US"/>
        </w:rPr>
        <w:t xml:space="preserve">and 15 and Cycle 2 onwards Day 1 </w:t>
      </w:r>
      <w:r w:rsidR="00DD5C15">
        <w:rPr>
          <w:rFonts w:ascii="Arial" w:hAnsi="Arial" w:cs="Arial"/>
          <w:sz w:val="22"/>
          <w:szCs w:val="22"/>
          <w:lang w:val="en-US"/>
        </w:rPr>
        <w:t>on a 28-day cycle)</w:t>
      </w:r>
      <w:r w:rsidRPr="00EE1760">
        <w:rPr>
          <w:rFonts w:ascii="Arial" w:hAnsi="Arial" w:cs="Arial"/>
          <w:sz w:val="22"/>
          <w:szCs w:val="22"/>
          <w:lang w:val="en-US"/>
        </w:rPr>
        <w:t>, C:</w:t>
      </w:r>
      <w:r w:rsidRPr="004256A3">
        <w:rPr>
          <w:rFonts w:ascii="Arial" w:hAnsi="Arial" w:cs="Arial"/>
          <w:i/>
          <w:sz w:val="22"/>
          <w:szCs w:val="22"/>
          <w:lang w:val="en-US"/>
        </w:rPr>
        <w:t>AKT1</w:t>
      </w:r>
      <w:r w:rsidRPr="00EE1760">
        <w:rPr>
          <w:rFonts w:ascii="Arial" w:hAnsi="Arial" w:cs="Arial"/>
          <w:sz w:val="22"/>
          <w:szCs w:val="22"/>
          <w:lang w:val="en-US"/>
        </w:rPr>
        <w:t xml:space="preserve"> </w:t>
      </w:r>
      <w:r w:rsidR="00A87C84" w:rsidRPr="00EE1760">
        <w:rPr>
          <w:rFonts w:ascii="Arial" w:hAnsi="Arial" w:cs="Arial"/>
          <w:sz w:val="22"/>
          <w:szCs w:val="22"/>
          <w:lang w:val="en-US"/>
        </w:rPr>
        <w:t xml:space="preserve">mutation </w:t>
      </w:r>
      <w:r w:rsidR="00AC71D6" w:rsidRPr="00EE1760">
        <w:rPr>
          <w:rFonts w:ascii="Arial" w:hAnsi="Arial" w:cs="Arial"/>
          <w:sz w:val="22"/>
          <w:szCs w:val="22"/>
          <w:lang w:val="en-US"/>
        </w:rPr>
        <w:t>(</w:t>
      </w:r>
      <w:r w:rsidRPr="00EE1760">
        <w:rPr>
          <w:rFonts w:ascii="Arial" w:hAnsi="Arial" w:cs="Arial"/>
          <w:sz w:val="22"/>
          <w:szCs w:val="22"/>
          <w:lang w:val="en-US"/>
        </w:rPr>
        <w:t>ER</w:t>
      </w:r>
      <w:r w:rsidR="00F82F8B" w:rsidRPr="00EE1760">
        <w:rPr>
          <w:rFonts w:ascii="Arial" w:hAnsi="Arial" w:cs="Arial"/>
          <w:sz w:val="22"/>
          <w:szCs w:val="22"/>
          <w:lang w:val="en-US"/>
        </w:rPr>
        <w:t>-</w:t>
      </w:r>
      <w:r w:rsidRPr="00EE1760">
        <w:rPr>
          <w:rFonts w:ascii="Arial" w:hAnsi="Arial" w:cs="Arial"/>
          <w:sz w:val="22"/>
          <w:szCs w:val="22"/>
          <w:lang w:val="en-US"/>
        </w:rPr>
        <w:t>positive</w:t>
      </w:r>
      <w:r w:rsidR="00382DB9" w:rsidRPr="00EE1760">
        <w:rPr>
          <w:rFonts w:ascii="Arial" w:hAnsi="Arial" w:cs="Arial"/>
          <w:sz w:val="22"/>
          <w:szCs w:val="22"/>
          <w:lang w:val="en-US"/>
        </w:rPr>
        <w:t xml:space="preserve"> cancer</w:t>
      </w:r>
      <w:r w:rsidR="00F85D18">
        <w:rPr>
          <w:rFonts w:ascii="Arial" w:hAnsi="Arial" w:cs="Arial"/>
          <w:sz w:val="22"/>
          <w:szCs w:val="22"/>
          <w:lang w:val="en-US"/>
        </w:rPr>
        <w:t xml:space="preserve"> –capivasertib 400mg orally BID </w:t>
      </w:r>
      <w:r w:rsidR="00675273" w:rsidRPr="008C7FCA">
        <w:rPr>
          <w:rFonts w:ascii="Arial" w:hAnsi="Arial" w:cs="Arial"/>
          <w:sz w:val="22"/>
          <w:szCs w:val="22"/>
          <w:lang w:val="en-US"/>
        </w:rPr>
        <w:t>4 days on</w:t>
      </w:r>
      <w:r w:rsidR="004D75CD">
        <w:rPr>
          <w:rFonts w:ascii="Arial" w:hAnsi="Arial" w:cs="Arial"/>
          <w:sz w:val="22"/>
          <w:szCs w:val="22"/>
          <w:lang w:val="en-US"/>
        </w:rPr>
        <w:t xml:space="preserve"> /</w:t>
      </w:r>
      <w:r w:rsidR="00675273" w:rsidRPr="008C7FCA">
        <w:rPr>
          <w:rFonts w:ascii="Arial" w:hAnsi="Arial" w:cs="Arial"/>
          <w:sz w:val="22"/>
          <w:szCs w:val="22"/>
          <w:lang w:val="en-US"/>
        </w:rPr>
        <w:t xml:space="preserve"> 3 days off</w:t>
      </w:r>
      <w:r w:rsidR="004D75CD">
        <w:rPr>
          <w:rFonts w:ascii="Arial" w:hAnsi="Arial" w:cs="Arial"/>
          <w:sz w:val="22"/>
          <w:szCs w:val="22"/>
          <w:lang w:val="en-US"/>
        </w:rPr>
        <w:t xml:space="preserve"> </w:t>
      </w:r>
      <w:r w:rsidR="00675273">
        <w:rPr>
          <w:rFonts w:ascii="Arial" w:hAnsi="Arial" w:cs="Arial"/>
          <w:sz w:val="22"/>
          <w:szCs w:val="22"/>
          <w:lang w:val="en-US"/>
        </w:rPr>
        <w:t>on a 28-day cycle</w:t>
      </w:r>
      <w:r w:rsidR="00675273" w:rsidRPr="008C7FCA">
        <w:rPr>
          <w:rFonts w:ascii="Arial" w:hAnsi="Arial" w:cs="Arial"/>
          <w:sz w:val="22"/>
          <w:szCs w:val="22"/>
          <w:lang w:val="en-US"/>
        </w:rPr>
        <w:t xml:space="preserve"> with</w:t>
      </w:r>
      <w:r w:rsidR="00675273">
        <w:rPr>
          <w:rFonts w:ascii="Arial" w:hAnsi="Arial" w:cs="Arial"/>
          <w:sz w:val="22"/>
          <w:szCs w:val="22"/>
          <w:lang w:val="en-US"/>
        </w:rPr>
        <w:t xml:space="preserve"> standard</w:t>
      </w:r>
      <w:r w:rsidR="00675273" w:rsidRPr="008C7FCA">
        <w:rPr>
          <w:rFonts w:ascii="Arial" w:hAnsi="Arial" w:cs="Arial"/>
          <w:sz w:val="22"/>
          <w:szCs w:val="22"/>
          <w:lang w:val="en-US"/>
        </w:rPr>
        <w:t xml:space="preserve"> </w:t>
      </w:r>
      <w:r w:rsidR="00675273">
        <w:rPr>
          <w:rFonts w:ascii="Arial" w:hAnsi="Arial" w:cs="Arial"/>
          <w:sz w:val="22"/>
          <w:szCs w:val="22"/>
          <w:lang w:val="en-US"/>
        </w:rPr>
        <w:t xml:space="preserve">dosing </w:t>
      </w:r>
      <w:r w:rsidR="00675273" w:rsidRPr="008C7FCA">
        <w:rPr>
          <w:rFonts w:ascii="Arial" w:hAnsi="Arial" w:cs="Arial"/>
          <w:sz w:val="22"/>
          <w:szCs w:val="22"/>
          <w:lang w:val="en-US"/>
        </w:rPr>
        <w:t>fulvestrant</w:t>
      </w:r>
      <w:r w:rsidR="00AC71D6" w:rsidRPr="00EE1760">
        <w:rPr>
          <w:rFonts w:ascii="Arial" w:hAnsi="Arial" w:cs="Arial"/>
          <w:sz w:val="22"/>
          <w:szCs w:val="22"/>
          <w:lang w:val="en-US"/>
        </w:rPr>
        <w:t>)</w:t>
      </w:r>
      <w:r w:rsidRPr="00EE1760">
        <w:rPr>
          <w:rFonts w:ascii="Arial" w:hAnsi="Arial" w:cs="Arial"/>
          <w:sz w:val="22"/>
          <w:szCs w:val="22"/>
          <w:lang w:val="en-US"/>
        </w:rPr>
        <w:t xml:space="preserve">, </w:t>
      </w:r>
      <w:r w:rsidRPr="008C7FCA">
        <w:rPr>
          <w:rFonts w:ascii="Arial" w:hAnsi="Arial" w:cs="Arial"/>
          <w:sz w:val="22"/>
          <w:szCs w:val="22"/>
          <w:lang w:val="en-US"/>
        </w:rPr>
        <w:t>ctDNA testing was conducted with digital PCR</w:t>
      </w:r>
      <w:r w:rsidR="005D3DAB">
        <w:rPr>
          <w:rFonts w:ascii="Arial" w:hAnsi="Arial" w:cs="Arial"/>
          <w:sz w:val="22"/>
          <w:szCs w:val="22"/>
          <w:lang w:val="en-US"/>
        </w:rPr>
        <w:t xml:space="preserve"> </w:t>
      </w:r>
      <w:r w:rsidRPr="008C7FCA">
        <w:rPr>
          <w:rFonts w:ascii="Arial" w:hAnsi="Arial" w:cs="Arial"/>
          <w:sz w:val="22"/>
          <w:szCs w:val="22"/>
          <w:lang w:val="en-US"/>
        </w:rPr>
        <w:t xml:space="preserve">and </w:t>
      </w:r>
      <w:r w:rsidR="005D3DAB">
        <w:rPr>
          <w:rFonts w:ascii="Arial" w:hAnsi="Arial" w:cs="Arial"/>
          <w:sz w:val="22"/>
          <w:szCs w:val="22"/>
          <w:lang w:val="en-US"/>
        </w:rPr>
        <w:t xml:space="preserve">error-corrected </w:t>
      </w:r>
      <w:r w:rsidRPr="008C7FCA">
        <w:rPr>
          <w:rFonts w:ascii="Arial" w:hAnsi="Arial" w:cs="Arial"/>
          <w:sz w:val="22"/>
          <w:szCs w:val="22"/>
          <w:lang w:val="en-US"/>
        </w:rPr>
        <w:t xml:space="preserve">targeted sequencing. </w:t>
      </w:r>
      <w:r w:rsidR="005D3DAB" w:rsidRPr="006673A3">
        <w:rPr>
          <w:rFonts w:ascii="Arial" w:hAnsi="Arial" w:cs="Arial"/>
          <w:sz w:val="22"/>
          <w:szCs w:val="22"/>
          <w:lang w:val="en-US"/>
        </w:rPr>
        <w:t xml:space="preserve">Tumour sequencing from an advanced disease biopsy was conducted retrospectively, not influencing cohort entry. </w:t>
      </w:r>
      <w:r w:rsidR="00E959B7">
        <w:rPr>
          <w:rFonts w:ascii="Arial" w:hAnsi="Arial" w:cs="Arial"/>
          <w:sz w:val="22"/>
          <w:szCs w:val="22"/>
          <w:lang w:val="en-US"/>
        </w:rPr>
        <w:t xml:space="preserve">Cohort </w:t>
      </w:r>
      <w:r w:rsidR="00E959B7" w:rsidRPr="00EE1760">
        <w:rPr>
          <w:rFonts w:ascii="Arial" w:hAnsi="Arial" w:cs="Arial"/>
          <w:sz w:val="22"/>
          <w:szCs w:val="22"/>
          <w:lang w:val="en-US"/>
        </w:rPr>
        <w:t>D</w:t>
      </w:r>
      <w:r w:rsidR="00E959B7">
        <w:rPr>
          <w:rFonts w:ascii="Arial" w:hAnsi="Arial" w:cs="Arial"/>
          <w:sz w:val="22"/>
          <w:szCs w:val="22"/>
          <w:lang w:val="en-US"/>
        </w:rPr>
        <w:t xml:space="preserve"> was an </w:t>
      </w:r>
      <w:r w:rsidR="00E959B7" w:rsidRPr="004256A3">
        <w:rPr>
          <w:rFonts w:ascii="Arial" w:hAnsi="Arial" w:cs="Arial"/>
          <w:i/>
          <w:sz w:val="22"/>
          <w:szCs w:val="22"/>
          <w:lang w:val="en-US"/>
        </w:rPr>
        <w:t>AKT</w:t>
      </w:r>
      <w:r w:rsidR="00E959B7" w:rsidRPr="00EE1760">
        <w:rPr>
          <w:rFonts w:ascii="Arial" w:hAnsi="Arial" w:cs="Arial"/>
          <w:sz w:val="22"/>
          <w:szCs w:val="22"/>
          <w:lang w:val="en-US"/>
        </w:rPr>
        <w:t xml:space="preserve"> activation basket (</w:t>
      </w:r>
      <w:r w:rsidR="00E959B7" w:rsidRPr="004256A3">
        <w:rPr>
          <w:rFonts w:ascii="Arial" w:hAnsi="Arial" w:cs="Arial"/>
          <w:i/>
          <w:sz w:val="22"/>
          <w:szCs w:val="22"/>
          <w:lang w:val="en-US"/>
        </w:rPr>
        <w:t>AKT1</w:t>
      </w:r>
      <w:r w:rsidR="00E959B7" w:rsidRPr="00EE1760">
        <w:rPr>
          <w:rFonts w:ascii="Arial" w:hAnsi="Arial" w:cs="Arial"/>
          <w:sz w:val="22"/>
          <w:szCs w:val="22"/>
          <w:lang w:val="en-US"/>
        </w:rPr>
        <w:t xml:space="preserve"> mutation ER-negative cancer or </w:t>
      </w:r>
      <w:r w:rsidR="00E959B7" w:rsidRPr="004256A3">
        <w:rPr>
          <w:rFonts w:ascii="Arial" w:hAnsi="Arial" w:cs="Arial"/>
          <w:i/>
          <w:sz w:val="22"/>
          <w:szCs w:val="22"/>
          <w:lang w:val="en-US"/>
        </w:rPr>
        <w:t>PTEN</w:t>
      </w:r>
      <w:r w:rsidR="00E959B7" w:rsidRPr="008C7FCA">
        <w:rPr>
          <w:rFonts w:ascii="Arial" w:hAnsi="Arial" w:cs="Arial"/>
          <w:sz w:val="22"/>
          <w:szCs w:val="22"/>
          <w:lang w:val="en-US"/>
        </w:rPr>
        <w:t xml:space="preserve"> mutation</w:t>
      </w:r>
      <w:r w:rsidR="00E959B7">
        <w:rPr>
          <w:rFonts w:ascii="Arial" w:hAnsi="Arial" w:cs="Arial"/>
          <w:sz w:val="22"/>
          <w:szCs w:val="22"/>
          <w:lang w:val="en-US"/>
        </w:rPr>
        <w:t xml:space="preserve"> –capivasertib 480mg orally BID </w:t>
      </w:r>
      <w:r w:rsidR="00E959B7" w:rsidRPr="008C7FCA">
        <w:rPr>
          <w:rFonts w:ascii="Arial" w:hAnsi="Arial" w:cs="Arial"/>
          <w:sz w:val="22"/>
          <w:szCs w:val="22"/>
          <w:lang w:val="en-US"/>
        </w:rPr>
        <w:t>4 days on</w:t>
      </w:r>
      <w:r w:rsidR="004D75CD">
        <w:rPr>
          <w:rFonts w:ascii="Arial" w:hAnsi="Arial" w:cs="Arial"/>
          <w:sz w:val="22"/>
          <w:szCs w:val="22"/>
          <w:lang w:val="en-US"/>
        </w:rPr>
        <w:t xml:space="preserve"> /</w:t>
      </w:r>
      <w:r w:rsidR="00E959B7" w:rsidRPr="008C7FCA">
        <w:rPr>
          <w:rFonts w:ascii="Arial" w:hAnsi="Arial" w:cs="Arial"/>
          <w:sz w:val="22"/>
          <w:szCs w:val="22"/>
          <w:lang w:val="en-US"/>
        </w:rPr>
        <w:t xml:space="preserve"> 3 days off </w:t>
      </w:r>
      <w:r w:rsidR="00E959B7">
        <w:rPr>
          <w:rFonts w:ascii="Arial" w:hAnsi="Arial" w:cs="Arial"/>
          <w:sz w:val="22"/>
          <w:szCs w:val="22"/>
          <w:lang w:val="en-US"/>
        </w:rPr>
        <w:t xml:space="preserve">on a 28-day cycle) that recruited both on the basis of ctDNA testing and </w:t>
      </w:r>
      <w:r w:rsidR="00037801">
        <w:rPr>
          <w:rFonts w:ascii="Arial" w:hAnsi="Arial" w:cs="Arial"/>
          <w:sz w:val="22"/>
          <w:szCs w:val="22"/>
          <w:lang w:val="en-US"/>
        </w:rPr>
        <w:t>external</w:t>
      </w:r>
      <w:r w:rsidR="00E959B7">
        <w:rPr>
          <w:rFonts w:ascii="Arial" w:hAnsi="Arial" w:cs="Arial"/>
          <w:sz w:val="22"/>
          <w:szCs w:val="22"/>
          <w:lang w:val="en-US"/>
        </w:rPr>
        <w:t xml:space="preserve"> tissue sequen</w:t>
      </w:r>
      <w:r w:rsidR="00872816">
        <w:rPr>
          <w:rFonts w:ascii="Arial" w:hAnsi="Arial" w:cs="Arial"/>
          <w:sz w:val="22"/>
          <w:szCs w:val="22"/>
          <w:lang w:val="en-US"/>
        </w:rPr>
        <w:t>c</w:t>
      </w:r>
      <w:r w:rsidR="00E959B7">
        <w:rPr>
          <w:rFonts w:ascii="Arial" w:hAnsi="Arial" w:cs="Arial"/>
          <w:sz w:val="22"/>
          <w:szCs w:val="22"/>
          <w:lang w:val="en-US"/>
        </w:rPr>
        <w:t>ing</w:t>
      </w:r>
      <w:r w:rsidR="00E959B7" w:rsidRPr="008C7FCA">
        <w:rPr>
          <w:rFonts w:ascii="Arial" w:hAnsi="Arial" w:cs="Arial"/>
          <w:sz w:val="22"/>
          <w:szCs w:val="22"/>
          <w:lang w:val="en-US"/>
        </w:rPr>
        <w:t>.</w:t>
      </w:r>
      <w:r w:rsidR="00E959B7">
        <w:rPr>
          <w:rFonts w:ascii="Arial" w:hAnsi="Arial" w:cs="Arial"/>
          <w:sz w:val="22"/>
          <w:szCs w:val="22"/>
          <w:lang w:val="en-US"/>
        </w:rPr>
        <w:t xml:space="preserve"> Treatments were given until progression.</w:t>
      </w:r>
      <w:r w:rsidR="00E959B7" w:rsidRPr="008C7FCA">
        <w:rPr>
          <w:rFonts w:ascii="Arial" w:hAnsi="Arial" w:cs="Arial"/>
          <w:sz w:val="22"/>
          <w:szCs w:val="22"/>
          <w:lang w:val="en-US"/>
        </w:rPr>
        <w:t xml:space="preserve"> </w:t>
      </w:r>
      <w:r w:rsidR="00A31DB0">
        <w:rPr>
          <w:rFonts w:ascii="Arial" w:hAnsi="Arial" w:cs="Arial"/>
          <w:sz w:val="22"/>
          <w:szCs w:val="22"/>
          <w:lang w:val="en-US"/>
        </w:rPr>
        <w:t>Each c</w:t>
      </w:r>
      <w:r w:rsidRPr="008C7FCA">
        <w:rPr>
          <w:rFonts w:ascii="Arial" w:hAnsi="Arial" w:cs="Arial"/>
          <w:sz w:val="22"/>
          <w:szCs w:val="22"/>
          <w:lang w:val="en-US"/>
        </w:rPr>
        <w:t>ohort</w:t>
      </w:r>
      <w:r w:rsidR="00BA1166" w:rsidRPr="008C7FCA">
        <w:rPr>
          <w:rFonts w:ascii="Arial" w:hAnsi="Arial" w:cs="Arial"/>
          <w:sz w:val="22"/>
          <w:szCs w:val="22"/>
          <w:lang w:val="en-US"/>
        </w:rPr>
        <w:t xml:space="preserve"> </w:t>
      </w:r>
      <w:r w:rsidRPr="008C7FCA">
        <w:rPr>
          <w:rFonts w:ascii="Arial" w:hAnsi="Arial" w:cs="Arial"/>
          <w:sz w:val="22"/>
          <w:szCs w:val="22"/>
          <w:lang w:val="en-US"/>
        </w:rPr>
        <w:t>had a phase II single</w:t>
      </w:r>
      <w:r w:rsidR="00BA1166" w:rsidRPr="008C7FCA">
        <w:rPr>
          <w:rFonts w:ascii="Arial" w:hAnsi="Arial" w:cs="Arial"/>
          <w:sz w:val="22"/>
          <w:szCs w:val="22"/>
          <w:lang w:val="en-US"/>
        </w:rPr>
        <w:t>-</w:t>
      </w:r>
      <w:r w:rsidRPr="008C7FCA">
        <w:rPr>
          <w:rFonts w:ascii="Arial" w:hAnsi="Arial" w:cs="Arial"/>
          <w:sz w:val="22"/>
          <w:szCs w:val="22"/>
          <w:lang w:val="en-US"/>
        </w:rPr>
        <w:t xml:space="preserve">arm design with primary endpoint </w:t>
      </w:r>
      <w:r w:rsidR="004C6F04" w:rsidRPr="008C7FCA">
        <w:rPr>
          <w:rFonts w:ascii="Arial" w:hAnsi="Arial" w:cs="Arial"/>
          <w:sz w:val="22"/>
          <w:szCs w:val="22"/>
          <w:lang w:val="en-US"/>
        </w:rPr>
        <w:t>of</w:t>
      </w:r>
      <w:r w:rsidR="00452DAF" w:rsidRPr="008C7FCA">
        <w:rPr>
          <w:rFonts w:ascii="Arial" w:hAnsi="Arial" w:cs="Arial"/>
          <w:sz w:val="22"/>
          <w:szCs w:val="22"/>
          <w:lang w:val="en-US"/>
        </w:rPr>
        <w:t xml:space="preserve"> </w:t>
      </w:r>
      <w:r w:rsidRPr="008C7FCA">
        <w:rPr>
          <w:rFonts w:ascii="Arial" w:hAnsi="Arial" w:cs="Arial"/>
          <w:sz w:val="22"/>
          <w:szCs w:val="22"/>
          <w:lang w:val="en-US"/>
        </w:rPr>
        <w:t>confirmed objective response rate</w:t>
      </w:r>
      <w:r w:rsidR="00317842">
        <w:rPr>
          <w:rFonts w:ascii="Arial" w:hAnsi="Arial" w:cs="Arial"/>
          <w:sz w:val="22"/>
          <w:szCs w:val="22"/>
          <w:lang w:val="en-US"/>
        </w:rPr>
        <w:t xml:space="preserve"> using</w:t>
      </w:r>
      <w:r w:rsidR="00317842" w:rsidRPr="00F03B2C">
        <w:rPr>
          <w:rFonts w:ascii="Arial" w:hAnsi="Arial" w:cs="Arial"/>
          <w:sz w:val="22"/>
          <w:szCs w:val="22"/>
          <w:lang w:val="en-US"/>
        </w:rPr>
        <w:t xml:space="preserve"> RECISTv1.1</w:t>
      </w:r>
      <w:r w:rsidR="00317842">
        <w:rPr>
          <w:rFonts w:ascii="Arial" w:hAnsi="Arial" w:cs="Arial"/>
          <w:sz w:val="22"/>
          <w:szCs w:val="22"/>
          <w:lang w:val="en-US"/>
        </w:rPr>
        <w:t xml:space="preserve"> in </w:t>
      </w:r>
      <w:r w:rsidR="0046425B">
        <w:rPr>
          <w:rFonts w:ascii="Arial" w:hAnsi="Arial" w:cs="Arial"/>
          <w:sz w:val="22"/>
          <w:szCs w:val="22"/>
          <w:lang w:val="en-US"/>
        </w:rPr>
        <w:t xml:space="preserve">an </w:t>
      </w:r>
      <w:r w:rsidR="00317842">
        <w:rPr>
          <w:rFonts w:ascii="Arial" w:hAnsi="Arial" w:cs="Arial"/>
          <w:sz w:val="22"/>
          <w:szCs w:val="22"/>
          <w:lang w:val="en-US"/>
        </w:rPr>
        <w:t>evaluable patient</w:t>
      </w:r>
      <w:r w:rsidR="0046425B">
        <w:rPr>
          <w:rFonts w:ascii="Arial" w:hAnsi="Arial" w:cs="Arial"/>
          <w:sz w:val="22"/>
          <w:szCs w:val="22"/>
          <w:lang w:val="en-US"/>
        </w:rPr>
        <w:t xml:space="preserve"> population (</w:t>
      </w:r>
      <w:r w:rsidR="0080740F" w:rsidRPr="0080740F">
        <w:rPr>
          <w:rFonts w:ascii="Arial" w:hAnsi="Arial" w:cs="Arial"/>
          <w:sz w:val="22"/>
          <w:szCs w:val="22"/>
          <w:lang w:val="en-US"/>
        </w:rPr>
        <w:t>patients with measurable disease as per RECIST at baseline and at least one on-treatment assessment</w:t>
      </w:r>
      <w:r w:rsidR="0080740F">
        <w:rPr>
          <w:rFonts w:ascii="Arial" w:hAnsi="Arial" w:cs="Arial"/>
          <w:sz w:val="22"/>
          <w:szCs w:val="22"/>
          <w:lang w:val="en-US"/>
        </w:rPr>
        <w:t>)</w:t>
      </w:r>
      <w:r w:rsidR="005E1252">
        <w:rPr>
          <w:rFonts w:ascii="Arial" w:hAnsi="Arial" w:cs="Arial"/>
          <w:sz w:val="22"/>
          <w:szCs w:val="22"/>
          <w:lang w:val="en-US"/>
        </w:rPr>
        <w:t>.</w:t>
      </w:r>
      <w:r w:rsidR="006673A3">
        <w:rPr>
          <w:rFonts w:ascii="Arial" w:hAnsi="Arial" w:cs="Arial"/>
          <w:sz w:val="22"/>
          <w:szCs w:val="22"/>
          <w:lang w:val="en-US"/>
        </w:rPr>
        <w:t xml:space="preserve"> </w:t>
      </w:r>
      <w:r w:rsidR="00CE161C" w:rsidRPr="00CE161C">
        <w:rPr>
          <w:rFonts w:ascii="Arial" w:hAnsi="Arial" w:cs="Arial"/>
          <w:sz w:val="22"/>
          <w:szCs w:val="22"/>
          <w:lang w:val="en-US"/>
        </w:rPr>
        <w:t>For Cohort A ≥13/78 responses were required to infer efficacy</w:t>
      </w:r>
      <w:r w:rsidR="00CE161C">
        <w:rPr>
          <w:rFonts w:ascii="Arial" w:hAnsi="Arial" w:cs="Arial"/>
          <w:sz w:val="22"/>
          <w:szCs w:val="22"/>
          <w:lang w:val="en-US"/>
        </w:rPr>
        <w:t xml:space="preserve"> and </w:t>
      </w:r>
      <w:r w:rsidR="00CE161C" w:rsidRPr="00CE161C">
        <w:rPr>
          <w:rFonts w:ascii="Arial" w:hAnsi="Arial" w:cs="Arial"/>
          <w:sz w:val="22"/>
          <w:szCs w:val="22"/>
          <w:lang w:val="en-US"/>
        </w:rPr>
        <w:t xml:space="preserve">similarly ≥3/16 </w:t>
      </w:r>
      <w:r w:rsidR="00CE161C">
        <w:rPr>
          <w:rFonts w:ascii="Arial" w:hAnsi="Arial" w:cs="Arial"/>
          <w:sz w:val="22"/>
          <w:szCs w:val="22"/>
          <w:lang w:val="en-US"/>
        </w:rPr>
        <w:t xml:space="preserve">responses </w:t>
      </w:r>
      <w:r w:rsidR="00CE161C" w:rsidRPr="00CE161C">
        <w:rPr>
          <w:rFonts w:ascii="Arial" w:hAnsi="Arial" w:cs="Arial"/>
          <w:sz w:val="22"/>
          <w:szCs w:val="22"/>
          <w:lang w:val="en-US"/>
        </w:rPr>
        <w:t>were required for Cohorts B-D.</w:t>
      </w:r>
      <w:r w:rsidR="0080740F">
        <w:rPr>
          <w:rFonts w:ascii="Arial" w:hAnsi="Arial" w:cs="Arial"/>
          <w:sz w:val="22"/>
          <w:szCs w:val="22"/>
          <w:lang w:val="en-US"/>
        </w:rPr>
        <w:t xml:space="preserve"> </w:t>
      </w:r>
      <w:r w:rsidR="00761AC7" w:rsidRPr="0080740F">
        <w:rPr>
          <w:rFonts w:ascii="Arial" w:hAnsi="Arial" w:cs="Arial"/>
          <w:sz w:val="22"/>
          <w:szCs w:val="22"/>
          <w:lang w:val="en-US"/>
        </w:rPr>
        <w:t>Recruitment</w:t>
      </w:r>
      <w:r w:rsidR="00761AC7">
        <w:rPr>
          <w:rFonts w:ascii="Arial" w:hAnsi="Arial" w:cs="Arial"/>
          <w:sz w:val="22"/>
          <w:szCs w:val="22"/>
          <w:lang w:val="en-US"/>
        </w:rPr>
        <w:t xml:space="preserve"> to cohorts A-D</w:t>
      </w:r>
      <w:r w:rsidR="00761AC7" w:rsidRPr="0080740F">
        <w:rPr>
          <w:rFonts w:ascii="Arial" w:hAnsi="Arial" w:cs="Arial"/>
          <w:sz w:val="22"/>
          <w:szCs w:val="22"/>
          <w:lang w:val="en-US"/>
        </w:rPr>
        <w:t xml:space="preserve"> is complete </w:t>
      </w:r>
      <w:r w:rsidR="00102E1E">
        <w:rPr>
          <w:rFonts w:ascii="Arial" w:hAnsi="Arial" w:cs="Arial"/>
          <w:sz w:val="22"/>
          <w:szCs w:val="22"/>
          <w:lang w:val="en-US"/>
        </w:rPr>
        <w:t>and long-term follow-up continues</w:t>
      </w:r>
      <w:r w:rsidR="00761AC7">
        <w:rPr>
          <w:rFonts w:ascii="Arial" w:hAnsi="Arial" w:cs="Arial"/>
          <w:sz w:val="22"/>
          <w:szCs w:val="22"/>
          <w:lang w:val="en-US"/>
        </w:rPr>
        <w:t xml:space="preserve">. </w:t>
      </w:r>
      <w:r w:rsidR="002B79ED">
        <w:rPr>
          <w:rFonts w:ascii="Arial" w:hAnsi="Arial" w:cs="Arial"/>
          <w:sz w:val="22"/>
          <w:szCs w:val="22"/>
          <w:lang w:val="en-US"/>
        </w:rPr>
        <w:t xml:space="preserve">Trial registration </w:t>
      </w:r>
      <w:r w:rsidR="00445C3E" w:rsidRPr="008C7FCA">
        <w:rPr>
          <w:rFonts w:ascii="Arial" w:hAnsi="Arial" w:cs="Arial"/>
          <w:sz w:val="22"/>
          <w:szCs w:val="22"/>
          <w:lang w:val="en-US"/>
        </w:rPr>
        <w:t>NCT03182634</w:t>
      </w:r>
      <w:r w:rsidR="0080740F" w:rsidRPr="0080740F">
        <w:rPr>
          <w:rFonts w:ascii="Arial" w:hAnsi="Arial" w:cs="Arial"/>
          <w:sz w:val="22"/>
          <w:szCs w:val="22"/>
          <w:lang w:val="en-US"/>
        </w:rPr>
        <w:t>; EudraCT20</w:t>
      </w:r>
      <w:r w:rsidR="00445C3E">
        <w:rPr>
          <w:rFonts w:ascii="Arial" w:hAnsi="Arial" w:cs="Arial"/>
          <w:sz w:val="22"/>
          <w:szCs w:val="22"/>
          <w:lang w:val="en-US"/>
        </w:rPr>
        <w:t>15-003735-36</w:t>
      </w:r>
      <w:r w:rsidR="0080740F" w:rsidRPr="0080740F">
        <w:rPr>
          <w:rFonts w:ascii="Arial" w:hAnsi="Arial" w:cs="Arial"/>
          <w:sz w:val="22"/>
          <w:szCs w:val="22"/>
          <w:lang w:val="en-US"/>
        </w:rPr>
        <w:t>; ISRCTN</w:t>
      </w:r>
      <w:r w:rsidR="00445C3E" w:rsidRPr="008C7FCA">
        <w:rPr>
          <w:rFonts w:ascii="Arial" w:hAnsi="Arial" w:cs="Arial"/>
          <w:sz w:val="22"/>
          <w:szCs w:val="22"/>
          <w:lang w:val="en-US"/>
        </w:rPr>
        <w:t>16945804</w:t>
      </w:r>
      <w:r w:rsidR="0080740F" w:rsidRPr="0080740F">
        <w:rPr>
          <w:rFonts w:ascii="Arial" w:hAnsi="Arial" w:cs="Arial"/>
          <w:sz w:val="22"/>
          <w:szCs w:val="22"/>
          <w:lang w:val="en-US"/>
        </w:rPr>
        <w:t xml:space="preserve">. </w:t>
      </w:r>
    </w:p>
    <w:p w14:paraId="7F6EA85A" w14:textId="77777777" w:rsidR="00342857" w:rsidRPr="008C7FCA" w:rsidRDefault="00342857" w:rsidP="00521F6D">
      <w:pPr>
        <w:jc w:val="both"/>
        <w:rPr>
          <w:rFonts w:ascii="Arial" w:hAnsi="Arial" w:cs="Arial"/>
          <w:sz w:val="22"/>
          <w:szCs w:val="22"/>
          <w:lang w:val="en-US"/>
        </w:rPr>
      </w:pPr>
    </w:p>
    <w:p w14:paraId="5573F154" w14:textId="77777777" w:rsidR="00921A9E" w:rsidRDefault="00921A9E" w:rsidP="00521F6D">
      <w:pPr>
        <w:jc w:val="both"/>
        <w:rPr>
          <w:rFonts w:ascii="Arial" w:hAnsi="Arial" w:cs="Arial"/>
          <w:sz w:val="22"/>
          <w:szCs w:val="22"/>
          <w:lang w:val="en-US"/>
        </w:rPr>
      </w:pPr>
    </w:p>
    <w:p w14:paraId="533D6FD8" w14:textId="54978FC9" w:rsidR="00342857" w:rsidRPr="008C7FCA" w:rsidRDefault="00E35DF8" w:rsidP="00521F6D">
      <w:pPr>
        <w:jc w:val="both"/>
        <w:rPr>
          <w:rFonts w:ascii="Arial" w:hAnsi="Arial" w:cs="Arial"/>
          <w:sz w:val="22"/>
          <w:szCs w:val="22"/>
          <w:lang w:val="en-US"/>
        </w:rPr>
      </w:pPr>
      <w:r>
        <w:rPr>
          <w:rFonts w:ascii="Arial" w:hAnsi="Arial" w:cs="Arial"/>
          <w:sz w:val="22"/>
          <w:szCs w:val="22"/>
          <w:lang w:val="en-US"/>
        </w:rPr>
        <w:lastRenderedPageBreak/>
        <w:t>Findings</w:t>
      </w:r>
    </w:p>
    <w:p w14:paraId="76F881B7" w14:textId="1D60AE48" w:rsidR="00342857" w:rsidRPr="008C7FCA" w:rsidRDefault="00CD0091" w:rsidP="00521F6D">
      <w:pPr>
        <w:jc w:val="both"/>
        <w:rPr>
          <w:rFonts w:ascii="Arial" w:hAnsi="Arial" w:cs="Arial"/>
          <w:sz w:val="22"/>
          <w:szCs w:val="22"/>
          <w:lang w:val="en-US"/>
        </w:rPr>
      </w:pPr>
      <w:r>
        <w:rPr>
          <w:rFonts w:ascii="Arial" w:hAnsi="Arial" w:cs="Arial"/>
          <w:sz w:val="22"/>
          <w:szCs w:val="22"/>
          <w:lang w:val="en-US"/>
        </w:rPr>
        <w:t xml:space="preserve">Between </w:t>
      </w:r>
      <w:r w:rsidRPr="008C7FCA">
        <w:rPr>
          <w:rFonts w:ascii="Arial" w:eastAsia="ScalaLancetPro" w:hAnsi="Arial" w:cs="Arial"/>
          <w:sz w:val="22"/>
          <w:szCs w:val="22"/>
          <w:lang w:val="en-US"/>
        </w:rPr>
        <w:t>December</w:t>
      </w:r>
      <w:r>
        <w:rPr>
          <w:rFonts w:ascii="Arial" w:eastAsia="ScalaLancetPro" w:hAnsi="Arial" w:cs="Arial"/>
          <w:sz w:val="22"/>
          <w:szCs w:val="22"/>
          <w:lang w:val="en-US"/>
        </w:rPr>
        <w:t xml:space="preserve"> 21, 2016 and </w:t>
      </w:r>
      <w:r w:rsidRPr="008C7FCA">
        <w:rPr>
          <w:rFonts w:ascii="Arial" w:eastAsia="ScalaLancetPro" w:hAnsi="Arial" w:cs="Arial"/>
          <w:sz w:val="22"/>
          <w:szCs w:val="22"/>
          <w:lang w:val="en-US"/>
        </w:rPr>
        <w:t>April</w:t>
      </w:r>
      <w:r>
        <w:rPr>
          <w:rFonts w:ascii="Arial" w:eastAsia="ScalaLancetPro" w:hAnsi="Arial" w:cs="Arial"/>
          <w:sz w:val="22"/>
          <w:szCs w:val="22"/>
          <w:lang w:val="en-US"/>
        </w:rPr>
        <w:t xml:space="preserve"> 26,</w:t>
      </w:r>
      <w:r w:rsidRPr="008C7FCA">
        <w:rPr>
          <w:rFonts w:ascii="Arial" w:eastAsia="ScalaLancetPro" w:hAnsi="Arial" w:cs="Arial"/>
          <w:sz w:val="22"/>
          <w:szCs w:val="22"/>
          <w:lang w:val="en-US"/>
        </w:rPr>
        <w:t xml:space="preserve"> 2019</w:t>
      </w:r>
      <w:r>
        <w:rPr>
          <w:rFonts w:ascii="Arial" w:eastAsia="ScalaLancetPro" w:hAnsi="Arial" w:cs="Arial"/>
          <w:sz w:val="22"/>
          <w:szCs w:val="22"/>
          <w:lang w:val="en-US"/>
        </w:rPr>
        <w:t xml:space="preserve">, </w:t>
      </w:r>
      <w:r w:rsidR="00660EF0">
        <w:rPr>
          <w:rFonts w:ascii="Arial" w:hAnsi="Arial" w:cs="Arial"/>
          <w:sz w:val="22"/>
          <w:szCs w:val="22"/>
          <w:lang w:val="en-US"/>
        </w:rPr>
        <w:t>10</w:t>
      </w:r>
      <w:r w:rsidR="00F74F68">
        <w:rPr>
          <w:rFonts w:ascii="Arial" w:hAnsi="Arial" w:cs="Arial"/>
          <w:sz w:val="22"/>
          <w:szCs w:val="22"/>
          <w:lang w:val="en-US"/>
        </w:rPr>
        <w:t xml:space="preserve">51 </w:t>
      </w:r>
      <w:r w:rsidR="00B41AAF">
        <w:rPr>
          <w:rFonts w:ascii="Arial" w:hAnsi="Arial" w:cs="Arial"/>
          <w:sz w:val="22"/>
          <w:szCs w:val="22"/>
          <w:lang w:val="en-US"/>
        </w:rPr>
        <w:t>patients</w:t>
      </w:r>
      <w:r w:rsidR="007A5554">
        <w:rPr>
          <w:rFonts w:ascii="Arial" w:hAnsi="Arial" w:cs="Arial"/>
          <w:sz w:val="22"/>
          <w:szCs w:val="22"/>
          <w:lang w:val="en-US"/>
        </w:rPr>
        <w:t xml:space="preserve"> registered</w:t>
      </w:r>
      <w:r w:rsidR="00F74F68">
        <w:rPr>
          <w:rFonts w:ascii="Arial" w:hAnsi="Arial" w:cs="Arial"/>
          <w:sz w:val="22"/>
          <w:szCs w:val="22"/>
          <w:lang w:val="en-US"/>
        </w:rPr>
        <w:t>, with</w:t>
      </w:r>
      <w:r w:rsidR="007A5554">
        <w:rPr>
          <w:rFonts w:ascii="Arial" w:hAnsi="Arial" w:cs="Arial"/>
          <w:sz w:val="22"/>
          <w:szCs w:val="22"/>
          <w:lang w:val="en-US"/>
        </w:rPr>
        <w:t xml:space="preserve"> </w:t>
      </w:r>
      <w:r w:rsidR="00342857" w:rsidRPr="008C7FCA">
        <w:rPr>
          <w:rFonts w:ascii="Arial" w:hAnsi="Arial" w:cs="Arial"/>
          <w:sz w:val="22"/>
          <w:szCs w:val="22"/>
          <w:lang w:val="en-US"/>
        </w:rPr>
        <w:t xml:space="preserve">ctDNA </w:t>
      </w:r>
      <w:r w:rsidR="00880C78" w:rsidRPr="008C7FCA">
        <w:rPr>
          <w:rFonts w:ascii="Arial" w:hAnsi="Arial" w:cs="Arial"/>
          <w:sz w:val="22"/>
          <w:szCs w:val="22"/>
          <w:lang w:val="en-US"/>
        </w:rPr>
        <w:t>testing</w:t>
      </w:r>
      <w:r w:rsidR="002B395F">
        <w:rPr>
          <w:rFonts w:ascii="Arial" w:hAnsi="Arial" w:cs="Arial"/>
          <w:sz w:val="22"/>
          <w:szCs w:val="22"/>
          <w:lang w:val="en-US"/>
        </w:rPr>
        <w:t xml:space="preserve"> </w:t>
      </w:r>
      <w:r w:rsidR="00342857" w:rsidRPr="008C7FCA">
        <w:rPr>
          <w:rFonts w:ascii="Arial" w:hAnsi="Arial" w:cs="Arial"/>
          <w:sz w:val="22"/>
          <w:szCs w:val="22"/>
          <w:lang w:val="en-US"/>
        </w:rPr>
        <w:t xml:space="preserve">results </w:t>
      </w:r>
      <w:r w:rsidR="00C538AF">
        <w:rPr>
          <w:rFonts w:ascii="Arial" w:hAnsi="Arial" w:cs="Arial"/>
          <w:sz w:val="22"/>
          <w:szCs w:val="22"/>
          <w:lang w:val="en-US"/>
        </w:rPr>
        <w:t>available</w:t>
      </w:r>
      <w:r w:rsidR="007E3DB6" w:rsidRPr="008C7FCA">
        <w:rPr>
          <w:rFonts w:ascii="Arial" w:hAnsi="Arial" w:cs="Arial"/>
          <w:sz w:val="22"/>
          <w:szCs w:val="22"/>
          <w:lang w:val="en-US"/>
        </w:rPr>
        <w:t xml:space="preserve"> </w:t>
      </w:r>
      <w:r w:rsidR="00342857" w:rsidRPr="008C7FCA">
        <w:rPr>
          <w:rFonts w:ascii="Arial" w:hAnsi="Arial" w:cs="Arial"/>
          <w:sz w:val="22"/>
          <w:szCs w:val="22"/>
          <w:lang w:val="en-US"/>
        </w:rPr>
        <w:t>for 103</w:t>
      </w:r>
      <w:r w:rsidR="006E4779">
        <w:rPr>
          <w:rFonts w:ascii="Arial" w:hAnsi="Arial" w:cs="Arial"/>
          <w:sz w:val="22"/>
          <w:szCs w:val="22"/>
          <w:lang w:val="en-US"/>
        </w:rPr>
        <w:t>4</w:t>
      </w:r>
      <w:r w:rsidR="00342857" w:rsidRPr="008C7FCA">
        <w:rPr>
          <w:rFonts w:ascii="Arial" w:hAnsi="Arial" w:cs="Arial"/>
          <w:sz w:val="22"/>
          <w:szCs w:val="22"/>
          <w:lang w:val="en-US"/>
        </w:rPr>
        <w:t xml:space="preserve"> </w:t>
      </w:r>
      <w:r w:rsidR="00333904">
        <w:rPr>
          <w:rFonts w:ascii="Arial" w:hAnsi="Arial" w:cs="Arial"/>
          <w:sz w:val="22"/>
          <w:szCs w:val="22"/>
          <w:lang w:val="en-US"/>
        </w:rPr>
        <w:t>patients</w:t>
      </w:r>
      <w:r w:rsidR="007E3DB6" w:rsidRPr="008C7FCA">
        <w:rPr>
          <w:rFonts w:ascii="Arial" w:hAnsi="Arial" w:cs="Arial"/>
          <w:sz w:val="22"/>
          <w:szCs w:val="22"/>
          <w:lang w:val="en-US"/>
        </w:rPr>
        <w:t>.</w:t>
      </w:r>
      <w:r w:rsidR="00342857" w:rsidRPr="008C7FCA">
        <w:rPr>
          <w:rFonts w:ascii="Arial" w:hAnsi="Arial" w:cs="Arial"/>
          <w:sz w:val="22"/>
          <w:szCs w:val="22"/>
          <w:lang w:val="en-US"/>
        </w:rPr>
        <w:t xml:space="preserve"> Agreement between </w:t>
      </w:r>
      <w:r w:rsidR="005D7670">
        <w:rPr>
          <w:rFonts w:ascii="Arial" w:hAnsi="Arial" w:cs="Arial"/>
          <w:sz w:val="22"/>
          <w:szCs w:val="22"/>
          <w:lang w:val="en-US"/>
        </w:rPr>
        <w:t xml:space="preserve">ctDNA </w:t>
      </w:r>
      <w:r w:rsidR="00342857" w:rsidRPr="008C7FCA">
        <w:rPr>
          <w:rFonts w:ascii="Arial" w:hAnsi="Arial" w:cs="Arial"/>
          <w:sz w:val="22"/>
          <w:szCs w:val="22"/>
          <w:lang w:val="en-US"/>
        </w:rPr>
        <w:t xml:space="preserve">digital PCR and </w:t>
      </w:r>
      <w:r w:rsidR="005D7670">
        <w:rPr>
          <w:rFonts w:ascii="Arial" w:hAnsi="Arial" w:cs="Arial"/>
          <w:sz w:val="22"/>
          <w:szCs w:val="22"/>
          <w:lang w:val="en-US"/>
        </w:rPr>
        <w:t xml:space="preserve">targeted </w:t>
      </w:r>
      <w:r w:rsidR="00342857" w:rsidRPr="008C7FCA">
        <w:rPr>
          <w:rFonts w:ascii="Arial" w:hAnsi="Arial" w:cs="Arial"/>
          <w:sz w:val="22"/>
          <w:szCs w:val="22"/>
          <w:lang w:val="en-US"/>
        </w:rPr>
        <w:t xml:space="preserve">sequencing was </w:t>
      </w:r>
      <w:r w:rsidR="00377E2C" w:rsidRPr="00DB6174">
        <w:rPr>
          <w:rFonts w:ascii="Arial" w:hAnsi="Arial" w:cs="Arial"/>
          <w:sz w:val="22"/>
          <w:szCs w:val="22"/>
          <w:lang w:val="en-US"/>
        </w:rPr>
        <w:t>9</w:t>
      </w:r>
      <w:r w:rsidR="00377E2C">
        <w:rPr>
          <w:rFonts w:ascii="Arial" w:hAnsi="Arial" w:cs="Arial"/>
          <w:sz w:val="22"/>
          <w:szCs w:val="22"/>
          <w:lang w:val="en-US"/>
        </w:rPr>
        <w:t>5.5</w:t>
      </w:r>
      <w:r w:rsidR="00377E2C" w:rsidRPr="008C7FCA">
        <w:rPr>
          <w:rFonts w:ascii="Arial" w:hAnsi="Arial" w:cs="Arial"/>
          <w:sz w:val="22"/>
          <w:szCs w:val="22"/>
          <w:lang w:val="en-US"/>
        </w:rPr>
        <w:t>%-99.4%</w:t>
      </w:r>
      <w:r w:rsidR="00342857" w:rsidRPr="008C7FCA">
        <w:rPr>
          <w:rFonts w:ascii="Arial" w:hAnsi="Arial" w:cs="Arial"/>
          <w:sz w:val="22"/>
          <w:szCs w:val="22"/>
          <w:lang w:val="en-US"/>
        </w:rPr>
        <w:t xml:space="preserve"> (</w:t>
      </w:r>
      <w:r w:rsidR="0072411C" w:rsidRPr="008C7FCA">
        <w:rPr>
          <w:rFonts w:ascii="Arial" w:hAnsi="Arial" w:cs="Arial"/>
          <w:sz w:val="22"/>
          <w:szCs w:val="22"/>
          <w:lang w:val="en-US"/>
        </w:rPr>
        <w:t xml:space="preserve">n=800, </w:t>
      </w:r>
      <w:r w:rsidR="00342857" w:rsidRPr="008C7FCA">
        <w:rPr>
          <w:rFonts w:ascii="Arial" w:hAnsi="Arial" w:cs="Arial"/>
          <w:sz w:val="22"/>
          <w:szCs w:val="22"/>
          <w:lang w:val="en-US"/>
        </w:rPr>
        <w:t>kappa 0.8</w:t>
      </w:r>
      <w:r w:rsidR="00AE638E">
        <w:rPr>
          <w:rFonts w:ascii="Arial" w:hAnsi="Arial" w:cs="Arial"/>
          <w:sz w:val="22"/>
          <w:szCs w:val="22"/>
          <w:lang w:val="en-US"/>
        </w:rPr>
        <w:t>9</w:t>
      </w:r>
      <w:r w:rsidR="00342857" w:rsidRPr="008C7FCA">
        <w:rPr>
          <w:rFonts w:ascii="Arial" w:hAnsi="Arial" w:cs="Arial"/>
          <w:sz w:val="22"/>
          <w:szCs w:val="22"/>
          <w:lang w:val="en-US"/>
        </w:rPr>
        <w:t>-0.93)</w:t>
      </w:r>
      <w:r w:rsidR="005D7670">
        <w:rPr>
          <w:rFonts w:ascii="Arial" w:hAnsi="Arial" w:cs="Arial"/>
          <w:sz w:val="22"/>
          <w:szCs w:val="22"/>
          <w:lang w:val="en-US"/>
        </w:rPr>
        <w:t>.</w:t>
      </w:r>
      <w:r w:rsidR="00880C78" w:rsidRPr="008C7FCA">
        <w:rPr>
          <w:rFonts w:ascii="Arial" w:hAnsi="Arial" w:cs="Arial"/>
          <w:sz w:val="22"/>
          <w:szCs w:val="22"/>
          <w:lang w:val="en-US"/>
        </w:rPr>
        <w:t xml:space="preserve"> </w:t>
      </w:r>
      <w:r w:rsidR="005D7670">
        <w:rPr>
          <w:rFonts w:ascii="Arial" w:hAnsi="Arial" w:cs="Arial"/>
          <w:sz w:val="22"/>
          <w:szCs w:val="22"/>
          <w:lang w:val="en-US"/>
        </w:rPr>
        <w:t xml:space="preserve">ctDNA testing had </w:t>
      </w:r>
      <w:r w:rsidR="00880C78" w:rsidRPr="008C7FCA">
        <w:rPr>
          <w:rFonts w:ascii="Arial" w:hAnsi="Arial" w:cs="Arial"/>
          <w:sz w:val="22"/>
          <w:szCs w:val="22"/>
          <w:lang w:val="en-US"/>
        </w:rPr>
        <w:t xml:space="preserve">93-98% </w:t>
      </w:r>
      <w:r w:rsidR="00AD11A4">
        <w:rPr>
          <w:rFonts w:ascii="Arial" w:hAnsi="Arial" w:cs="Arial"/>
          <w:sz w:val="22"/>
          <w:szCs w:val="22"/>
          <w:lang w:val="en-US"/>
        </w:rPr>
        <w:t xml:space="preserve">sensitivity </w:t>
      </w:r>
      <w:r w:rsidR="0096200A">
        <w:rPr>
          <w:rFonts w:ascii="Arial" w:hAnsi="Arial" w:cs="Arial"/>
          <w:sz w:val="22"/>
          <w:szCs w:val="22"/>
          <w:lang w:val="en-US"/>
        </w:rPr>
        <w:t>for</w:t>
      </w:r>
      <w:r w:rsidR="00AD11A4">
        <w:rPr>
          <w:rFonts w:ascii="Arial" w:hAnsi="Arial" w:cs="Arial"/>
          <w:sz w:val="22"/>
          <w:szCs w:val="22"/>
          <w:lang w:val="en-US"/>
        </w:rPr>
        <w:t xml:space="preserve"> </w:t>
      </w:r>
      <w:r w:rsidR="005D7670">
        <w:rPr>
          <w:rFonts w:ascii="Arial" w:hAnsi="Arial" w:cs="Arial"/>
          <w:sz w:val="22"/>
          <w:szCs w:val="22"/>
          <w:lang w:val="en-US"/>
        </w:rPr>
        <w:t>mutations identified in</w:t>
      </w:r>
      <w:r w:rsidR="00660EF0">
        <w:rPr>
          <w:rFonts w:ascii="Arial" w:hAnsi="Arial" w:cs="Arial"/>
          <w:sz w:val="22"/>
          <w:szCs w:val="22"/>
          <w:lang w:val="en-US"/>
        </w:rPr>
        <w:t xml:space="preserve"> tissue </w:t>
      </w:r>
      <w:r w:rsidR="005D7670">
        <w:rPr>
          <w:rFonts w:ascii="Arial" w:hAnsi="Arial" w:cs="Arial"/>
          <w:sz w:val="22"/>
          <w:szCs w:val="22"/>
          <w:lang w:val="en-US"/>
        </w:rPr>
        <w:t>sequencing</w:t>
      </w:r>
      <w:r w:rsidR="00460E97">
        <w:rPr>
          <w:rFonts w:ascii="Arial" w:hAnsi="Arial" w:cs="Arial"/>
          <w:sz w:val="22"/>
          <w:szCs w:val="22"/>
          <w:lang w:val="en-US"/>
        </w:rPr>
        <w:t>.</w:t>
      </w:r>
      <w:r w:rsidR="005D7670" w:rsidRPr="005D7670">
        <w:rPr>
          <w:rFonts w:ascii="Arial" w:hAnsi="Arial" w:cs="Arial"/>
          <w:sz w:val="22"/>
          <w:szCs w:val="22"/>
          <w:lang w:val="en-US"/>
        </w:rPr>
        <w:t xml:space="preserve"> </w:t>
      </w:r>
      <w:r w:rsidR="00B92AED">
        <w:rPr>
          <w:rFonts w:ascii="Arial" w:hAnsi="Arial" w:cs="Arial"/>
          <w:sz w:val="22"/>
          <w:szCs w:val="22"/>
          <w:lang w:val="en-US"/>
        </w:rPr>
        <w:t>In all cohorts combined m</w:t>
      </w:r>
      <w:r>
        <w:rPr>
          <w:rFonts w:ascii="Arial" w:hAnsi="Arial" w:cs="Arial"/>
          <w:sz w:val="22"/>
          <w:szCs w:val="22"/>
          <w:lang w:val="en-US"/>
        </w:rPr>
        <w:t>edian follow-up was</w:t>
      </w:r>
      <w:r w:rsidR="00557182">
        <w:rPr>
          <w:rFonts w:ascii="Arial" w:hAnsi="Arial" w:cs="Arial"/>
          <w:sz w:val="22"/>
          <w:szCs w:val="22"/>
          <w:lang w:val="en-US"/>
        </w:rPr>
        <w:t xml:space="preserve"> </w:t>
      </w:r>
      <w:r w:rsidR="00E35AB0">
        <w:rPr>
          <w:rFonts w:ascii="Arial" w:hAnsi="Arial" w:cs="Arial"/>
          <w:sz w:val="22"/>
          <w:szCs w:val="22"/>
          <w:lang w:val="en-US"/>
        </w:rPr>
        <w:t>14.4 months (IQR: 7.0-23.7).</w:t>
      </w:r>
      <w:r>
        <w:rPr>
          <w:rFonts w:ascii="Arial" w:hAnsi="Arial" w:cs="Arial"/>
          <w:sz w:val="22"/>
          <w:szCs w:val="22"/>
          <w:lang w:val="en-US"/>
        </w:rPr>
        <w:t xml:space="preserve"> </w:t>
      </w:r>
      <w:r w:rsidR="0075159C">
        <w:rPr>
          <w:rFonts w:ascii="Arial" w:hAnsi="Arial" w:cs="Arial"/>
          <w:sz w:val="22"/>
          <w:szCs w:val="22"/>
          <w:lang w:val="en-US"/>
        </w:rPr>
        <w:t xml:space="preserve">Cohorts B and C </w:t>
      </w:r>
      <w:r w:rsidR="00CE161C">
        <w:rPr>
          <w:rFonts w:ascii="Arial" w:hAnsi="Arial" w:cs="Arial"/>
          <w:sz w:val="22"/>
          <w:szCs w:val="22"/>
          <w:lang w:val="en-US"/>
        </w:rPr>
        <w:t>met or exceeded</w:t>
      </w:r>
      <w:r w:rsidR="0075159C">
        <w:rPr>
          <w:rFonts w:ascii="Arial" w:hAnsi="Arial" w:cs="Arial"/>
          <w:sz w:val="22"/>
          <w:szCs w:val="22"/>
          <w:lang w:val="en-US"/>
        </w:rPr>
        <w:t xml:space="preserve"> the target number of responses.</w:t>
      </w:r>
      <w:r w:rsidR="000671ED" w:rsidRPr="00F37537">
        <w:rPr>
          <w:rFonts w:ascii="Arial" w:hAnsi="Arial" w:cs="Arial"/>
          <w:sz w:val="22"/>
          <w:szCs w:val="22"/>
          <w:lang w:val="en-US"/>
        </w:rPr>
        <w:t xml:space="preserve"> </w:t>
      </w:r>
      <w:r w:rsidR="005D7670" w:rsidRPr="00F37537">
        <w:rPr>
          <w:rFonts w:ascii="Arial" w:hAnsi="Arial" w:cs="Arial"/>
          <w:sz w:val="22"/>
          <w:szCs w:val="22"/>
          <w:lang w:val="en-US"/>
        </w:rPr>
        <w:t xml:space="preserve">In patients with </w:t>
      </w:r>
      <w:r w:rsidR="004256A3">
        <w:rPr>
          <w:rFonts w:ascii="Arial" w:hAnsi="Arial" w:cs="Arial"/>
          <w:i/>
          <w:iCs/>
          <w:sz w:val="22"/>
          <w:szCs w:val="22"/>
          <w:lang w:val="en-US"/>
        </w:rPr>
        <w:t>ERBB2</w:t>
      </w:r>
      <w:r w:rsidR="004256A3" w:rsidRPr="00F37537">
        <w:rPr>
          <w:rFonts w:ascii="Arial" w:hAnsi="Arial" w:cs="Arial"/>
          <w:sz w:val="22"/>
          <w:szCs w:val="22"/>
          <w:lang w:val="en-US"/>
        </w:rPr>
        <w:t xml:space="preserve"> </w:t>
      </w:r>
      <w:r w:rsidR="005D7670" w:rsidRPr="00F37537">
        <w:rPr>
          <w:rFonts w:ascii="Arial" w:hAnsi="Arial" w:cs="Arial"/>
          <w:sz w:val="22"/>
          <w:szCs w:val="22"/>
          <w:lang w:val="en-US"/>
        </w:rPr>
        <w:t>mutations, response rate with neratinib, plus fulvestrant in ER-positive cancer, was 25</w:t>
      </w:r>
      <w:r w:rsidR="008D26F4" w:rsidRPr="00F37537">
        <w:rPr>
          <w:rFonts w:ascii="Arial" w:hAnsi="Arial" w:cs="Arial"/>
          <w:sz w:val="22"/>
          <w:szCs w:val="22"/>
          <w:lang w:val="en-US"/>
        </w:rPr>
        <w:t>.0</w:t>
      </w:r>
      <w:r w:rsidR="005D7670" w:rsidRPr="00F37537">
        <w:rPr>
          <w:rFonts w:ascii="Arial" w:hAnsi="Arial" w:cs="Arial"/>
          <w:sz w:val="22"/>
          <w:szCs w:val="22"/>
          <w:lang w:val="en-US"/>
        </w:rPr>
        <w:t>% (5/20, 95%CI 8.7-49</w:t>
      </w:r>
      <w:r w:rsidR="00745C86" w:rsidRPr="00F37537">
        <w:rPr>
          <w:rFonts w:ascii="Arial" w:hAnsi="Arial" w:cs="Arial"/>
          <w:sz w:val="22"/>
          <w:szCs w:val="22"/>
          <w:lang w:val="en-US"/>
        </w:rPr>
        <w:t>.1</w:t>
      </w:r>
      <w:r w:rsidR="005D7670" w:rsidRPr="00F37537">
        <w:rPr>
          <w:rFonts w:ascii="Arial" w:hAnsi="Arial" w:cs="Arial"/>
          <w:sz w:val="22"/>
          <w:szCs w:val="22"/>
          <w:lang w:val="en-US"/>
        </w:rPr>
        <w:t xml:space="preserve">%). In patients with </w:t>
      </w:r>
      <w:r w:rsidR="005D7670" w:rsidRPr="00F37537">
        <w:rPr>
          <w:rFonts w:ascii="Arial" w:hAnsi="Arial" w:cs="Arial"/>
          <w:i/>
          <w:iCs/>
          <w:sz w:val="22"/>
          <w:szCs w:val="22"/>
          <w:lang w:val="en-US"/>
        </w:rPr>
        <w:t>AKT1</w:t>
      </w:r>
      <w:r w:rsidR="005D7670" w:rsidRPr="00F37537">
        <w:rPr>
          <w:rFonts w:ascii="Arial" w:hAnsi="Arial" w:cs="Arial"/>
          <w:sz w:val="22"/>
          <w:szCs w:val="22"/>
          <w:lang w:val="en-US"/>
        </w:rPr>
        <w:t xml:space="preserve"> mutations and ER-positive cancer, response rate with capivasertib plus fulvestrant was 22</w:t>
      </w:r>
      <w:r w:rsidR="00745C86" w:rsidRPr="00F37537">
        <w:rPr>
          <w:rFonts w:ascii="Arial" w:hAnsi="Arial" w:cs="Arial"/>
          <w:sz w:val="22"/>
          <w:szCs w:val="22"/>
          <w:lang w:val="en-US"/>
        </w:rPr>
        <w:t>.2</w:t>
      </w:r>
      <w:r w:rsidR="005D7670" w:rsidRPr="00F37537">
        <w:rPr>
          <w:rFonts w:ascii="Arial" w:hAnsi="Arial" w:cs="Arial"/>
          <w:sz w:val="22"/>
          <w:szCs w:val="22"/>
          <w:lang w:val="en-US"/>
        </w:rPr>
        <w:t>% (4/18,</w:t>
      </w:r>
      <w:r w:rsidR="00FF44EE" w:rsidRPr="00F37537">
        <w:rPr>
          <w:rFonts w:ascii="Arial" w:hAnsi="Arial" w:cs="Arial"/>
          <w:sz w:val="22"/>
          <w:szCs w:val="22"/>
          <w:lang w:val="en-US"/>
        </w:rPr>
        <w:t xml:space="preserve"> </w:t>
      </w:r>
      <w:r w:rsidR="005D7670" w:rsidRPr="00F37537">
        <w:rPr>
          <w:rFonts w:ascii="Arial" w:hAnsi="Arial" w:cs="Arial"/>
          <w:sz w:val="22"/>
          <w:szCs w:val="22"/>
          <w:lang w:val="en-US"/>
        </w:rPr>
        <w:t>95%CI 6.4-47</w:t>
      </w:r>
      <w:r w:rsidR="00745C86" w:rsidRPr="00F37537">
        <w:rPr>
          <w:rFonts w:ascii="Arial" w:hAnsi="Arial" w:cs="Arial"/>
          <w:sz w:val="22"/>
          <w:szCs w:val="22"/>
          <w:lang w:val="en-US"/>
        </w:rPr>
        <w:t>.6</w:t>
      </w:r>
      <w:r w:rsidR="005D7670" w:rsidRPr="00F37537">
        <w:rPr>
          <w:rFonts w:ascii="Arial" w:hAnsi="Arial" w:cs="Arial"/>
          <w:sz w:val="22"/>
          <w:szCs w:val="22"/>
          <w:lang w:val="en-US"/>
        </w:rPr>
        <w:t xml:space="preserve">%). </w:t>
      </w:r>
      <w:r w:rsidR="0075159C">
        <w:rPr>
          <w:rFonts w:ascii="Arial" w:hAnsi="Arial" w:cs="Arial"/>
          <w:sz w:val="22"/>
          <w:szCs w:val="22"/>
          <w:lang w:val="en-US"/>
        </w:rPr>
        <w:t>Cohorts A and D did not reach the target number of responses.</w:t>
      </w:r>
      <w:r w:rsidR="0075159C" w:rsidRPr="00F37537">
        <w:rPr>
          <w:rFonts w:ascii="Arial" w:hAnsi="Arial" w:cs="Arial"/>
          <w:sz w:val="22"/>
          <w:szCs w:val="22"/>
          <w:lang w:val="en-US"/>
        </w:rPr>
        <w:t xml:space="preserve"> Response rate of </w:t>
      </w:r>
      <w:r w:rsidR="0075159C" w:rsidRPr="00F37537">
        <w:rPr>
          <w:rFonts w:ascii="Arial" w:hAnsi="Arial" w:cs="Arial"/>
          <w:i/>
          <w:sz w:val="22"/>
          <w:szCs w:val="22"/>
          <w:lang w:val="en-US"/>
        </w:rPr>
        <w:t>ESR1</w:t>
      </w:r>
      <w:r w:rsidR="0075159C" w:rsidRPr="00F37537">
        <w:rPr>
          <w:rFonts w:ascii="Arial" w:hAnsi="Arial" w:cs="Arial"/>
          <w:sz w:val="22"/>
          <w:szCs w:val="22"/>
          <w:lang w:val="en-US"/>
        </w:rPr>
        <w:t xml:space="preserve"> mutations with extended-dose fulvestrant was 8.1% (6/74, 95%CI 3.0-16.8%). </w:t>
      </w:r>
      <w:r w:rsidR="007806CD">
        <w:rPr>
          <w:rFonts w:ascii="Arial" w:hAnsi="Arial" w:cs="Arial"/>
          <w:sz w:val="22"/>
          <w:szCs w:val="22"/>
          <w:lang w:val="en-US"/>
        </w:rPr>
        <w:t xml:space="preserve">In patients with </w:t>
      </w:r>
      <w:r w:rsidR="007806CD" w:rsidRPr="007806CD">
        <w:rPr>
          <w:rFonts w:ascii="Arial" w:hAnsi="Arial" w:cs="Arial"/>
          <w:i/>
          <w:sz w:val="22"/>
          <w:szCs w:val="22"/>
          <w:lang w:val="en-US"/>
        </w:rPr>
        <w:t>AKT</w:t>
      </w:r>
      <w:r w:rsidR="007806CD">
        <w:rPr>
          <w:rFonts w:ascii="Arial" w:hAnsi="Arial" w:cs="Arial"/>
          <w:sz w:val="22"/>
          <w:szCs w:val="22"/>
          <w:lang w:val="en-US"/>
        </w:rPr>
        <w:t xml:space="preserve"> activation basket mutations the response rate was 10.5</w:t>
      </w:r>
      <w:r w:rsidR="007806CD" w:rsidRPr="00F37537">
        <w:rPr>
          <w:rFonts w:ascii="Arial" w:hAnsi="Arial" w:cs="Arial"/>
          <w:sz w:val="22"/>
          <w:szCs w:val="22"/>
          <w:lang w:val="en-US"/>
        </w:rPr>
        <w:t>% (</w:t>
      </w:r>
      <w:r w:rsidR="007806CD">
        <w:rPr>
          <w:rFonts w:ascii="Arial" w:hAnsi="Arial" w:cs="Arial"/>
          <w:sz w:val="22"/>
          <w:szCs w:val="22"/>
          <w:lang w:val="en-US"/>
        </w:rPr>
        <w:t>2</w:t>
      </w:r>
      <w:r w:rsidR="007806CD" w:rsidRPr="00F37537">
        <w:rPr>
          <w:rFonts w:ascii="Arial" w:hAnsi="Arial" w:cs="Arial"/>
          <w:sz w:val="22"/>
          <w:szCs w:val="22"/>
          <w:lang w:val="en-US"/>
        </w:rPr>
        <w:t>/</w:t>
      </w:r>
      <w:r w:rsidR="007806CD">
        <w:rPr>
          <w:rFonts w:ascii="Arial" w:hAnsi="Arial" w:cs="Arial"/>
          <w:sz w:val="22"/>
          <w:szCs w:val="22"/>
          <w:lang w:val="en-US"/>
        </w:rPr>
        <w:t>19</w:t>
      </w:r>
      <w:r w:rsidR="007806CD" w:rsidRPr="00F37537">
        <w:rPr>
          <w:rFonts w:ascii="Arial" w:hAnsi="Arial" w:cs="Arial"/>
          <w:sz w:val="22"/>
          <w:szCs w:val="22"/>
          <w:lang w:val="en-US"/>
        </w:rPr>
        <w:t xml:space="preserve">, 95%CI </w:t>
      </w:r>
      <w:r w:rsidR="007806CD">
        <w:rPr>
          <w:rFonts w:ascii="Arial" w:hAnsi="Arial" w:cs="Arial"/>
          <w:sz w:val="22"/>
          <w:szCs w:val="22"/>
          <w:lang w:val="en-US"/>
        </w:rPr>
        <w:t>1.3</w:t>
      </w:r>
      <w:r w:rsidR="007806CD" w:rsidRPr="00F37537">
        <w:rPr>
          <w:rFonts w:ascii="Arial" w:hAnsi="Arial" w:cs="Arial"/>
          <w:sz w:val="22"/>
          <w:szCs w:val="22"/>
          <w:lang w:val="en-US"/>
        </w:rPr>
        <w:t>-</w:t>
      </w:r>
      <w:r w:rsidR="007806CD">
        <w:rPr>
          <w:rFonts w:ascii="Arial" w:hAnsi="Arial" w:cs="Arial"/>
          <w:sz w:val="22"/>
          <w:szCs w:val="22"/>
          <w:lang w:val="en-US"/>
        </w:rPr>
        <w:t>33.1</w:t>
      </w:r>
      <w:r w:rsidR="007806CD" w:rsidRPr="00F37537">
        <w:rPr>
          <w:rFonts w:ascii="Arial" w:hAnsi="Arial" w:cs="Arial"/>
          <w:sz w:val="22"/>
          <w:szCs w:val="22"/>
          <w:lang w:val="en-US"/>
        </w:rPr>
        <w:t>%)</w:t>
      </w:r>
      <w:r w:rsidR="007806CD">
        <w:rPr>
          <w:rFonts w:ascii="Arial" w:hAnsi="Arial" w:cs="Arial"/>
          <w:sz w:val="22"/>
          <w:szCs w:val="22"/>
          <w:lang w:val="en-US"/>
        </w:rPr>
        <w:t xml:space="preserve">. </w:t>
      </w:r>
      <w:r w:rsidR="005D7670" w:rsidRPr="00F37537">
        <w:rPr>
          <w:rFonts w:ascii="Arial" w:hAnsi="Arial" w:cs="Arial"/>
          <w:sz w:val="22"/>
          <w:szCs w:val="22"/>
          <w:lang w:val="en-US"/>
        </w:rPr>
        <w:t xml:space="preserve">In </w:t>
      </w:r>
      <w:r w:rsidR="00517AF5">
        <w:rPr>
          <w:rFonts w:ascii="Arial" w:hAnsi="Arial" w:cs="Arial"/>
          <w:sz w:val="22"/>
          <w:szCs w:val="22"/>
          <w:lang w:val="en-US"/>
        </w:rPr>
        <w:t xml:space="preserve">patients with </w:t>
      </w:r>
      <w:r w:rsidR="005D7670" w:rsidRPr="00F37537">
        <w:rPr>
          <w:rFonts w:ascii="Arial" w:hAnsi="Arial" w:cs="Arial"/>
          <w:i/>
          <w:iCs/>
          <w:sz w:val="22"/>
          <w:szCs w:val="22"/>
          <w:lang w:val="en-US"/>
        </w:rPr>
        <w:t>AKT1</w:t>
      </w:r>
      <w:r w:rsidR="005D7670" w:rsidRPr="00F37537">
        <w:rPr>
          <w:rFonts w:ascii="Arial" w:hAnsi="Arial" w:cs="Arial"/>
          <w:sz w:val="22"/>
          <w:szCs w:val="22"/>
          <w:lang w:val="en-US"/>
        </w:rPr>
        <w:t xml:space="preserve"> mutations</w:t>
      </w:r>
      <w:r w:rsidR="00517AF5">
        <w:rPr>
          <w:rFonts w:ascii="Arial" w:hAnsi="Arial" w:cs="Arial"/>
          <w:sz w:val="22"/>
          <w:szCs w:val="22"/>
          <w:lang w:val="en-US"/>
        </w:rPr>
        <w:t xml:space="preserve"> and ER-negative cancer</w:t>
      </w:r>
      <w:r w:rsidR="005D7670" w:rsidRPr="00F37537">
        <w:rPr>
          <w:rFonts w:ascii="Arial" w:hAnsi="Arial" w:cs="Arial"/>
          <w:sz w:val="22"/>
          <w:szCs w:val="22"/>
          <w:lang w:val="en-US"/>
        </w:rPr>
        <w:t xml:space="preserve">, </w:t>
      </w:r>
      <w:r w:rsidR="00F37537" w:rsidRPr="00F37537">
        <w:rPr>
          <w:rFonts w:ascii="Arial" w:hAnsi="Arial" w:cs="Arial"/>
          <w:sz w:val="22"/>
          <w:szCs w:val="22"/>
          <w:lang w:val="en-US"/>
        </w:rPr>
        <w:t>33.3</w:t>
      </w:r>
      <w:r w:rsidR="004D0489">
        <w:rPr>
          <w:rFonts w:ascii="Arial" w:hAnsi="Arial" w:cs="Arial"/>
          <w:sz w:val="22"/>
          <w:szCs w:val="22"/>
          <w:lang w:val="en-US"/>
        </w:rPr>
        <w:t>%</w:t>
      </w:r>
      <w:r w:rsidR="00F37537" w:rsidRPr="00F37537">
        <w:rPr>
          <w:rFonts w:ascii="Arial" w:hAnsi="Arial" w:cs="Arial"/>
          <w:sz w:val="22"/>
          <w:szCs w:val="22"/>
          <w:lang w:val="en-US"/>
        </w:rPr>
        <w:t xml:space="preserve"> (2/6, </w:t>
      </w:r>
      <w:r w:rsidR="00F37537" w:rsidRPr="00F37537">
        <w:rPr>
          <w:rFonts w:ascii="Arial" w:hAnsi="Arial" w:cs="Arial"/>
          <w:sz w:val="22"/>
          <w:szCs w:val="22"/>
        </w:rPr>
        <w:t xml:space="preserve">95%CI,4.3-77.7) </w:t>
      </w:r>
      <w:r w:rsidR="005D7670" w:rsidRPr="00F37537">
        <w:rPr>
          <w:rFonts w:ascii="Arial" w:hAnsi="Arial" w:cs="Arial"/>
          <w:sz w:val="22"/>
          <w:szCs w:val="22"/>
          <w:lang w:val="en-US"/>
        </w:rPr>
        <w:t>respon</w:t>
      </w:r>
      <w:r w:rsidR="00CE3515" w:rsidRPr="00F37537">
        <w:rPr>
          <w:rFonts w:ascii="Arial" w:hAnsi="Arial" w:cs="Arial"/>
          <w:sz w:val="22"/>
          <w:szCs w:val="22"/>
          <w:lang w:val="en-US"/>
        </w:rPr>
        <w:t>d</w:t>
      </w:r>
      <w:r w:rsidR="005D7670" w:rsidRPr="00F37537">
        <w:rPr>
          <w:rFonts w:ascii="Arial" w:hAnsi="Arial" w:cs="Arial"/>
          <w:sz w:val="22"/>
          <w:szCs w:val="22"/>
          <w:lang w:val="en-US"/>
        </w:rPr>
        <w:t>e</w:t>
      </w:r>
      <w:r w:rsidR="00CE3515" w:rsidRPr="00F37537">
        <w:rPr>
          <w:rFonts w:ascii="Arial" w:hAnsi="Arial" w:cs="Arial"/>
          <w:sz w:val="22"/>
          <w:szCs w:val="22"/>
          <w:lang w:val="en-US"/>
        </w:rPr>
        <w:t>d</w:t>
      </w:r>
      <w:r w:rsidR="005D7670" w:rsidRPr="00F37537">
        <w:rPr>
          <w:rFonts w:ascii="Arial" w:hAnsi="Arial" w:cs="Arial"/>
          <w:sz w:val="22"/>
          <w:szCs w:val="22"/>
          <w:lang w:val="en-US"/>
        </w:rPr>
        <w:t xml:space="preserve"> </w:t>
      </w:r>
      <w:r w:rsidR="00CE3515" w:rsidRPr="00F37537">
        <w:rPr>
          <w:rFonts w:ascii="Arial" w:hAnsi="Arial" w:cs="Arial"/>
          <w:sz w:val="22"/>
          <w:szCs w:val="22"/>
          <w:lang w:val="en-US"/>
        </w:rPr>
        <w:t>to</w:t>
      </w:r>
      <w:r w:rsidR="005D7670" w:rsidRPr="00F37537">
        <w:rPr>
          <w:rFonts w:ascii="Arial" w:hAnsi="Arial" w:cs="Arial"/>
          <w:sz w:val="22"/>
          <w:szCs w:val="22"/>
          <w:lang w:val="en-US"/>
        </w:rPr>
        <w:t xml:space="preserve"> capivasertib</w:t>
      </w:r>
      <w:r w:rsidR="00C90430" w:rsidRPr="00F37537">
        <w:rPr>
          <w:rFonts w:ascii="Arial" w:hAnsi="Arial" w:cs="Arial"/>
          <w:sz w:val="22"/>
          <w:szCs w:val="22"/>
          <w:lang w:val="en-US"/>
        </w:rPr>
        <w:t xml:space="preserve">, </w:t>
      </w:r>
      <w:r w:rsidR="007F01A5" w:rsidRPr="00F37537">
        <w:rPr>
          <w:rFonts w:ascii="Arial" w:hAnsi="Arial" w:cs="Arial"/>
          <w:sz w:val="22"/>
          <w:szCs w:val="22"/>
          <w:lang w:val="en-US"/>
        </w:rPr>
        <w:t>although</w:t>
      </w:r>
      <w:r w:rsidR="00C90430" w:rsidRPr="00F37537">
        <w:rPr>
          <w:rFonts w:ascii="Arial" w:hAnsi="Arial" w:cs="Arial"/>
          <w:sz w:val="22"/>
          <w:szCs w:val="22"/>
          <w:lang w:val="en-US"/>
        </w:rPr>
        <w:t xml:space="preserve"> 0/13 patients with </w:t>
      </w:r>
      <w:r w:rsidR="00C90430" w:rsidRPr="00F37537">
        <w:rPr>
          <w:rFonts w:ascii="Arial" w:hAnsi="Arial"/>
          <w:i/>
          <w:sz w:val="22"/>
          <w:lang w:val="en-US"/>
        </w:rPr>
        <w:t>PTEN</w:t>
      </w:r>
      <w:r w:rsidR="00C90430" w:rsidRPr="00F37537">
        <w:rPr>
          <w:rFonts w:ascii="Arial" w:hAnsi="Arial" w:cs="Arial"/>
          <w:sz w:val="22"/>
          <w:szCs w:val="22"/>
          <w:lang w:val="en-US"/>
        </w:rPr>
        <w:t xml:space="preserve"> mutation responded</w:t>
      </w:r>
      <w:r w:rsidR="0075159C">
        <w:rPr>
          <w:rFonts w:ascii="Arial" w:hAnsi="Arial" w:cs="Arial"/>
          <w:sz w:val="22"/>
          <w:szCs w:val="22"/>
          <w:lang w:val="en-US"/>
        </w:rPr>
        <w:t xml:space="preserve">. </w:t>
      </w:r>
      <w:r w:rsidR="001D4A7A">
        <w:rPr>
          <w:rFonts w:ascii="Arial" w:hAnsi="Arial" w:cs="Arial"/>
          <w:sz w:val="22"/>
          <w:szCs w:val="22"/>
          <w:lang w:val="en-US"/>
        </w:rPr>
        <w:t>The most common grade 3-4 adverse events were: Cohort A: hypertension 12.5%</w:t>
      </w:r>
      <w:r w:rsidR="00761AC7">
        <w:rPr>
          <w:rFonts w:ascii="Arial" w:hAnsi="Arial" w:cs="Arial"/>
          <w:sz w:val="22"/>
          <w:szCs w:val="22"/>
          <w:lang w:val="en-US"/>
        </w:rPr>
        <w:t xml:space="preserve"> (10/80</w:t>
      </w:r>
      <w:r w:rsidR="001D4A7A" w:rsidRPr="001D4A7A">
        <w:rPr>
          <w:rFonts w:ascii="Arial" w:hAnsi="Arial" w:cs="Arial"/>
          <w:sz w:val="22"/>
          <w:szCs w:val="22"/>
          <w:lang w:val="en-US"/>
        </w:rPr>
        <w:t>)</w:t>
      </w:r>
      <w:r w:rsidR="00315CBD">
        <w:rPr>
          <w:rFonts w:ascii="Arial" w:hAnsi="Arial" w:cs="Arial"/>
          <w:sz w:val="22"/>
          <w:szCs w:val="22"/>
          <w:lang w:val="en-US"/>
        </w:rPr>
        <w:t>;</w:t>
      </w:r>
      <w:r w:rsidR="001F60C9">
        <w:rPr>
          <w:rFonts w:ascii="Arial" w:hAnsi="Arial" w:cs="Arial"/>
          <w:sz w:val="22"/>
          <w:szCs w:val="22"/>
          <w:lang w:val="en-US"/>
        </w:rPr>
        <w:t xml:space="preserve"> Cohort B:</w:t>
      </w:r>
      <w:r w:rsidR="001F60C9" w:rsidRPr="001F60C9">
        <w:rPr>
          <w:rFonts w:ascii="Arial" w:hAnsi="Arial" w:cs="Arial"/>
          <w:sz w:val="22"/>
          <w:szCs w:val="22"/>
          <w:lang w:val="en-US"/>
        </w:rPr>
        <w:t xml:space="preserve"> </w:t>
      </w:r>
      <w:r w:rsidR="001F60C9" w:rsidRPr="008C7FCA">
        <w:rPr>
          <w:rFonts w:ascii="Arial" w:hAnsi="Arial" w:cs="Arial"/>
          <w:sz w:val="22"/>
          <w:szCs w:val="22"/>
          <w:lang w:val="en-US"/>
        </w:rPr>
        <w:t>diarrh</w:t>
      </w:r>
      <w:r w:rsidR="001F60C9">
        <w:rPr>
          <w:rFonts w:ascii="Arial" w:hAnsi="Arial" w:cs="Arial"/>
          <w:sz w:val="22"/>
          <w:szCs w:val="22"/>
          <w:lang w:val="en-US"/>
        </w:rPr>
        <w:t>o</w:t>
      </w:r>
      <w:r w:rsidR="001F60C9" w:rsidRPr="008C7FCA">
        <w:rPr>
          <w:rFonts w:ascii="Arial" w:hAnsi="Arial" w:cs="Arial"/>
          <w:sz w:val="22"/>
          <w:szCs w:val="22"/>
          <w:lang w:val="en-US"/>
        </w:rPr>
        <w:t xml:space="preserve">ea </w:t>
      </w:r>
      <w:r w:rsidR="001F60C9">
        <w:rPr>
          <w:rFonts w:ascii="Arial" w:hAnsi="Arial" w:cs="Arial"/>
          <w:sz w:val="22"/>
          <w:szCs w:val="22"/>
          <w:lang w:val="en-US"/>
        </w:rPr>
        <w:t xml:space="preserve">– </w:t>
      </w:r>
      <w:r w:rsidR="001F60C9" w:rsidRPr="008C7FCA">
        <w:rPr>
          <w:rFonts w:ascii="Arial" w:hAnsi="Arial" w:cs="Arial"/>
          <w:sz w:val="22"/>
          <w:szCs w:val="22"/>
          <w:lang w:val="en-US"/>
        </w:rPr>
        <w:t>25</w:t>
      </w:r>
      <w:r w:rsidR="001F60C9">
        <w:rPr>
          <w:rFonts w:ascii="Arial" w:hAnsi="Arial" w:cs="Arial"/>
          <w:sz w:val="22"/>
          <w:szCs w:val="22"/>
          <w:lang w:val="en-US"/>
        </w:rPr>
        <w:t>.0</w:t>
      </w:r>
      <w:r w:rsidR="001F60C9" w:rsidRPr="008C7FCA">
        <w:rPr>
          <w:rFonts w:ascii="Arial" w:hAnsi="Arial" w:cs="Arial"/>
          <w:sz w:val="22"/>
          <w:szCs w:val="22"/>
          <w:lang w:val="en-US"/>
        </w:rPr>
        <w:t>%</w:t>
      </w:r>
      <w:r w:rsidR="00761AC7">
        <w:rPr>
          <w:rFonts w:ascii="Arial" w:hAnsi="Arial" w:cs="Arial"/>
          <w:sz w:val="22"/>
          <w:szCs w:val="22"/>
          <w:lang w:val="en-US"/>
        </w:rPr>
        <w:t xml:space="preserve"> (4/20)</w:t>
      </w:r>
      <w:r w:rsidR="001F60C9" w:rsidRPr="008C7FCA">
        <w:rPr>
          <w:rFonts w:ascii="Arial" w:hAnsi="Arial" w:cs="Arial"/>
          <w:sz w:val="22"/>
          <w:szCs w:val="22"/>
          <w:lang w:val="en-US"/>
        </w:rPr>
        <w:t xml:space="preserve"> and hypertension </w:t>
      </w:r>
      <w:r w:rsidR="001F60C9">
        <w:rPr>
          <w:rFonts w:ascii="Arial" w:hAnsi="Arial" w:cs="Arial"/>
          <w:sz w:val="22"/>
          <w:szCs w:val="22"/>
          <w:lang w:val="en-US"/>
        </w:rPr>
        <w:t>15.0</w:t>
      </w:r>
      <w:r w:rsidR="001F60C9" w:rsidRPr="008C7FCA">
        <w:rPr>
          <w:rFonts w:ascii="Arial" w:hAnsi="Arial" w:cs="Arial"/>
          <w:sz w:val="22"/>
          <w:szCs w:val="22"/>
          <w:lang w:val="en-US"/>
        </w:rPr>
        <w:t>%</w:t>
      </w:r>
      <w:r w:rsidR="00761AC7">
        <w:rPr>
          <w:rFonts w:ascii="Arial" w:hAnsi="Arial" w:cs="Arial"/>
          <w:sz w:val="22"/>
          <w:szCs w:val="22"/>
          <w:lang w:val="en-US"/>
        </w:rPr>
        <w:t xml:space="preserve"> (3/20)</w:t>
      </w:r>
      <w:r w:rsidR="00315CBD">
        <w:rPr>
          <w:rFonts w:ascii="Arial" w:hAnsi="Arial" w:cs="Arial"/>
          <w:sz w:val="22"/>
          <w:szCs w:val="22"/>
          <w:lang w:val="en-US"/>
        </w:rPr>
        <w:t xml:space="preserve">; Cohort C: </w:t>
      </w:r>
      <w:r w:rsidR="00315CBD" w:rsidRPr="00EE1760">
        <w:rPr>
          <w:rFonts w:ascii="Arial" w:hAnsi="Arial" w:cs="Arial"/>
          <w:sz w:val="22"/>
          <w:szCs w:val="22"/>
          <w:lang w:val="en-US"/>
        </w:rPr>
        <w:t xml:space="preserve">fatigue </w:t>
      </w:r>
      <w:r w:rsidR="00315CBD">
        <w:rPr>
          <w:rFonts w:ascii="Arial" w:hAnsi="Arial" w:cs="Arial"/>
          <w:sz w:val="22"/>
          <w:szCs w:val="22"/>
          <w:lang w:val="en-US"/>
        </w:rPr>
        <w:t xml:space="preserve">– </w:t>
      </w:r>
      <w:r w:rsidR="00315CBD" w:rsidRPr="00EE1760">
        <w:rPr>
          <w:rFonts w:ascii="Arial" w:hAnsi="Arial" w:cs="Arial"/>
          <w:sz w:val="22"/>
          <w:szCs w:val="22"/>
          <w:lang w:val="en-US"/>
        </w:rPr>
        <w:t>22</w:t>
      </w:r>
      <w:r w:rsidR="00315CBD">
        <w:rPr>
          <w:rFonts w:ascii="Arial" w:hAnsi="Arial" w:cs="Arial"/>
          <w:sz w:val="22"/>
          <w:szCs w:val="22"/>
          <w:lang w:val="en-US"/>
        </w:rPr>
        <w:t>.2</w:t>
      </w:r>
      <w:r w:rsidR="00315CBD" w:rsidRPr="00EE1760">
        <w:rPr>
          <w:rFonts w:ascii="Arial" w:hAnsi="Arial" w:cs="Arial"/>
          <w:sz w:val="22"/>
          <w:szCs w:val="22"/>
          <w:lang w:val="en-US"/>
        </w:rPr>
        <w:t>%</w:t>
      </w:r>
      <w:r w:rsidR="00761AC7">
        <w:rPr>
          <w:rFonts w:ascii="Arial" w:hAnsi="Arial" w:cs="Arial"/>
          <w:sz w:val="22"/>
          <w:szCs w:val="22"/>
          <w:lang w:val="en-US"/>
        </w:rPr>
        <w:t xml:space="preserve"> (4/</w:t>
      </w:r>
      <w:r w:rsidR="00315CBD">
        <w:rPr>
          <w:rFonts w:ascii="Arial" w:hAnsi="Arial" w:cs="Arial"/>
          <w:sz w:val="22"/>
          <w:szCs w:val="22"/>
          <w:lang w:val="en-US"/>
        </w:rPr>
        <w:t>18</w:t>
      </w:r>
      <w:r w:rsidR="00761AC7">
        <w:rPr>
          <w:rFonts w:ascii="Arial" w:hAnsi="Arial" w:cs="Arial"/>
          <w:sz w:val="22"/>
          <w:szCs w:val="22"/>
          <w:lang w:val="en-US"/>
        </w:rPr>
        <w:t>)</w:t>
      </w:r>
      <w:r w:rsidR="00315CBD" w:rsidRPr="00EE1760">
        <w:rPr>
          <w:rFonts w:ascii="Arial" w:hAnsi="Arial" w:cs="Arial"/>
          <w:sz w:val="22"/>
          <w:szCs w:val="22"/>
          <w:lang w:val="en-US"/>
        </w:rPr>
        <w:t>, rash</w:t>
      </w:r>
      <w:r w:rsidR="00315CBD">
        <w:rPr>
          <w:rFonts w:ascii="Arial" w:hAnsi="Arial" w:cs="Arial"/>
          <w:sz w:val="22"/>
          <w:szCs w:val="22"/>
          <w:lang w:val="en-US"/>
        </w:rPr>
        <w:t xml:space="preserve"> -</w:t>
      </w:r>
      <w:r w:rsidR="00315CBD" w:rsidRPr="00EE1760">
        <w:rPr>
          <w:rFonts w:ascii="Arial" w:hAnsi="Arial" w:cs="Arial"/>
          <w:sz w:val="22"/>
          <w:szCs w:val="22"/>
          <w:lang w:val="en-US"/>
        </w:rPr>
        <w:t xml:space="preserve"> 1</w:t>
      </w:r>
      <w:r w:rsidR="00315CBD">
        <w:rPr>
          <w:rFonts w:ascii="Arial" w:hAnsi="Arial" w:cs="Arial"/>
          <w:sz w:val="22"/>
          <w:szCs w:val="22"/>
          <w:lang w:val="en-US"/>
        </w:rPr>
        <w:t>6.7</w:t>
      </w:r>
      <w:r w:rsidR="00315CBD" w:rsidRPr="00EE1760">
        <w:rPr>
          <w:rFonts w:ascii="Arial" w:hAnsi="Arial" w:cs="Arial"/>
          <w:sz w:val="22"/>
          <w:szCs w:val="22"/>
          <w:lang w:val="en-US"/>
        </w:rPr>
        <w:t>%</w:t>
      </w:r>
      <w:r w:rsidR="00761AC7">
        <w:rPr>
          <w:rFonts w:ascii="Arial" w:hAnsi="Arial" w:cs="Arial"/>
          <w:sz w:val="22"/>
          <w:szCs w:val="22"/>
          <w:lang w:val="en-US"/>
        </w:rPr>
        <w:t xml:space="preserve"> (3/18)</w:t>
      </w:r>
      <w:r w:rsidR="00315CBD" w:rsidRPr="00EE1760">
        <w:rPr>
          <w:rFonts w:ascii="Arial" w:hAnsi="Arial" w:cs="Arial"/>
          <w:sz w:val="22"/>
          <w:szCs w:val="22"/>
          <w:lang w:val="en-US"/>
        </w:rPr>
        <w:t xml:space="preserve">, </w:t>
      </w:r>
      <w:r w:rsidR="00315CBD">
        <w:rPr>
          <w:rFonts w:ascii="Arial" w:hAnsi="Arial" w:cs="Arial"/>
          <w:sz w:val="22"/>
          <w:szCs w:val="22"/>
          <w:lang w:val="en-US"/>
        </w:rPr>
        <w:t>diarrh</w:t>
      </w:r>
      <w:r w:rsidR="00535EB9">
        <w:rPr>
          <w:rFonts w:ascii="Arial" w:hAnsi="Arial" w:cs="Arial"/>
          <w:sz w:val="22"/>
          <w:szCs w:val="22"/>
          <w:lang w:val="en-US"/>
        </w:rPr>
        <w:t>o</w:t>
      </w:r>
      <w:r w:rsidR="00315CBD">
        <w:rPr>
          <w:rFonts w:ascii="Arial" w:hAnsi="Arial" w:cs="Arial"/>
          <w:sz w:val="22"/>
          <w:szCs w:val="22"/>
          <w:lang w:val="en-US"/>
        </w:rPr>
        <w:t xml:space="preserve">ea - </w:t>
      </w:r>
      <w:r w:rsidR="00315CBD" w:rsidRPr="00EE1760">
        <w:rPr>
          <w:rFonts w:ascii="Arial" w:hAnsi="Arial" w:cs="Arial"/>
          <w:sz w:val="22"/>
          <w:szCs w:val="22"/>
          <w:lang w:val="en-US"/>
        </w:rPr>
        <w:t>11</w:t>
      </w:r>
      <w:r w:rsidR="00315CBD">
        <w:rPr>
          <w:rFonts w:ascii="Arial" w:hAnsi="Arial" w:cs="Arial"/>
          <w:sz w:val="22"/>
          <w:szCs w:val="22"/>
          <w:lang w:val="en-US"/>
        </w:rPr>
        <w:t>.1</w:t>
      </w:r>
      <w:r w:rsidR="00315CBD" w:rsidRPr="00EE1760">
        <w:rPr>
          <w:rFonts w:ascii="Arial" w:hAnsi="Arial" w:cs="Arial"/>
          <w:sz w:val="22"/>
          <w:szCs w:val="22"/>
          <w:lang w:val="en-US"/>
        </w:rPr>
        <w:t>%</w:t>
      </w:r>
      <w:r w:rsidR="00761AC7">
        <w:rPr>
          <w:rFonts w:ascii="Arial" w:hAnsi="Arial" w:cs="Arial"/>
          <w:sz w:val="22"/>
          <w:szCs w:val="22"/>
          <w:lang w:val="en-US"/>
        </w:rPr>
        <w:t xml:space="preserve"> (2/</w:t>
      </w:r>
      <w:r w:rsidR="00315CBD">
        <w:rPr>
          <w:rFonts w:ascii="Arial" w:hAnsi="Arial" w:cs="Arial"/>
          <w:sz w:val="22"/>
          <w:szCs w:val="22"/>
          <w:lang w:val="en-US"/>
        </w:rPr>
        <w:t>18</w:t>
      </w:r>
      <w:r w:rsidR="00761AC7">
        <w:rPr>
          <w:rFonts w:ascii="Arial" w:hAnsi="Arial" w:cs="Arial"/>
          <w:sz w:val="22"/>
          <w:szCs w:val="22"/>
          <w:lang w:val="en-US"/>
        </w:rPr>
        <w:t>)</w:t>
      </w:r>
      <w:r w:rsidR="00315CBD">
        <w:rPr>
          <w:rFonts w:ascii="Arial" w:hAnsi="Arial" w:cs="Arial"/>
          <w:sz w:val="22"/>
          <w:szCs w:val="22"/>
          <w:lang w:val="en-US"/>
        </w:rPr>
        <w:t xml:space="preserve"> </w:t>
      </w:r>
      <w:r w:rsidR="00315CBD" w:rsidRPr="00EE1760">
        <w:rPr>
          <w:rFonts w:ascii="Arial" w:hAnsi="Arial" w:cs="Arial"/>
          <w:sz w:val="22"/>
          <w:szCs w:val="22"/>
          <w:lang w:val="en-US"/>
        </w:rPr>
        <w:t>and hyperglycaemia</w:t>
      </w:r>
      <w:r w:rsidR="00315CBD">
        <w:rPr>
          <w:rFonts w:ascii="Arial" w:hAnsi="Arial" w:cs="Arial"/>
          <w:sz w:val="22"/>
          <w:szCs w:val="22"/>
          <w:lang w:val="en-US"/>
        </w:rPr>
        <w:t xml:space="preserve"> -</w:t>
      </w:r>
      <w:r w:rsidR="00315CBD" w:rsidRPr="00EE1760">
        <w:rPr>
          <w:rFonts w:ascii="Arial" w:hAnsi="Arial" w:cs="Arial"/>
          <w:sz w:val="22"/>
          <w:szCs w:val="22"/>
          <w:lang w:val="en-US"/>
        </w:rPr>
        <w:t xml:space="preserve"> </w:t>
      </w:r>
      <w:r w:rsidR="00315CBD">
        <w:rPr>
          <w:rFonts w:ascii="Arial" w:hAnsi="Arial" w:cs="Arial"/>
          <w:sz w:val="22"/>
          <w:szCs w:val="22"/>
          <w:lang w:val="en-US"/>
        </w:rPr>
        <w:t xml:space="preserve"> </w:t>
      </w:r>
      <w:r w:rsidR="00315CBD" w:rsidRPr="00EE1760">
        <w:rPr>
          <w:rFonts w:ascii="Arial" w:hAnsi="Arial" w:cs="Arial"/>
          <w:sz w:val="22"/>
          <w:szCs w:val="22"/>
          <w:lang w:val="en-US"/>
        </w:rPr>
        <w:t>11</w:t>
      </w:r>
      <w:r w:rsidR="00315CBD">
        <w:rPr>
          <w:rFonts w:ascii="Arial" w:hAnsi="Arial" w:cs="Arial"/>
          <w:sz w:val="22"/>
          <w:szCs w:val="22"/>
          <w:lang w:val="en-US"/>
        </w:rPr>
        <w:t>.1</w:t>
      </w:r>
      <w:r w:rsidR="00315CBD" w:rsidRPr="00EE1760">
        <w:rPr>
          <w:rFonts w:ascii="Arial" w:hAnsi="Arial" w:cs="Arial"/>
          <w:sz w:val="22"/>
          <w:szCs w:val="22"/>
          <w:lang w:val="en-US"/>
        </w:rPr>
        <w:t>%</w:t>
      </w:r>
      <w:r w:rsidR="00315CBD">
        <w:rPr>
          <w:rFonts w:ascii="Arial" w:hAnsi="Arial" w:cs="Arial"/>
          <w:sz w:val="22"/>
          <w:szCs w:val="22"/>
          <w:lang w:val="en-US"/>
        </w:rPr>
        <w:t xml:space="preserve"> </w:t>
      </w:r>
      <w:r w:rsidR="00761AC7">
        <w:rPr>
          <w:rFonts w:ascii="Arial" w:hAnsi="Arial" w:cs="Arial"/>
          <w:sz w:val="22"/>
          <w:szCs w:val="22"/>
          <w:lang w:val="en-US"/>
        </w:rPr>
        <w:t>(2/</w:t>
      </w:r>
      <w:r w:rsidR="00315CBD">
        <w:rPr>
          <w:rFonts w:ascii="Arial" w:hAnsi="Arial" w:cs="Arial"/>
          <w:sz w:val="22"/>
          <w:szCs w:val="22"/>
          <w:lang w:val="en-US"/>
        </w:rPr>
        <w:t>18</w:t>
      </w:r>
      <w:r w:rsidR="00761AC7">
        <w:rPr>
          <w:rFonts w:ascii="Arial" w:hAnsi="Arial" w:cs="Arial"/>
          <w:sz w:val="22"/>
          <w:szCs w:val="22"/>
          <w:lang w:val="en-US"/>
        </w:rPr>
        <w:t>)</w:t>
      </w:r>
      <w:r w:rsidR="00593C52">
        <w:rPr>
          <w:rFonts w:ascii="Arial" w:hAnsi="Arial" w:cs="Arial"/>
          <w:sz w:val="22"/>
          <w:szCs w:val="22"/>
          <w:lang w:val="en-US"/>
        </w:rPr>
        <w:t xml:space="preserve">; Cohort D: </w:t>
      </w:r>
      <w:r w:rsidR="00593C52" w:rsidRPr="008C7FCA">
        <w:rPr>
          <w:rFonts w:ascii="Arial" w:hAnsi="Arial" w:cs="Arial"/>
          <w:sz w:val="22"/>
          <w:szCs w:val="22"/>
          <w:lang w:val="en-US"/>
        </w:rPr>
        <w:t>rash</w:t>
      </w:r>
      <w:r w:rsidR="00593C52">
        <w:rPr>
          <w:rFonts w:ascii="Arial" w:hAnsi="Arial" w:cs="Arial"/>
          <w:sz w:val="22"/>
          <w:szCs w:val="22"/>
          <w:lang w:val="en-US"/>
        </w:rPr>
        <w:t xml:space="preserve"> - 2</w:t>
      </w:r>
      <w:r w:rsidR="00593C52" w:rsidRPr="008C7FCA">
        <w:rPr>
          <w:rFonts w:ascii="Arial" w:hAnsi="Arial" w:cs="Arial"/>
          <w:sz w:val="22"/>
          <w:szCs w:val="22"/>
          <w:lang w:val="en-US"/>
        </w:rPr>
        <w:t>6</w:t>
      </w:r>
      <w:r w:rsidR="00593C52">
        <w:rPr>
          <w:rFonts w:ascii="Arial" w:hAnsi="Arial" w:cs="Arial"/>
          <w:sz w:val="22"/>
          <w:szCs w:val="22"/>
          <w:lang w:val="en-US"/>
        </w:rPr>
        <w:t>.3</w:t>
      </w:r>
      <w:r w:rsidR="00593C52" w:rsidRPr="008C7FCA">
        <w:rPr>
          <w:rFonts w:ascii="Arial" w:hAnsi="Arial" w:cs="Arial"/>
          <w:sz w:val="22"/>
          <w:szCs w:val="22"/>
          <w:lang w:val="en-US"/>
        </w:rPr>
        <w:t>%</w:t>
      </w:r>
      <w:r w:rsidR="00761AC7">
        <w:rPr>
          <w:rFonts w:ascii="Arial" w:hAnsi="Arial" w:cs="Arial"/>
          <w:sz w:val="22"/>
          <w:szCs w:val="22"/>
          <w:lang w:val="en-US"/>
        </w:rPr>
        <w:t xml:space="preserve"> (5/</w:t>
      </w:r>
      <w:r w:rsidR="00593C52">
        <w:rPr>
          <w:rFonts w:ascii="Arial" w:hAnsi="Arial" w:cs="Arial"/>
          <w:sz w:val="22"/>
          <w:szCs w:val="22"/>
          <w:lang w:val="en-US"/>
        </w:rPr>
        <w:t>19</w:t>
      </w:r>
      <w:r w:rsidR="00761AC7">
        <w:rPr>
          <w:rFonts w:ascii="Arial" w:hAnsi="Arial" w:cs="Arial"/>
          <w:sz w:val="22"/>
          <w:szCs w:val="22"/>
          <w:lang w:val="en-US"/>
        </w:rPr>
        <w:t>)</w:t>
      </w:r>
      <w:r w:rsidR="00593C52" w:rsidRPr="008C7FCA">
        <w:rPr>
          <w:rFonts w:ascii="Arial" w:hAnsi="Arial" w:cs="Arial"/>
          <w:sz w:val="22"/>
          <w:szCs w:val="22"/>
          <w:lang w:val="en-US"/>
        </w:rPr>
        <w:t xml:space="preserve">, hypertension </w:t>
      </w:r>
      <w:r w:rsidR="00593C52">
        <w:rPr>
          <w:rFonts w:ascii="Arial" w:hAnsi="Arial" w:cs="Arial"/>
          <w:sz w:val="22"/>
          <w:szCs w:val="22"/>
          <w:lang w:val="en-US"/>
        </w:rPr>
        <w:t xml:space="preserve">– </w:t>
      </w:r>
      <w:r w:rsidR="00593C52" w:rsidRPr="008C7FCA">
        <w:rPr>
          <w:rFonts w:ascii="Arial" w:hAnsi="Arial" w:cs="Arial"/>
          <w:sz w:val="22"/>
          <w:szCs w:val="22"/>
          <w:lang w:val="en-US"/>
        </w:rPr>
        <w:t>1</w:t>
      </w:r>
      <w:r w:rsidR="00593C52">
        <w:rPr>
          <w:rFonts w:ascii="Arial" w:hAnsi="Arial" w:cs="Arial"/>
          <w:sz w:val="22"/>
          <w:szCs w:val="22"/>
          <w:lang w:val="en-US"/>
        </w:rPr>
        <w:t>0.5</w:t>
      </w:r>
      <w:r w:rsidR="00593C52" w:rsidRPr="008C7FCA">
        <w:rPr>
          <w:rFonts w:ascii="Arial" w:hAnsi="Arial" w:cs="Arial"/>
          <w:sz w:val="22"/>
          <w:szCs w:val="22"/>
          <w:lang w:val="en-US"/>
        </w:rPr>
        <w:t>%</w:t>
      </w:r>
      <w:r w:rsidR="00761AC7">
        <w:rPr>
          <w:rFonts w:ascii="Arial" w:hAnsi="Arial" w:cs="Arial"/>
          <w:sz w:val="22"/>
          <w:szCs w:val="22"/>
          <w:lang w:val="en-US"/>
        </w:rPr>
        <w:t xml:space="preserve"> (2/</w:t>
      </w:r>
      <w:r w:rsidR="00593C52">
        <w:rPr>
          <w:rFonts w:ascii="Arial" w:hAnsi="Arial" w:cs="Arial"/>
          <w:sz w:val="22"/>
          <w:szCs w:val="22"/>
          <w:lang w:val="en-US"/>
        </w:rPr>
        <w:t>19</w:t>
      </w:r>
      <w:r w:rsidR="00761AC7">
        <w:rPr>
          <w:rFonts w:ascii="Arial" w:hAnsi="Arial" w:cs="Arial"/>
          <w:sz w:val="22"/>
          <w:szCs w:val="22"/>
          <w:lang w:val="en-US"/>
        </w:rPr>
        <w:t xml:space="preserve">), </w:t>
      </w:r>
      <w:r w:rsidR="00593C52" w:rsidRPr="008C7FCA">
        <w:rPr>
          <w:rFonts w:ascii="Arial" w:hAnsi="Arial" w:cs="Arial"/>
          <w:sz w:val="22"/>
          <w:szCs w:val="22"/>
          <w:lang w:val="en-US"/>
        </w:rPr>
        <w:t>transaminase increase 1</w:t>
      </w:r>
      <w:r w:rsidR="00593C52">
        <w:rPr>
          <w:rFonts w:ascii="Arial" w:hAnsi="Arial" w:cs="Arial"/>
          <w:sz w:val="22"/>
          <w:szCs w:val="22"/>
          <w:lang w:val="en-US"/>
        </w:rPr>
        <w:t>0.5</w:t>
      </w:r>
      <w:r w:rsidR="00593C52" w:rsidRPr="008C7FCA">
        <w:rPr>
          <w:rFonts w:ascii="Arial" w:hAnsi="Arial" w:cs="Arial"/>
          <w:sz w:val="22"/>
          <w:szCs w:val="22"/>
          <w:lang w:val="en-US"/>
        </w:rPr>
        <w:t>%</w:t>
      </w:r>
      <w:r w:rsidR="00761AC7">
        <w:rPr>
          <w:rFonts w:ascii="Arial" w:hAnsi="Arial" w:cs="Arial"/>
          <w:sz w:val="22"/>
          <w:szCs w:val="22"/>
          <w:lang w:val="en-US"/>
        </w:rPr>
        <w:t xml:space="preserve"> (2/19</w:t>
      </w:r>
      <w:r w:rsidR="00593C52" w:rsidRPr="008C7FCA">
        <w:rPr>
          <w:rFonts w:ascii="Arial" w:hAnsi="Arial" w:cs="Arial"/>
          <w:sz w:val="22"/>
          <w:szCs w:val="22"/>
          <w:lang w:val="en-US"/>
        </w:rPr>
        <w:t>) and vomiting 1</w:t>
      </w:r>
      <w:r w:rsidR="00593C52">
        <w:rPr>
          <w:rFonts w:ascii="Arial" w:hAnsi="Arial" w:cs="Arial"/>
          <w:sz w:val="22"/>
          <w:szCs w:val="22"/>
          <w:lang w:val="en-US"/>
        </w:rPr>
        <w:t>0.5</w:t>
      </w:r>
      <w:r w:rsidR="00593C52" w:rsidRPr="008C7FCA">
        <w:rPr>
          <w:rFonts w:ascii="Arial" w:hAnsi="Arial" w:cs="Arial"/>
          <w:sz w:val="22"/>
          <w:szCs w:val="22"/>
          <w:lang w:val="en-US"/>
        </w:rPr>
        <w:t>%</w:t>
      </w:r>
      <w:r w:rsidR="00761AC7">
        <w:rPr>
          <w:rFonts w:ascii="Arial" w:hAnsi="Arial" w:cs="Arial"/>
          <w:sz w:val="22"/>
          <w:szCs w:val="22"/>
          <w:lang w:val="en-US"/>
        </w:rPr>
        <w:t xml:space="preserve"> (2/</w:t>
      </w:r>
      <w:r w:rsidR="00593C52">
        <w:rPr>
          <w:rFonts w:ascii="Arial" w:hAnsi="Arial" w:cs="Arial"/>
          <w:sz w:val="22"/>
          <w:szCs w:val="22"/>
          <w:lang w:val="en-US"/>
        </w:rPr>
        <w:t>19</w:t>
      </w:r>
      <w:r w:rsidR="00761AC7">
        <w:rPr>
          <w:rFonts w:ascii="Arial" w:hAnsi="Arial" w:cs="Arial"/>
          <w:sz w:val="22"/>
          <w:szCs w:val="22"/>
          <w:lang w:val="en-US"/>
        </w:rPr>
        <w:t>)</w:t>
      </w:r>
      <w:r w:rsidR="00342857" w:rsidRPr="00F37537">
        <w:rPr>
          <w:rFonts w:ascii="Arial" w:hAnsi="Arial" w:cs="Arial"/>
          <w:sz w:val="22"/>
          <w:szCs w:val="22"/>
          <w:lang w:val="en-US"/>
        </w:rPr>
        <w:t>.</w:t>
      </w:r>
      <w:r w:rsidR="004E1FBE">
        <w:rPr>
          <w:rFonts w:ascii="Arial" w:hAnsi="Arial" w:cs="Arial"/>
          <w:sz w:val="22"/>
          <w:szCs w:val="22"/>
          <w:lang w:val="en-US"/>
        </w:rPr>
        <w:t xml:space="preserve"> A total of </w:t>
      </w:r>
      <w:r w:rsidR="00EF53D2">
        <w:rPr>
          <w:rFonts w:ascii="Arial" w:hAnsi="Arial" w:cs="Arial"/>
          <w:sz w:val="22"/>
          <w:szCs w:val="22"/>
          <w:lang w:val="en-US"/>
        </w:rPr>
        <w:t>18</w:t>
      </w:r>
      <w:r w:rsidR="004E1FBE">
        <w:rPr>
          <w:rFonts w:ascii="Arial" w:hAnsi="Arial" w:cs="Arial"/>
          <w:sz w:val="22"/>
          <w:szCs w:val="22"/>
          <w:lang w:val="en-US"/>
        </w:rPr>
        <w:t xml:space="preserve"> serious adverse reactions</w:t>
      </w:r>
      <w:r w:rsidR="00EF53D2">
        <w:rPr>
          <w:rFonts w:ascii="Arial" w:hAnsi="Arial" w:cs="Arial"/>
          <w:sz w:val="22"/>
          <w:szCs w:val="22"/>
          <w:lang w:val="en-US"/>
        </w:rPr>
        <w:t xml:space="preserve"> in 11</w:t>
      </w:r>
      <w:r w:rsidR="004E1FBE">
        <w:rPr>
          <w:rFonts w:ascii="Arial" w:hAnsi="Arial" w:cs="Arial"/>
          <w:sz w:val="22"/>
          <w:szCs w:val="22"/>
          <w:lang w:val="en-US"/>
        </w:rPr>
        <w:t xml:space="preserve"> patients were reported</w:t>
      </w:r>
      <w:r w:rsidR="00761AC7">
        <w:rPr>
          <w:rFonts w:ascii="Arial" w:hAnsi="Arial" w:cs="Arial"/>
          <w:sz w:val="22"/>
          <w:szCs w:val="22"/>
          <w:lang w:val="en-US"/>
        </w:rPr>
        <w:t xml:space="preserve"> </w:t>
      </w:r>
      <w:r w:rsidR="00EF53D2">
        <w:rPr>
          <w:rFonts w:ascii="Arial" w:hAnsi="Arial" w:cs="Arial"/>
          <w:sz w:val="22"/>
          <w:szCs w:val="22"/>
          <w:lang w:val="en-US"/>
        </w:rPr>
        <w:t xml:space="preserve"> </w:t>
      </w:r>
      <w:r w:rsidR="004E1FBE">
        <w:rPr>
          <w:rFonts w:ascii="Arial" w:hAnsi="Arial" w:cs="Arial"/>
          <w:sz w:val="22"/>
          <w:szCs w:val="22"/>
          <w:lang w:val="en-US"/>
        </w:rPr>
        <w:t xml:space="preserve">and </w:t>
      </w:r>
      <w:r w:rsidR="008877ED">
        <w:rPr>
          <w:rFonts w:ascii="Arial" w:hAnsi="Arial" w:cs="Arial"/>
          <w:sz w:val="22"/>
          <w:szCs w:val="22"/>
          <w:lang w:val="en-US"/>
        </w:rPr>
        <w:t>1 treatment-related death (cohort C)</w:t>
      </w:r>
      <w:r w:rsidR="004E1FBE">
        <w:rPr>
          <w:rFonts w:ascii="Arial" w:hAnsi="Arial" w:cs="Arial"/>
          <w:sz w:val="22"/>
          <w:szCs w:val="22"/>
          <w:lang w:val="en-US"/>
        </w:rPr>
        <w:t>.</w:t>
      </w:r>
    </w:p>
    <w:p w14:paraId="388644D4" w14:textId="77777777" w:rsidR="006E0B15" w:rsidRDefault="006E0B15" w:rsidP="00521F6D">
      <w:pPr>
        <w:jc w:val="both"/>
        <w:rPr>
          <w:rFonts w:ascii="Arial" w:hAnsi="Arial" w:cs="Arial"/>
          <w:sz w:val="22"/>
          <w:szCs w:val="22"/>
          <w:lang w:val="en-US"/>
        </w:rPr>
      </w:pPr>
    </w:p>
    <w:p w14:paraId="158F4F0D" w14:textId="1B08314C" w:rsidR="00342857" w:rsidRPr="008C7FCA" w:rsidRDefault="00E35DF8" w:rsidP="00521F6D">
      <w:pPr>
        <w:jc w:val="both"/>
        <w:rPr>
          <w:rFonts w:ascii="Arial" w:hAnsi="Arial" w:cs="Arial"/>
          <w:sz w:val="22"/>
          <w:szCs w:val="22"/>
          <w:lang w:val="en-US"/>
        </w:rPr>
      </w:pPr>
      <w:r>
        <w:rPr>
          <w:rFonts w:ascii="Arial" w:hAnsi="Arial" w:cs="Arial"/>
          <w:sz w:val="22"/>
          <w:szCs w:val="22"/>
          <w:lang w:val="en-US"/>
        </w:rPr>
        <w:t>Interpretation</w:t>
      </w:r>
    </w:p>
    <w:p w14:paraId="35D851EE" w14:textId="783E7673" w:rsidR="00342857" w:rsidRPr="008C7FCA" w:rsidRDefault="00BD5DE8" w:rsidP="00521F6D">
      <w:pPr>
        <w:jc w:val="both"/>
        <w:rPr>
          <w:rFonts w:ascii="Arial" w:hAnsi="Arial" w:cs="Arial"/>
          <w:sz w:val="22"/>
          <w:szCs w:val="22"/>
          <w:lang w:val="en-US"/>
        </w:rPr>
      </w:pPr>
      <w:r w:rsidRPr="008C7FCA">
        <w:rPr>
          <w:rFonts w:ascii="Arial" w:hAnsi="Arial" w:cs="Arial"/>
          <w:sz w:val="22"/>
          <w:szCs w:val="22"/>
          <w:lang w:val="en-US"/>
        </w:rPr>
        <w:t>ct</w:t>
      </w:r>
      <w:r w:rsidR="00342857" w:rsidRPr="008C7FCA">
        <w:rPr>
          <w:rFonts w:ascii="Arial" w:hAnsi="Arial" w:cs="Arial"/>
          <w:sz w:val="22"/>
          <w:szCs w:val="22"/>
          <w:lang w:val="en-US"/>
        </w:rPr>
        <w:t>DNA testing offers accurate</w:t>
      </w:r>
      <w:r w:rsidR="00880C78" w:rsidRPr="008C7FCA">
        <w:rPr>
          <w:rFonts w:ascii="Arial" w:hAnsi="Arial" w:cs="Arial"/>
          <w:sz w:val="22"/>
          <w:szCs w:val="22"/>
          <w:lang w:val="en-US"/>
        </w:rPr>
        <w:t xml:space="preserve">, </w:t>
      </w:r>
      <w:r w:rsidR="004D6B68">
        <w:rPr>
          <w:rFonts w:ascii="Arial" w:hAnsi="Arial" w:cs="Arial"/>
          <w:sz w:val="22"/>
          <w:szCs w:val="22"/>
          <w:lang w:val="en-US"/>
        </w:rPr>
        <w:t>rapid</w:t>
      </w:r>
      <w:r w:rsidR="00880C78" w:rsidRPr="008C7FCA">
        <w:rPr>
          <w:rFonts w:ascii="Arial" w:hAnsi="Arial" w:cs="Arial"/>
          <w:sz w:val="22"/>
          <w:szCs w:val="22"/>
          <w:lang w:val="en-US"/>
        </w:rPr>
        <w:t xml:space="preserve"> </w:t>
      </w:r>
      <w:r w:rsidR="00342857" w:rsidRPr="008C7FCA">
        <w:rPr>
          <w:rFonts w:ascii="Arial" w:hAnsi="Arial" w:cs="Arial"/>
          <w:sz w:val="22"/>
          <w:szCs w:val="22"/>
          <w:lang w:val="en-US"/>
        </w:rPr>
        <w:t xml:space="preserve">genotyping </w:t>
      </w:r>
      <w:r w:rsidR="004D6B68">
        <w:rPr>
          <w:rFonts w:ascii="Arial" w:hAnsi="Arial" w:cs="Arial"/>
          <w:sz w:val="22"/>
          <w:szCs w:val="22"/>
          <w:lang w:val="en-US"/>
        </w:rPr>
        <w:t>that</w:t>
      </w:r>
      <w:r w:rsidR="00880C78" w:rsidRPr="008C7FCA">
        <w:rPr>
          <w:rFonts w:ascii="Arial" w:hAnsi="Arial" w:cs="Arial"/>
          <w:sz w:val="22"/>
          <w:szCs w:val="22"/>
          <w:lang w:val="en-US"/>
        </w:rPr>
        <w:t xml:space="preserve"> </w:t>
      </w:r>
      <w:r w:rsidR="00A31DB0">
        <w:rPr>
          <w:rFonts w:ascii="Arial" w:hAnsi="Arial" w:cs="Arial"/>
          <w:sz w:val="22"/>
          <w:szCs w:val="22"/>
          <w:lang w:val="en-US"/>
        </w:rPr>
        <w:t xml:space="preserve">enables </w:t>
      </w:r>
      <w:r w:rsidR="00880C78" w:rsidRPr="008C7FCA">
        <w:rPr>
          <w:rFonts w:ascii="Arial" w:hAnsi="Arial" w:cs="Arial"/>
          <w:sz w:val="22"/>
          <w:szCs w:val="22"/>
          <w:lang w:val="en-US"/>
        </w:rPr>
        <w:t xml:space="preserve">the selection of patients for </w:t>
      </w:r>
      <w:r w:rsidR="00A31DB0">
        <w:rPr>
          <w:rFonts w:ascii="Arial" w:hAnsi="Arial" w:cs="Arial"/>
          <w:sz w:val="22"/>
          <w:szCs w:val="22"/>
          <w:lang w:val="en-US"/>
        </w:rPr>
        <w:t xml:space="preserve">mutation-directed </w:t>
      </w:r>
      <w:r w:rsidR="00880C78" w:rsidRPr="008C7FCA">
        <w:rPr>
          <w:rFonts w:ascii="Arial" w:hAnsi="Arial" w:cs="Arial"/>
          <w:sz w:val="22"/>
          <w:szCs w:val="22"/>
          <w:lang w:val="en-US"/>
        </w:rPr>
        <w:t>therapie</w:t>
      </w:r>
      <w:r w:rsidR="00761AC7">
        <w:rPr>
          <w:rFonts w:ascii="Arial" w:hAnsi="Arial" w:cs="Arial"/>
          <w:sz w:val="22"/>
          <w:szCs w:val="22"/>
          <w:lang w:val="en-US"/>
        </w:rPr>
        <w:t xml:space="preserve">s, with sufficient clinical validity for adoption into routine clinical practice. </w:t>
      </w:r>
      <w:r w:rsidR="00181AE3" w:rsidRPr="00181AE3">
        <w:rPr>
          <w:rFonts w:ascii="Arial" w:hAnsi="Arial" w:cs="Arial"/>
          <w:sz w:val="22"/>
          <w:szCs w:val="22"/>
          <w:lang w:val="en-US"/>
        </w:rPr>
        <w:t xml:space="preserve">Our results </w:t>
      </w:r>
      <w:r w:rsidR="0023533E">
        <w:rPr>
          <w:rFonts w:ascii="Arial" w:hAnsi="Arial" w:cs="Arial"/>
          <w:sz w:val="22"/>
          <w:szCs w:val="22"/>
          <w:lang w:val="en-US"/>
        </w:rPr>
        <w:t>demonstrate</w:t>
      </w:r>
      <w:r w:rsidR="0023533E" w:rsidRPr="00181AE3">
        <w:rPr>
          <w:rFonts w:ascii="Arial" w:hAnsi="Arial" w:cs="Arial"/>
          <w:sz w:val="22"/>
          <w:szCs w:val="22"/>
          <w:lang w:val="en-US"/>
        </w:rPr>
        <w:t xml:space="preserve"> </w:t>
      </w:r>
      <w:r w:rsidR="00181AE3" w:rsidRPr="00181AE3">
        <w:rPr>
          <w:rFonts w:ascii="Arial" w:hAnsi="Arial" w:cs="Arial"/>
          <w:sz w:val="22"/>
          <w:szCs w:val="22"/>
          <w:lang w:val="en-US"/>
        </w:rPr>
        <w:t xml:space="preserve">clinically relevant activity of targeted therapies against rare </w:t>
      </w:r>
      <w:r w:rsidR="004256A3">
        <w:rPr>
          <w:rFonts w:ascii="Arial" w:hAnsi="Arial" w:cs="Arial"/>
          <w:i/>
          <w:sz w:val="22"/>
          <w:szCs w:val="22"/>
          <w:lang w:val="en-US"/>
        </w:rPr>
        <w:t>ERBB2</w:t>
      </w:r>
      <w:r w:rsidR="004256A3" w:rsidRPr="00181AE3">
        <w:rPr>
          <w:rFonts w:ascii="Arial" w:hAnsi="Arial" w:cs="Arial"/>
          <w:sz w:val="22"/>
          <w:szCs w:val="22"/>
          <w:lang w:val="en-US"/>
        </w:rPr>
        <w:t xml:space="preserve"> </w:t>
      </w:r>
      <w:r w:rsidR="00181AE3" w:rsidRPr="00181AE3">
        <w:rPr>
          <w:rFonts w:ascii="Arial" w:hAnsi="Arial" w:cs="Arial"/>
          <w:sz w:val="22"/>
          <w:szCs w:val="22"/>
          <w:lang w:val="en-US"/>
        </w:rPr>
        <w:t xml:space="preserve">and </w:t>
      </w:r>
      <w:r w:rsidR="00181AE3" w:rsidRPr="00181AE3">
        <w:rPr>
          <w:rFonts w:ascii="Arial" w:hAnsi="Arial" w:cs="Arial"/>
          <w:i/>
          <w:sz w:val="22"/>
          <w:szCs w:val="22"/>
          <w:lang w:val="en-US"/>
        </w:rPr>
        <w:t>AKT1</w:t>
      </w:r>
      <w:r w:rsidR="00181AE3" w:rsidRPr="00181AE3">
        <w:rPr>
          <w:rFonts w:ascii="Arial" w:hAnsi="Arial" w:cs="Arial"/>
          <w:sz w:val="22"/>
          <w:szCs w:val="22"/>
          <w:lang w:val="en-US"/>
        </w:rPr>
        <w:t xml:space="preserve"> mutations</w:t>
      </w:r>
      <w:r w:rsidR="00761AC7">
        <w:rPr>
          <w:rFonts w:ascii="Arial" w:hAnsi="Arial" w:cs="Arial"/>
          <w:sz w:val="22"/>
          <w:szCs w:val="22"/>
          <w:lang w:val="en-US"/>
        </w:rPr>
        <w:t>, confirming these mutations may be targetable for breast cancer treatment.</w:t>
      </w:r>
    </w:p>
    <w:p w14:paraId="46CBF7BE" w14:textId="77777777" w:rsidR="00342857" w:rsidRPr="008C7FCA" w:rsidRDefault="00342857" w:rsidP="00521F6D">
      <w:pPr>
        <w:jc w:val="both"/>
        <w:rPr>
          <w:rFonts w:ascii="Arial" w:hAnsi="Arial" w:cs="Arial"/>
          <w:sz w:val="22"/>
          <w:szCs w:val="22"/>
          <w:lang w:val="en-US"/>
        </w:rPr>
      </w:pPr>
    </w:p>
    <w:p w14:paraId="3233AE29" w14:textId="50A05ACC" w:rsidR="009F1AAD" w:rsidRDefault="007162B5" w:rsidP="00521F6D">
      <w:pPr>
        <w:jc w:val="both"/>
        <w:rPr>
          <w:rFonts w:ascii="Arial" w:hAnsi="Arial" w:cs="Arial"/>
          <w:sz w:val="22"/>
          <w:szCs w:val="22"/>
          <w:lang w:val="en-US"/>
        </w:rPr>
      </w:pPr>
      <w:r>
        <w:rPr>
          <w:rFonts w:ascii="Arial" w:hAnsi="Arial" w:cs="Arial"/>
          <w:sz w:val="22"/>
          <w:szCs w:val="22"/>
          <w:lang w:val="en-US"/>
        </w:rPr>
        <w:t>Fund</w:t>
      </w:r>
      <w:r w:rsidR="006673A3">
        <w:rPr>
          <w:rFonts w:ascii="Arial" w:hAnsi="Arial" w:cs="Arial"/>
          <w:sz w:val="22"/>
          <w:szCs w:val="22"/>
          <w:lang w:val="en-US"/>
        </w:rPr>
        <w:t xml:space="preserve">ing </w:t>
      </w:r>
      <w:r>
        <w:rPr>
          <w:rFonts w:ascii="Arial" w:hAnsi="Arial" w:cs="Arial"/>
          <w:sz w:val="22"/>
          <w:szCs w:val="22"/>
          <w:lang w:val="en-US"/>
        </w:rPr>
        <w:t xml:space="preserve"> </w:t>
      </w:r>
    </w:p>
    <w:p w14:paraId="19EC1D86" w14:textId="6237DFF4" w:rsidR="00342857" w:rsidRPr="008C7FCA" w:rsidRDefault="007162B5" w:rsidP="00521F6D">
      <w:pPr>
        <w:jc w:val="both"/>
        <w:rPr>
          <w:rFonts w:ascii="Arial" w:hAnsi="Arial" w:cs="Arial"/>
          <w:sz w:val="22"/>
          <w:szCs w:val="22"/>
          <w:lang w:val="en-US"/>
        </w:rPr>
      </w:pPr>
      <w:r>
        <w:rPr>
          <w:rFonts w:ascii="Arial" w:hAnsi="Arial" w:cs="Arial"/>
          <w:sz w:val="22"/>
          <w:szCs w:val="22"/>
          <w:lang w:val="en-US"/>
        </w:rPr>
        <w:t>Cancer Research UK (CRUK/15/010,C30746/A19505), AstraZeneca</w:t>
      </w:r>
      <w:r w:rsidR="00614E37">
        <w:rPr>
          <w:rFonts w:ascii="Arial" w:hAnsi="Arial" w:cs="Arial"/>
          <w:sz w:val="22"/>
          <w:szCs w:val="22"/>
          <w:lang w:val="en-US"/>
        </w:rPr>
        <w:t>,</w:t>
      </w:r>
      <w:r>
        <w:rPr>
          <w:rFonts w:ascii="Arial" w:hAnsi="Arial" w:cs="Arial"/>
          <w:sz w:val="22"/>
          <w:szCs w:val="22"/>
          <w:lang w:val="en-US"/>
        </w:rPr>
        <w:t xml:space="preserve"> and Puma Biotechnology</w:t>
      </w:r>
      <w:r w:rsidR="00074497">
        <w:rPr>
          <w:rFonts w:ascii="Arial" w:hAnsi="Arial" w:cs="Arial"/>
          <w:sz w:val="22"/>
          <w:szCs w:val="22"/>
          <w:lang w:val="en-US"/>
        </w:rPr>
        <w:t>.</w:t>
      </w:r>
    </w:p>
    <w:p w14:paraId="009DD7D4" w14:textId="32EF9866" w:rsidR="00722D22" w:rsidRDefault="00722D22">
      <w:pPr>
        <w:rPr>
          <w:rFonts w:ascii="Arial" w:hAnsi="Arial" w:cs="Arial"/>
          <w:b/>
          <w:sz w:val="22"/>
          <w:szCs w:val="22"/>
          <w:lang w:val="en-US"/>
        </w:rPr>
      </w:pPr>
      <w:r>
        <w:rPr>
          <w:rFonts w:ascii="Arial" w:hAnsi="Arial" w:cs="Arial"/>
          <w:b/>
          <w:sz w:val="22"/>
          <w:szCs w:val="22"/>
          <w:lang w:val="en-US"/>
        </w:rPr>
        <w:br w:type="page"/>
      </w:r>
    </w:p>
    <w:p w14:paraId="6B622E02" w14:textId="77777777" w:rsidR="00B122F9" w:rsidRPr="00074497" w:rsidRDefault="00B122F9" w:rsidP="00B122F9">
      <w:pPr>
        <w:jc w:val="both"/>
        <w:rPr>
          <w:rFonts w:ascii="Arial" w:hAnsi="Arial" w:cs="Arial"/>
          <w:b/>
          <w:bCs/>
          <w:sz w:val="22"/>
          <w:szCs w:val="22"/>
          <w:lang w:val="en-US"/>
        </w:rPr>
      </w:pPr>
      <w:r w:rsidRPr="00074497">
        <w:rPr>
          <w:rFonts w:ascii="Arial" w:hAnsi="Arial" w:cs="Arial"/>
          <w:b/>
          <w:bCs/>
          <w:sz w:val="22"/>
          <w:szCs w:val="22"/>
          <w:lang w:val="en-US"/>
        </w:rPr>
        <w:lastRenderedPageBreak/>
        <w:t>Research in context</w:t>
      </w:r>
    </w:p>
    <w:p w14:paraId="12DE6619" w14:textId="0F5307B3" w:rsidR="00F17E6F" w:rsidRDefault="00B122F9" w:rsidP="00B122F9">
      <w:pPr>
        <w:jc w:val="both"/>
        <w:rPr>
          <w:rFonts w:ascii="Arial" w:hAnsi="Arial" w:cs="Arial"/>
          <w:sz w:val="22"/>
          <w:szCs w:val="22"/>
        </w:rPr>
      </w:pPr>
      <w:r w:rsidRPr="0059232C">
        <w:rPr>
          <w:rFonts w:ascii="Arial" w:hAnsi="Arial" w:cs="Arial"/>
          <w:i/>
          <w:iCs/>
          <w:sz w:val="22"/>
          <w:szCs w:val="22"/>
          <w:lang w:val="en-US"/>
        </w:rPr>
        <w:t>Evidence before this study</w:t>
      </w:r>
    </w:p>
    <w:p w14:paraId="024B84F9" w14:textId="6EAB61A6" w:rsidR="00B122F9" w:rsidRPr="001F426E" w:rsidRDefault="00F17E6F" w:rsidP="00B122F9">
      <w:pPr>
        <w:jc w:val="both"/>
        <w:rPr>
          <w:rFonts w:ascii="Arial" w:hAnsi="Arial" w:cs="Arial"/>
          <w:sz w:val="22"/>
          <w:szCs w:val="22"/>
        </w:rPr>
      </w:pPr>
      <w:r w:rsidRPr="00F17E6F">
        <w:rPr>
          <w:rFonts w:ascii="Arial" w:hAnsi="Arial" w:cs="Arial"/>
          <w:sz w:val="22"/>
          <w:szCs w:val="22"/>
        </w:rPr>
        <w:t xml:space="preserve">We searched PubMed on </w:t>
      </w:r>
      <w:r>
        <w:rPr>
          <w:rFonts w:ascii="Arial" w:hAnsi="Arial" w:cs="Arial"/>
          <w:sz w:val="22"/>
          <w:szCs w:val="22"/>
        </w:rPr>
        <w:t>Jun 11</w:t>
      </w:r>
      <w:r w:rsidRPr="00F17E6F">
        <w:rPr>
          <w:rFonts w:ascii="Arial" w:hAnsi="Arial" w:cs="Arial"/>
          <w:sz w:val="22"/>
          <w:szCs w:val="22"/>
        </w:rPr>
        <w:t>, 20</w:t>
      </w:r>
      <w:r>
        <w:rPr>
          <w:rFonts w:ascii="Arial" w:hAnsi="Arial" w:cs="Arial"/>
          <w:sz w:val="22"/>
          <w:szCs w:val="22"/>
        </w:rPr>
        <w:t>20</w:t>
      </w:r>
      <w:r w:rsidRPr="00F17E6F">
        <w:rPr>
          <w:rFonts w:ascii="Arial" w:hAnsi="Arial" w:cs="Arial"/>
          <w:sz w:val="22"/>
          <w:szCs w:val="22"/>
        </w:rPr>
        <w:t xml:space="preserve">, for </w:t>
      </w:r>
      <w:r>
        <w:rPr>
          <w:rFonts w:ascii="Arial" w:hAnsi="Arial" w:cs="Arial"/>
          <w:sz w:val="22"/>
          <w:szCs w:val="22"/>
        </w:rPr>
        <w:t>clinical trials</w:t>
      </w:r>
      <w:r w:rsidRPr="00F17E6F">
        <w:rPr>
          <w:rFonts w:ascii="Arial" w:hAnsi="Arial" w:cs="Arial"/>
          <w:sz w:val="22"/>
          <w:szCs w:val="22"/>
        </w:rPr>
        <w:t xml:space="preserve"> published between 20</w:t>
      </w:r>
      <w:r>
        <w:rPr>
          <w:rFonts w:ascii="Arial" w:hAnsi="Arial" w:cs="Arial"/>
          <w:sz w:val="22"/>
          <w:szCs w:val="22"/>
        </w:rPr>
        <w:t>00</w:t>
      </w:r>
      <w:r w:rsidRPr="00F17E6F">
        <w:rPr>
          <w:rFonts w:ascii="Arial" w:hAnsi="Arial" w:cs="Arial"/>
          <w:sz w:val="22"/>
          <w:szCs w:val="22"/>
        </w:rPr>
        <w:t xml:space="preserve"> and 2019 with the terms “</w:t>
      </w:r>
      <w:r>
        <w:rPr>
          <w:rFonts w:ascii="Arial" w:hAnsi="Arial" w:cs="Arial"/>
          <w:sz w:val="22"/>
          <w:szCs w:val="22"/>
        </w:rPr>
        <w:t>circulating tumor DNA</w:t>
      </w:r>
      <w:r w:rsidRPr="00F17E6F">
        <w:rPr>
          <w:rFonts w:ascii="Arial" w:hAnsi="Arial" w:cs="Arial"/>
          <w:sz w:val="22"/>
          <w:szCs w:val="22"/>
        </w:rPr>
        <w:t>” AND “</w:t>
      </w:r>
      <w:r>
        <w:rPr>
          <w:rFonts w:ascii="Arial" w:hAnsi="Arial" w:cs="Arial"/>
          <w:sz w:val="22"/>
          <w:szCs w:val="22"/>
        </w:rPr>
        <w:t>cell free DNA</w:t>
      </w:r>
      <w:r w:rsidRPr="00F17E6F">
        <w:rPr>
          <w:rFonts w:ascii="Arial" w:hAnsi="Arial" w:cs="Arial"/>
          <w:sz w:val="22"/>
          <w:szCs w:val="22"/>
        </w:rPr>
        <w:t xml:space="preserve">” AND </w:t>
      </w:r>
      <w:r>
        <w:rPr>
          <w:rFonts w:ascii="Arial" w:hAnsi="Arial" w:cs="Arial"/>
          <w:sz w:val="22"/>
          <w:szCs w:val="22"/>
        </w:rPr>
        <w:t xml:space="preserve">“plasma DNA” AND </w:t>
      </w:r>
      <w:r w:rsidRPr="00F17E6F">
        <w:rPr>
          <w:rFonts w:ascii="Arial" w:hAnsi="Arial" w:cs="Arial"/>
          <w:sz w:val="22"/>
          <w:szCs w:val="22"/>
        </w:rPr>
        <w:t>“</w:t>
      </w:r>
      <w:r>
        <w:rPr>
          <w:rFonts w:ascii="Arial" w:hAnsi="Arial" w:cs="Arial"/>
          <w:sz w:val="22"/>
          <w:szCs w:val="22"/>
        </w:rPr>
        <w:t>liquid biopsy</w:t>
      </w:r>
      <w:r w:rsidRPr="00F17E6F">
        <w:rPr>
          <w:rFonts w:ascii="Arial" w:hAnsi="Arial" w:cs="Arial"/>
          <w:sz w:val="22"/>
          <w:szCs w:val="22"/>
        </w:rPr>
        <w:t xml:space="preserve">” </w:t>
      </w:r>
      <w:r w:rsidR="00D063F8">
        <w:rPr>
          <w:rFonts w:ascii="Arial" w:hAnsi="Arial" w:cs="Arial"/>
          <w:sz w:val="22"/>
          <w:szCs w:val="22"/>
        </w:rPr>
        <w:t xml:space="preserve">and “ctDNA” </w:t>
      </w:r>
      <w:r w:rsidRPr="00F17E6F">
        <w:rPr>
          <w:rFonts w:ascii="Arial" w:hAnsi="Arial" w:cs="Arial"/>
          <w:sz w:val="22"/>
          <w:szCs w:val="22"/>
        </w:rPr>
        <w:t>with no restriction on language</w:t>
      </w:r>
      <w:r>
        <w:rPr>
          <w:rFonts w:ascii="Arial" w:hAnsi="Arial" w:cs="Arial"/>
          <w:sz w:val="22"/>
          <w:szCs w:val="22"/>
        </w:rPr>
        <w:t xml:space="preserve">, and identified </w:t>
      </w:r>
      <w:r w:rsidR="00D063F8">
        <w:rPr>
          <w:rFonts w:ascii="Arial" w:hAnsi="Arial" w:cs="Arial"/>
          <w:sz w:val="22"/>
          <w:szCs w:val="22"/>
        </w:rPr>
        <w:t>212</w:t>
      </w:r>
      <w:r>
        <w:rPr>
          <w:rFonts w:ascii="Arial" w:hAnsi="Arial" w:cs="Arial"/>
          <w:sz w:val="22"/>
          <w:szCs w:val="22"/>
        </w:rPr>
        <w:t xml:space="preserve"> results. </w:t>
      </w:r>
      <w:r w:rsidR="00B122F9" w:rsidRPr="001F426E">
        <w:rPr>
          <w:rFonts w:ascii="Arial" w:hAnsi="Arial" w:cs="Arial"/>
          <w:sz w:val="22"/>
          <w:szCs w:val="22"/>
        </w:rPr>
        <w:t>Circulating tumo</w:t>
      </w:r>
      <w:r w:rsidR="00C4772B">
        <w:rPr>
          <w:rFonts w:ascii="Arial" w:hAnsi="Arial" w:cs="Arial"/>
          <w:sz w:val="22"/>
          <w:szCs w:val="22"/>
        </w:rPr>
        <w:t>u</w:t>
      </w:r>
      <w:r w:rsidR="00B122F9" w:rsidRPr="001F426E">
        <w:rPr>
          <w:rFonts w:ascii="Arial" w:hAnsi="Arial" w:cs="Arial"/>
          <w:sz w:val="22"/>
          <w:szCs w:val="22"/>
        </w:rPr>
        <w:t xml:space="preserve">r DNA analysis </w:t>
      </w:r>
      <w:r>
        <w:rPr>
          <w:rFonts w:ascii="Arial" w:hAnsi="Arial" w:cs="Arial"/>
          <w:sz w:val="22"/>
          <w:szCs w:val="22"/>
        </w:rPr>
        <w:t xml:space="preserve">in multiple retrospective trials has been shown to </w:t>
      </w:r>
      <w:r w:rsidR="00A055F4">
        <w:rPr>
          <w:rFonts w:ascii="Arial" w:hAnsi="Arial" w:cs="Arial"/>
          <w:sz w:val="22"/>
          <w:szCs w:val="22"/>
        </w:rPr>
        <w:t xml:space="preserve">accurately genotype </w:t>
      </w:r>
      <w:r>
        <w:rPr>
          <w:rFonts w:ascii="Arial" w:hAnsi="Arial" w:cs="Arial"/>
          <w:sz w:val="22"/>
          <w:szCs w:val="22"/>
        </w:rPr>
        <w:t xml:space="preserve"> mutations found in the tumour</w:t>
      </w:r>
      <w:r w:rsidR="001A4FE2">
        <w:rPr>
          <w:rFonts w:ascii="Arial" w:hAnsi="Arial" w:cs="Arial"/>
          <w:sz w:val="22"/>
          <w:szCs w:val="22"/>
        </w:rPr>
        <w:t xml:space="preserve"> </w:t>
      </w:r>
      <w:r w:rsidR="001A4FE2" w:rsidDel="001A4FE2">
        <w:rPr>
          <w:rFonts w:ascii="Arial" w:hAnsi="Arial" w:cs="Arial"/>
          <w:sz w:val="22"/>
          <w:szCs w:val="22"/>
        </w:rPr>
        <w:t xml:space="preserve"> </w:t>
      </w:r>
      <w:r>
        <w:rPr>
          <w:rFonts w:ascii="Arial" w:hAnsi="Arial" w:cs="Arial"/>
          <w:sz w:val="22"/>
          <w:szCs w:val="22"/>
        </w:rPr>
        <w:t>Circulating tumour DNA analysis therefore has</w:t>
      </w:r>
      <w:r w:rsidRPr="001F426E">
        <w:rPr>
          <w:rFonts w:ascii="Arial" w:hAnsi="Arial" w:cs="Arial"/>
          <w:sz w:val="22"/>
          <w:szCs w:val="22"/>
        </w:rPr>
        <w:t xml:space="preserve"> </w:t>
      </w:r>
      <w:r w:rsidR="00B122F9" w:rsidRPr="001F426E">
        <w:rPr>
          <w:rFonts w:ascii="Arial" w:hAnsi="Arial" w:cs="Arial"/>
          <w:sz w:val="22"/>
          <w:szCs w:val="22"/>
        </w:rPr>
        <w:t>the potential to transform the selection of targeted therapies for patients with advanced cancer</w:t>
      </w:r>
      <w:r>
        <w:rPr>
          <w:rFonts w:ascii="Arial" w:hAnsi="Arial" w:cs="Arial"/>
          <w:sz w:val="22"/>
          <w:szCs w:val="22"/>
        </w:rPr>
        <w:t>. Y</w:t>
      </w:r>
      <w:r w:rsidR="00B122F9" w:rsidRPr="001F426E">
        <w:rPr>
          <w:rFonts w:ascii="Arial" w:hAnsi="Arial" w:cs="Arial"/>
          <w:sz w:val="22"/>
          <w:szCs w:val="22"/>
        </w:rPr>
        <w:t xml:space="preserve">et there has been uncertainty about validity of ctDNA testing in routine practice, as there have been </w:t>
      </w:r>
      <w:r w:rsidR="00D063F8">
        <w:rPr>
          <w:rFonts w:ascii="Arial" w:hAnsi="Arial" w:cs="Arial"/>
          <w:sz w:val="22"/>
          <w:szCs w:val="22"/>
        </w:rPr>
        <w:t>few</w:t>
      </w:r>
      <w:r w:rsidR="00D063F8" w:rsidRPr="001F426E">
        <w:rPr>
          <w:rFonts w:ascii="Arial" w:hAnsi="Arial" w:cs="Arial"/>
          <w:sz w:val="22"/>
          <w:szCs w:val="22"/>
        </w:rPr>
        <w:t xml:space="preserve"> </w:t>
      </w:r>
      <w:r w:rsidR="00B122F9" w:rsidRPr="001F426E">
        <w:rPr>
          <w:rFonts w:ascii="Arial" w:hAnsi="Arial" w:cs="Arial"/>
          <w:sz w:val="22"/>
          <w:szCs w:val="22"/>
        </w:rPr>
        <w:t>large prospective studies to assess the accuracy and utility of ctDNA testing</w:t>
      </w:r>
      <w:r w:rsidR="001A4FE2">
        <w:rPr>
          <w:rFonts w:ascii="Arial" w:hAnsi="Arial" w:cs="Arial"/>
          <w:sz w:val="22"/>
          <w:szCs w:val="22"/>
        </w:rPr>
        <w:t>.</w:t>
      </w:r>
      <w:r w:rsidR="00B122F9" w:rsidRPr="001F426E">
        <w:rPr>
          <w:rFonts w:ascii="Arial" w:hAnsi="Arial" w:cs="Arial"/>
          <w:sz w:val="22"/>
          <w:szCs w:val="22"/>
        </w:rPr>
        <w:t xml:space="preserve"> </w:t>
      </w:r>
      <w:r w:rsidR="00D063F8">
        <w:rPr>
          <w:rFonts w:ascii="Arial" w:hAnsi="Arial" w:cs="Arial"/>
          <w:sz w:val="22"/>
          <w:szCs w:val="22"/>
        </w:rPr>
        <w:t xml:space="preserve">The TARGET trial reported in 2019 </w:t>
      </w:r>
      <w:r w:rsidR="00846BBC">
        <w:rPr>
          <w:rFonts w:ascii="Arial" w:hAnsi="Arial" w:cs="Arial"/>
          <w:sz w:val="22"/>
          <w:szCs w:val="22"/>
        </w:rPr>
        <w:t xml:space="preserve">a potential role for </w:t>
      </w:r>
      <w:r w:rsidR="00D063F8">
        <w:rPr>
          <w:rFonts w:ascii="Arial" w:hAnsi="Arial" w:cs="Arial"/>
          <w:sz w:val="22"/>
          <w:szCs w:val="22"/>
        </w:rPr>
        <w:t>ctDNA testing</w:t>
      </w:r>
      <w:r>
        <w:rPr>
          <w:rFonts w:ascii="Arial" w:hAnsi="Arial" w:cs="Arial"/>
          <w:sz w:val="22"/>
          <w:szCs w:val="22"/>
        </w:rPr>
        <w:t xml:space="preserve"> in 100 patients </w:t>
      </w:r>
      <w:r w:rsidR="00846BBC">
        <w:rPr>
          <w:rFonts w:ascii="Arial" w:hAnsi="Arial" w:cs="Arial"/>
          <w:sz w:val="22"/>
          <w:szCs w:val="22"/>
        </w:rPr>
        <w:t xml:space="preserve">with advanced cancers </w:t>
      </w:r>
      <w:r w:rsidR="00D063F8">
        <w:rPr>
          <w:rFonts w:ascii="Arial" w:hAnsi="Arial" w:cs="Arial"/>
          <w:sz w:val="22"/>
          <w:szCs w:val="22"/>
        </w:rPr>
        <w:t xml:space="preserve">in </w:t>
      </w:r>
      <w:r w:rsidR="00846BBC">
        <w:rPr>
          <w:rFonts w:ascii="Arial" w:hAnsi="Arial" w:cs="Arial"/>
          <w:sz w:val="22"/>
          <w:szCs w:val="22"/>
        </w:rPr>
        <w:t>an early phase clinical trial setting</w:t>
      </w:r>
      <w:r w:rsidR="00D063F8">
        <w:rPr>
          <w:rFonts w:ascii="Arial" w:hAnsi="Arial" w:cs="Arial"/>
          <w:sz w:val="22"/>
          <w:szCs w:val="22"/>
        </w:rPr>
        <w:t xml:space="preserve">. </w:t>
      </w:r>
      <w:r w:rsidR="001C3DD5">
        <w:rPr>
          <w:rFonts w:ascii="Arial" w:hAnsi="Arial" w:cs="Arial"/>
          <w:sz w:val="22"/>
          <w:szCs w:val="22"/>
        </w:rPr>
        <w:t xml:space="preserve">In addition, sensitivity has not been perfect in prior retrospective studies, suggesting the potential for false negative ctDNA results, and in routine clinical practice reflex testing of tumour tissue is advised to confirm negative results. </w:t>
      </w:r>
      <w:r w:rsidR="00B122F9" w:rsidRPr="001F426E">
        <w:rPr>
          <w:rFonts w:ascii="Arial" w:hAnsi="Arial" w:cs="Arial"/>
          <w:sz w:val="22"/>
          <w:szCs w:val="22"/>
        </w:rPr>
        <w:t>The ASCO-CAP guidelines committee on ctDNA analysis concluded</w:t>
      </w:r>
      <w:r>
        <w:rPr>
          <w:rFonts w:ascii="Arial" w:hAnsi="Arial" w:cs="Arial"/>
          <w:sz w:val="22"/>
          <w:szCs w:val="22"/>
        </w:rPr>
        <w:t xml:space="preserve"> in 2018</w:t>
      </w:r>
      <w:r w:rsidR="00B122F9" w:rsidRPr="001F426E">
        <w:rPr>
          <w:rFonts w:ascii="Arial" w:hAnsi="Arial" w:cs="Arial"/>
          <w:sz w:val="22"/>
          <w:szCs w:val="22"/>
        </w:rPr>
        <w:t xml:space="preserve"> the lack of prospective trials was one of the major weaknesses in evidence on bringing </w:t>
      </w:r>
      <w:r w:rsidR="00B122F9">
        <w:rPr>
          <w:rFonts w:ascii="Arial" w:hAnsi="Arial" w:cs="Arial"/>
          <w:sz w:val="22"/>
          <w:szCs w:val="22"/>
        </w:rPr>
        <w:t>ctDNA testing</w:t>
      </w:r>
      <w:r w:rsidR="00B122F9" w:rsidRPr="001F426E">
        <w:rPr>
          <w:rFonts w:ascii="Arial" w:hAnsi="Arial" w:cs="Arial"/>
          <w:sz w:val="22"/>
          <w:szCs w:val="22"/>
        </w:rPr>
        <w:t xml:space="preserve"> through to routine practice</w:t>
      </w:r>
      <w:r w:rsidR="003F4F37">
        <w:rPr>
          <w:rFonts w:ascii="Arial" w:hAnsi="Arial" w:cs="Arial"/>
          <w:sz w:val="22"/>
          <w:szCs w:val="22"/>
        </w:rPr>
        <w:t>, with a need for trials that recruited patients solely on the basis of ctDNA testing without prior tissue testin</w:t>
      </w:r>
      <w:r w:rsidR="001C3DD5">
        <w:rPr>
          <w:rFonts w:ascii="Arial" w:hAnsi="Arial" w:cs="Arial"/>
          <w:sz w:val="22"/>
          <w:szCs w:val="22"/>
        </w:rPr>
        <w:t>g.</w:t>
      </w:r>
    </w:p>
    <w:p w14:paraId="2638FCF4" w14:textId="77777777" w:rsidR="00B122F9" w:rsidRPr="0059232C" w:rsidRDefault="00B122F9" w:rsidP="00B122F9">
      <w:pPr>
        <w:jc w:val="both"/>
        <w:rPr>
          <w:rFonts w:ascii="Arial" w:hAnsi="Arial" w:cs="Arial"/>
          <w:sz w:val="22"/>
          <w:szCs w:val="22"/>
          <w:lang w:val="en-US"/>
        </w:rPr>
      </w:pPr>
    </w:p>
    <w:p w14:paraId="734CF4D5" w14:textId="77777777" w:rsidR="00B122F9" w:rsidRPr="0059232C" w:rsidRDefault="00B122F9" w:rsidP="00B122F9">
      <w:pPr>
        <w:jc w:val="both"/>
        <w:rPr>
          <w:rFonts w:ascii="Arial" w:hAnsi="Arial" w:cs="Arial"/>
          <w:i/>
          <w:iCs/>
          <w:sz w:val="22"/>
          <w:szCs w:val="22"/>
          <w:lang w:val="en-US"/>
        </w:rPr>
      </w:pPr>
      <w:r w:rsidRPr="0059232C">
        <w:rPr>
          <w:rFonts w:ascii="Arial" w:hAnsi="Arial" w:cs="Arial"/>
          <w:i/>
          <w:iCs/>
          <w:sz w:val="22"/>
          <w:szCs w:val="22"/>
        </w:rPr>
        <w:t>Added value of this study</w:t>
      </w:r>
    </w:p>
    <w:p w14:paraId="23B5B991" w14:textId="4CA5C01A" w:rsidR="00B122F9" w:rsidRPr="00A12285" w:rsidRDefault="00B122F9" w:rsidP="00B122F9">
      <w:pPr>
        <w:jc w:val="both"/>
        <w:rPr>
          <w:rFonts w:ascii="Arial" w:hAnsi="Arial" w:cs="Arial"/>
          <w:sz w:val="22"/>
          <w:szCs w:val="22"/>
        </w:rPr>
      </w:pPr>
      <w:r>
        <w:rPr>
          <w:rFonts w:ascii="Arial" w:hAnsi="Arial" w:cs="Arial"/>
          <w:sz w:val="22"/>
          <w:szCs w:val="22"/>
        </w:rPr>
        <w:t>plasmaMATCH represents</w:t>
      </w:r>
      <w:r w:rsidR="000E305C">
        <w:rPr>
          <w:rFonts w:ascii="Arial" w:hAnsi="Arial" w:cs="Arial"/>
          <w:sz w:val="22"/>
          <w:szCs w:val="22"/>
        </w:rPr>
        <w:t xml:space="preserve"> to our knowledge the</w:t>
      </w:r>
      <w:r w:rsidRPr="001F426E">
        <w:rPr>
          <w:rFonts w:ascii="Arial" w:hAnsi="Arial" w:cs="Arial"/>
          <w:sz w:val="22"/>
          <w:szCs w:val="22"/>
        </w:rPr>
        <w:t xml:space="preserve"> first large prospective, multi-cent</w:t>
      </w:r>
      <w:r w:rsidR="00C4772B">
        <w:rPr>
          <w:rFonts w:ascii="Arial" w:hAnsi="Arial" w:cs="Arial"/>
          <w:sz w:val="22"/>
          <w:szCs w:val="22"/>
        </w:rPr>
        <w:t>re</w:t>
      </w:r>
      <w:r w:rsidRPr="001F426E">
        <w:rPr>
          <w:rFonts w:ascii="Arial" w:hAnsi="Arial" w:cs="Arial"/>
          <w:sz w:val="22"/>
          <w:szCs w:val="22"/>
        </w:rPr>
        <w:t xml:space="preserve"> study assessing the utility of circulating tumo</w:t>
      </w:r>
      <w:r w:rsidR="00C4772B">
        <w:rPr>
          <w:rFonts w:ascii="Arial" w:hAnsi="Arial" w:cs="Arial"/>
          <w:sz w:val="22"/>
          <w:szCs w:val="22"/>
        </w:rPr>
        <w:t>u</w:t>
      </w:r>
      <w:r w:rsidRPr="001F426E">
        <w:rPr>
          <w:rFonts w:ascii="Arial" w:hAnsi="Arial" w:cs="Arial"/>
          <w:sz w:val="22"/>
          <w:szCs w:val="22"/>
        </w:rPr>
        <w:t xml:space="preserve">r DNA analysis to direct therapy in patients with advanced breast cancer. </w:t>
      </w:r>
      <w:r>
        <w:rPr>
          <w:rFonts w:ascii="Arial" w:hAnsi="Arial" w:cs="Arial"/>
          <w:sz w:val="22"/>
          <w:szCs w:val="22"/>
        </w:rPr>
        <w:t>It</w:t>
      </w:r>
      <w:r w:rsidRPr="001F426E">
        <w:rPr>
          <w:rFonts w:ascii="Arial" w:hAnsi="Arial" w:cs="Arial"/>
          <w:sz w:val="22"/>
          <w:szCs w:val="22"/>
        </w:rPr>
        <w:t xml:space="preserve"> recruited 1051 patients for ctDNA testing, from both academic and general hospitals, testing with two orthogonal ctDNA analysis techniques. Very high agreement between ctDNA assays </w:t>
      </w:r>
      <w:r w:rsidR="00DD22FE">
        <w:rPr>
          <w:rFonts w:ascii="Arial" w:hAnsi="Arial" w:cs="Arial"/>
          <w:sz w:val="22"/>
          <w:szCs w:val="22"/>
        </w:rPr>
        <w:t>i</w:t>
      </w:r>
      <w:r w:rsidRPr="001F426E">
        <w:rPr>
          <w:rFonts w:ascii="Arial" w:hAnsi="Arial" w:cs="Arial"/>
          <w:sz w:val="22"/>
          <w:szCs w:val="22"/>
        </w:rPr>
        <w:t>s demonstrated</w:t>
      </w:r>
      <w:r w:rsidR="008D5053">
        <w:rPr>
          <w:rFonts w:ascii="Arial" w:hAnsi="Arial" w:cs="Arial"/>
          <w:sz w:val="22"/>
          <w:szCs w:val="22"/>
        </w:rPr>
        <w:t>,</w:t>
      </w:r>
      <w:r w:rsidR="00DD22FE">
        <w:rPr>
          <w:rFonts w:ascii="Arial" w:hAnsi="Arial" w:cs="Arial"/>
          <w:sz w:val="22"/>
          <w:szCs w:val="22"/>
        </w:rPr>
        <w:t xml:space="preserve"> and very</w:t>
      </w:r>
      <w:r w:rsidRPr="001F426E">
        <w:rPr>
          <w:rFonts w:ascii="Arial" w:hAnsi="Arial" w:cs="Arial"/>
          <w:sz w:val="22"/>
          <w:szCs w:val="22"/>
        </w:rPr>
        <w:t xml:space="preserve"> high sensitivity </w:t>
      </w:r>
      <w:r w:rsidR="00DD22FE">
        <w:rPr>
          <w:rFonts w:ascii="Arial" w:hAnsi="Arial" w:cs="Arial"/>
          <w:sz w:val="22"/>
          <w:szCs w:val="22"/>
        </w:rPr>
        <w:t>for mutations identified in</w:t>
      </w:r>
      <w:r w:rsidRPr="001F426E">
        <w:rPr>
          <w:rFonts w:ascii="Arial" w:hAnsi="Arial" w:cs="Arial"/>
          <w:sz w:val="22"/>
          <w:szCs w:val="22"/>
        </w:rPr>
        <w:t xml:space="preserve"> </w:t>
      </w:r>
      <w:r w:rsidR="008D5053">
        <w:rPr>
          <w:rFonts w:ascii="Arial" w:hAnsi="Arial" w:cs="Arial"/>
          <w:sz w:val="22"/>
          <w:szCs w:val="22"/>
        </w:rPr>
        <w:t xml:space="preserve">tissue </w:t>
      </w:r>
      <w:r w:rsidR="00DD22FE">
        <w:rPr>
          <w:rFonts w:ascii="Arial" w:hAnsi="Arial" w:cs="Arial"/>
          <w:sz w:val="22"/>
          <w:szCs w:val="22"/>
        </w:rPr>
        <w:t xml:space="preserve">sequencing, especially with contemporaneous biopsies. </w:t>
      </w:r>
      <w:r w:rsidR="008D5053" w:rsidRPr="001F426E">
        <w:rPr>
          <w:rFonts w:ascii="Arial" w:hAnsi="Arial" w:cs="Arial"/>
          <w:sz w:val="22"/>
          <w:szCs w:val="22"/>
        </w:rPr>
        <w:t xml:space="preserve">Mutation directed therapy with alpelisib is approved to target </w:t>
      </w:r>
      <w:r w:rsidR="008D5053" w:rsidRPr="001F426E">
        <w:rPr>
          <w:rFonts w:ascii="Arial" w:hAnsi="Arial" w:cs="Arial"/>
          <w:i/>
          <w:iCs/>
          <w:sz w:val="22"/>
          <w:szCs w:val="22"/>
        </w:rPr>
        <w:t>PIK3CA</w:t>
      </w:r>
      <w:r w:rsidR="008D5053" w:rsidRPr="001F426E">
        <w:rPr>
          <w:rFonts w:ascii="Arial" w:hAnsi="Arial" w:cs="Arial"/>
          <w:sz w:val="22"/>
          <w:szCs w:val="22"/>
        </w:rPr>
        <w:t xml:space="preserve"> mutations, and our study demonstrates the clinical validity of using ctDNA to direct therapy.</w:t>
      </w:r>
    </w:p>
    <w:p w14:paraId="1F2D1C24" w14:textId="7F73B201" w:rsidR="00B122F9" w:rsidRDefault="00B122F9" w:rsidP="00B122F9">
      <w:pPr>
        <w:jc w:val="both"/>
        <w:rPr>
          <w:rFonts w:ascii="Arial" w:hAnsi="Arial" w:cs="Arial"/>
          <w:sz w:val="22"/>
          <w:szCs w:val="22"/>
        </w:rPr>
      </w:pPr>
      <w:r w:rsidRPr="00A12285">
        <w:rPr>
          <w:rFonts w:ascii="Arial" w:hAnsi="Arial" w:cs="Arial"/>
          <w:sz w:val="22"/>
          <w:szCs w:val="22"/>
        </w:rPr>
        <w:t>Patients with rare</w:t>
      </w:r>
      <w:r w:rsidR="00517AF5">
        <w:rPr>
          <w:rFonts w:ascii="Arial" w:hAnsi="Arial" w:cs="Arial"/>
          <w:sz w:val="22"/>
          <w:szCs w:val="22"/>
        </w:rPr>
        <w:t>,</w:t>
      </w:r>
      <w:r w:rsidRPr="00A12285">
        <w:rPr>
          <w:rFonts w:ascii="Arial" w:hAnsi="Arial" w:cs="Arial"/>
          <w:sz w:val="22"/>
          <w:szCs w:val="22"/>
        </w:rPr>
        <w:t xml:space="preserve"> potentially-targetable mutations in </w:t>
      </w:r>
      <w:r w:rsidR="0036323A">
        <w:rPr>
          <w:rFonts w:ascii="Arial" w:hAnsi="Arial" w:cs="Arial"/>
          <w:i/>
          <w:iCs/>
          <w:sz w:val="22"/>
          <w:szCs w:val="22"/>
        </w:rPr>
        <w:t>ERBB2</w:t>
      </w:r>
      <w:r w:rsidR="0036323A" w:rsidRPr="00A12285">
        <w:rPr>
          <w:rFonts w:ascii="Arial" w:hAnsi="Arial" w:cs="Arial"/>
          <w:sz w:val="22"/>
          <w:szCs w:val="22"/>
        </w:rPr>
        <w:t xml:space="preserve"> </w:t>
      </w:r>
      <w:r w:rsidRPr="00A12285">
        <w:rPr>
          <w:rFonts w:ascii="Arial" w:hAnsi="Arial" w:cs="Arial"/>
          <w:sz w:val="22"/>
          <w:szCs w:val="22"/>
        </w:rPr>
        <w:t xml:space="preserve">and </w:t>
      </w:r>
      <w:r w:rsidRPr="00D87BC3">
        <w:rPr>
          <w:rFonts w:ascii="Arial" w:hAnsi="Arial" w:cs="Arial"/>
          <w:i/>
          <w:iCs/>
          <w:sz w:val="22"/>
          <w:szCs w:val="22"/>
        </w:rPr>
        <w:t>AKT1</w:t>
      </w:r>
      <w:r w:rsidRPr="00A12285">
        <w:rPr>
          <w:rFonts w:ascii="Arial" w:hAnsi="Arial" w:cs="Arial"/>
          <w:sz w:val="22"/>
          <w:szCs w:val="22"/>
        </w:rPr>
        <w:t xml:space="preserve"> in ctDNA, had clinically important responses with the </w:t>
      </w:r>
      <w:r w:rsidR="0036323A" w:rsidRPr="0036323A">
        <w:rPr>
          <w:rFonts w:ascii="Arial" w:hAnsi="Arial" w:cs="Arial"/>
          <w:i/>
          <w:sz w:val="22"/>
          <w:szCs w:val="22"/>
        </w:rPr>
        <w:t>ERBB2</w:t>
      </w:r>
      <w:r w:rsidR="0036323A" w:rsidRPr="00A12285">
        <w:rPr>
          <w:rFonts w:ascii="Arial" w:hAnsi="Arial" w:cs="Arial"/>
          <w:sz w:val="22"/>
          <w:szCs w:val="22"/>
        </w:rPr>
        <w:t xml:space="preserve"> </w:t>
      </w:r>
      <w:r w:rsidRPr="00A12285">
        <w:rPr>
          <w:rFonts w:ascii="Arial" w:hAnsi="Arial" w:cs="Arial"/>
          <w:sz w:val="22"/>
          <w:szCs w:val="22"/>
        </w:rPr>
        <w:t xml:space="preserve">inhibitor neratinib and </w:t>
      </w:r>
      <w:r w:rsidRPr="0036323A">
        <w:rPr>
          <w:rFonts w:ascii="Arial" w:hAnsi="Arial" w:cs="Arial"/>
          <w:i/>
          <w:sz w:val="22"/>
          <w:szCs w:val="22"/>
        </w:rPr>
        <w:t>AKT</w:t>
      </w:r>
      <w:r w:rsidRPr="00A12285">
        <w:rPr>
          <w:rFonts w:ascii="Arial" w:hAnsi="Arial" w:cs="Arial"/>
          <w:sz w:val="22"/>
          <w:szCs w:val="22"/>
        </w:rPr>
        <w:t xml:space="preserve"> inhibitor capivasertib respectively</w:t>
      </w:r>
      <w:r w:rsidR="00685745">
        <w:rPr>
          <w:rFonts w:ascii="Arial" w:hAnsi="Arial" w:cs="Arial"/>
          <w:sz w:val="22"/>
          <w:szCs w:val="22"/>
        </w:rPr>
        <w:t xml:space="preserve">, similar to activity seen in prior tissue sequencing directed trials. </w:t>
      </w:r>
      <w:r w:rsidRPr="00A12285">
        <w:rPr>
          <w:rFonts w:ascii="Arial" w:hAnsi="Arial" w:cs="Arial"/>
          <w:sz w:val="22"/>
          <w:szCs w:val="22"/>
        </w:rPr>
        <w:t xml:space="preserve">These findings confirm that these mutations are targetable for breast cancer therapy, and demonstrate the </w:t>
      </w:r>
      <w:r w:rsidR="00E32B5D">
        <w:rPr>
          <w:rFonts w:ascii="Arial" w:hAnsi="Arial" w:cs="Arial"/>
          <w:sz w:val="22"/>
          <w:szCs w:val="22"/>
        </w:rPr>
        <w:t xml:space="preserve">validity and </w:t>
      </w:r>
      <w:r w:rsidRPr="00A12285">
        <w:rPr>
          <w:rFonts w:ascii="Arial" w:hAnsi="Arial" w:cs="Arial"/>
          <w:sz w:val="22"/>
          <w:szCs w:val="22"/>
        </w:rPr>
        <w:t xml:space="preserve">utility of </w:t>
      </w:r>
      <w:r w:rsidR="00FA70FC">
        <w:rPr>
          <w:rFonts w:ascii="Arial" w:hAnsi="Arial" w:cs="Arial"/>
          <w:sz w:val="22"/>
          <w:szCs w:val="22"/>
        </w:rPr>
        <w:t>using ctDNA testing to screen</w:t>
      </w:r>
      <w:r w:rsidRPr="00A12285">
        <w:rPr>
          <w:rFonts w:ascii="Arial" w:hAnsi="Arial" w:cs="Arial"/>
          <w:sz w:val="22"/>
          <w:szCs w:val="22"/>
        </w:rPr>
        <w:t xml:space="preserve"> patients for rare mutations.</w:t>
      </w:r>
    </w:p>
    <w:p w14:paraId="7CB6213C" w14:textId="77777777" w:rsidR="00B122F9" w:rsidRPr="00B122F9" w:rsidRDefault="00B122F9" w:rsidP="00B122F9">
      <w:pPr>
        <w:jc w:val="both"/>
        <w:rPr>
          <w:rFonts w:ascii="Arial" w:hAnsi="Arial" w:cs="Arial"/>
          <w:sz w:val="22"/>
          <w:szCs w:val="22"/>
        </w:rPr>
      </w:pPr>
    </w:p>
    <w:p w14:paraId="209D4F6C" w14:textId="77777777" w:rsidR="00B122F9" w:rsidRPr="0059232C" w:rsidRDefault="00B122F9" w:rsidP="00517AF5">
      <w:pPr>
        <w:jc w:val="both"/>
        <w:rPr>
          <w:rFonts w:ascii="Arial" w:hAnsi="Arial" w:cs="Arial"/>
          <w:i/>
          <w:iCs/>
          <w:sz w:val="22"/>
          <w:szCs w:val="22"/>
          <w:lang w:val="en-US"/>
        </w:rPr>
      </w:pPr>
      <w:r w:rsidRPr="0059232C">
        <w:rPr>
          <w:rFonts w:ascii="Arial" w:hAnsi="Arial" w:cs="Arial"/>
          <w:i/>
          <w:iCs/>
          <w:sz w:val="22"/>
          <w:szCs w:val="22"/>
        </w:rPr>
        <w:lastRenderedPageBreak/>
        <w:t>Implications of all the available evidence</w:t>
      </w:r>
    </w:p>
    <w:p w14:paraId="2CB65EDE" w14:textId="456B9E53" w:rsidR="00B122F9" w:rsidRDefault="00B122F9" w:rsidP="00517AF5">
      <w:pPr>
        <w:jc w:val="both"/>
        <w:rPr>
          <w:rFonts w:ascii="Arial" w:hAnsi="Arial" w:cs="Arial"/>
          <w:sz w:val="22"/>
          <w:szCs w:val="22"/>
        </w:rPr>
      </w:pPr>
      <w:r>
        <w:rPr>
          <w:rFonts w:ascii="Arial" w:hAnsi="Arial" w:cs="Arial"/>
          <w:sz w:val="22"/>
          <w:szCs w:val="22"/>
        </w:rPr>
        <w:t>These</w:t>
      </w:r>
      <w:r w:rsidRPr="001F426E">
        <w:rPr>
          <w:rFonts w:ascii="Arial" w:hAnsi="Arial" w:cs="Arial"/>
          <w:sz w:val="22"/>
          <w:szCs w:val="22"/>
        </w:rPr>
        <w:t xml:space="preserve"> findings demonstrate that ctDNA testing for mutations has sufficient accuracy for widespread adoption in clinical practice, with the assays used. </w:t>
      </w:r>
      <w:r>
        <w:rPr>
          <w:rFonts w:ascii="Arial" w:hAnsi="Arial" w:cs="Arial"/>
          <w:sz w:val="22"/>
          <w:szCs w:val="22"/>
        </w:rPr>
        <w:t>The high sensitivity of ctD</w:t>
      </w:r>
      <w:r w:rsidR="00517AF5">
        <w:rPr>
          <w:rFonts w:ascii="Arial" w:hAnsi="Arial" w:cs="Arial"/>
          <w:sz w:val="22"/>
          <w:szCs w:val="22"/>
        </w:rPr>
        <w:t>NA testing for tissue mutations</w:t>
      </w:r>
      <w:r>
        <w:rPr>
          <w:rFonts w:ascii="Arial" w:hAnsi="Arial" w:cs="Arial"/>
          <w:sz w:val="22"/>
          <w:szCs w:val="22"/>
        </w:rPr>
        <w:t xml:space="preserve"> questions the need to conduct reflex tissue testing for negative ctDNA results, w</w:t>
      </w:r>
      <w:r w:rsidR="00A37DF1">
        <w:rPr>
          <w:rFonts w:ascii="Arial" w:hAnsi="Arial" w:cs="Arial"/>
          <w:sz w:val="22"/>
          <w:szCs w:val="22"/>
        </w:rPr>
        <w:t xml:space="preserve">ithin the </w:t>
      </w:r>
      <w:r w:rsidR="00EF5AEC" w:rsidRPr="00EF5AEC">
        <w:rPr>
          <w:rFonts w:ascii="Arial" w:hAnsi="Arial" w:cs="Arial"/>
          <w:sz w:val="22"/>
          <w:szCs w:val="22"/>
        </w:rPr>
        <w:t>pre</w:t>
      </w:r>
      <w:r w:rsidR="00EF5AEC">
        <w:rPr>
          <w:rFonts w:ascii="Arial" w:hAnsi="Arial" w:cs="Arial"/>
          <w:sz w:val="22"/>
          <w:szCs w:val="22"/>
        </w:rPr>
        <w:t>-</w:t>
      </w:r>
      <w:r w:rsidR="00EF5AEC" w:rsidRPr="00EF5AEC">
        <w:rPr>
          <w:rFonts w:ascii="Arial" w:hAnsi="Arial" w:cs="Arial"/>
          <w:sz w:val="22"/>
          <w:szCs w:val="22"/>
        </w:rPr>
        <w:t xml:space="preserve">treated metastatic breast cancer patient </w:t>
      </w:r>
      <w:r w:rsidR="00A37DF1">
        <w:rPr>
          <w:rFonts w:ascii="Arial" w:hAnsi="Arial" w:cs="Arial"/>
          <w:sz w:val="22"/>
          <w:szCs w:val="22"/>
        </w:rPr>
        <w:t>population recruited.</w:t>
      </w:r>
      <w:r>
        <w:rPr>
          <w:rFonts w:ascii="Arial" w:hAnsi="Arial" w:cs="Arial"/>
          <w:sz w:val="22"/>
          <w:szCs w:val="22"/>
        </w:rPr>
        <w:t xml:space="preserve"> This</w:t>
      </w:r>
      <w:r w:rsidRPr="001F426E">
        <w:rPr>
          <w:rFonts w:ascii="Arial" w:hAnsi="Arial" w:cs="Arial"/>
          <w:sz w:val="22"/>
          <w:szCs w:val="22"/>
        </w:rPr>
        <w:t xml:space="preserve"> study also demonstrates the potential of a novel liquid biopsy platform to screen for rare oncogenic mutations in breast cancer, </w:t>
      </w:r>
      <w:r>
        <w:rPr>
          <w:rFonts w:ascii="Arial" w:hAnsi="Arial" w:cs="Arial"/>
          <w:sz w:val="22"/>
          <w:szCs w:val="22"/>
        </w:rPr>
        <w:t xml:space="preserve">and </w:t>
      </w:r>
      <w:r w:rsidRPr="001F426E">
        <w:rPr>
          <w:rFonts w:ascii="Arial" w:hAnsi="Arial" w:cs="Arial"/>
          <w:sz w:val="22"/>
          <w:szCs w:val="22"/>
        </w:rPr>
        <w:t>how this approach c</w:t>
      </w:r>
      <w:r>
        <w:rPr>
          <w:rFonts w:ascii="Arial" w:hAnsi="Arial" w:cs="Arial"/>
          <w:sz w:val="22"/>
          <w:szCs w:val="22"/>
        </w:rPr>
        <w:t>ould</w:t>
      </w:r>
      <w:r w:rsidRPr="001F426E">
        <w:rPr>
          <w:rFonts w:ascii="Arial" w:hAnsi="Arial" w:cs="Arial"/>
          <w:sz w:val="22"/>
          <w:szCs w:val="22"/>
        </w:rPr>
        <w:t xml:space="preserve"> transform clinical trials with efficient and rapid mutation screening</w:t>
      </w:r>
      <w:r>
        <w:rPr>
          <w:rFonts w:ascii="Arial" w:hAnsi="Arial" w:cs="Arial"/>
          <w:sz w:val="22"/>
          <w:szCs w:val="22"/>
        </w:rPr>
        <w:t>.</w:t>
      </w:r>
    </w:p>
    <w:p w14:paraId="26227FBC" w14:textId="77777777" w:rsidR="008D5053" w:rsidRDefault="008D5053" w:rsidP="00517AF5">
      <w:pPr>
        <w:jc w:val="both"/>
        <w:rPr>
          <w:rFonts w:ascii="Arial" w:hAnsi="Arial" w:cs="Arial"/>
          <w:b/>
          <w:sz w:val="22"/>
          <w:szCs w:val="22"/>
          <w:lang w:val="en-US"/>
        </w:rPr>
      </w:pPr>
    </w:p>
    <w:p w14:paraId="54ED691C" w14:textId="16F0FC3D" w:rsidR="00BF0D19" w:rsidRPr="008C7FCA" w:rsidRDefault="00357436" w:rsidP="004B43C4">
      <w:pPr>
        <w:jc w:val="both"/>
        <w:rPr>
          <w:rFonts w:ascii="Arial" w:hAnsi="Arial" w:cs="Arial"/>
          <w:b/>
          <w:sz w:val="22"/>
          <w:szCs w:val="22"/>
          <w:lang w:val="en-US"/>
        </w:rPr>
      </w:pPr>
      <w:r w:rsidRPr="008C7FCA">
        <w:rPr>
          <w:rFonts w:ascii="Arial" w:hAnsi="Arial" w:cs="Arial"/>
          <w:b/>
          <w:sz w:val="22"/>
          <w:szCs w:val="22"/>
          <w:lang w:val="en-US"/>
        </w:rPr>
        <w:t>Introduction</w:t>
      </w:r>
    </w:p>
    <w:p w14:paraId="57B41184" w14:textId="22E79E5A" w:rsidR="004D4690" w:rsidRPr="008C7FCA" w:rsidRDefault="00890AEA" w:rsidP="008C7FCA">
      <w:pPr>
        <w:spacing w:before="240"/>
        <w:jc w:val="both"/>
        <w:rPr>
          <w:rFonts w:ascii="Arial" w:hAnsi="Arial" w:cs="Arial"/>
          <w:sz w:val="22"/>
          <w:szCs w:val="22"/>
          <w:lang w:val="en-US"/>
        </w:rPr>
      </w:pPr>
      <w:r w:rsidRPr="008C7FCA">
        <w:rPr>
          <w:rFonts w:ascii="Arial" w:hAnsi="Arial" w:cs="Arial"/>
          <w:sz w:val="22"/>
          <w:szCs w:val="22"/>
          <w:lang w:val="en-US"/>
        </w:rPr>
        <w:t xml:space="preserve">Multiple </w:t>
      </w:r>
      <w:r w:rsidR="005221AD" w:rsidRPr="008C7FCA">
        <w:rPr>
          <w:rFonts w:ascii="Arial" w:hAnsi="Arial" w:cs="Arial"/>
          <w:sz w:val="22"/>
          <w:szCs w:val="22"/>
          <w:lang w:val="en-US"/>
        </w:rPr>
        <w:t>tumo</w:t>
      </w:r>
      <w:r w:rsidR="00C4772B">
        <w:rPr>
          <w:rFonts w:ascii="Arial" w:hAnsi="Arial" w:cs="Arial"/>
          <w:sz w:val="22"/>
          <w:szCs w:val="22"/>
          <w:lang w:val="en-US"/>
        </w:rPr>
        <w:t>u</w:t>
      </w:r>
      <w:r w:rsidR="005221AD" w:rsidRPr="008C7FCA">
        <w:rPr>
          <w:rFonts w:ascii="Arial" w:hAnsi="Arial" w:cs="Arial"/>
          <w:sz w:val="22"/>
          <w:szCs w:val="22"/>
          <w:lang w:val="en-US"/>
        </w:rPr>
        <w:t>r mutations</w:t>
      </w:r>
      <w:r w:rsidRPr="008C7FCA">
        <w:rPr>
          <w:rFonts w:ascii="Arial" w:hAnsi="Arial" w:cs="Arial"/>
          <w:sz w:val="22"/>
          <w:szCs w:val="22"/>
          <w:lang w:val="en-US"/>
        </w:rPr>
        <w:t xml:space="preserve"> are potentially targetable </w:t>
      </w:r>
      <w:r w:rsidR="00B66356">
        <w:rPr>
          <w:rFonts w:ascii="Arial" w:hAnsi="Arial" w:cs="Arial"/>
          <w:sz w:val="22"/>
          <w:szCs w:val="22"/>
          <w:lang w:val="en-US"/>
        </w:rPr>
        <w:t>for</w:t>
      </w:r>
      <w:r w:rsidR="00790ABD" w:rsidRPr="008C7FCA">
        <w:rPr>
          <w:rFonts w:ascii="Arial" w:hAnsi="Arial" w:cs="Arial"/>
          <w:sz w:val="22"/>
          <w:szCs w:val="22"/>
          <w:lang w:val="en-US"/>
        </w:rPr>
        <w:t xml:space="preserve"> </w:t>
      </w:r>
      <w:r w:rsidRPr="008C7FCA">
        <w:rPr>
          <w:rFonts w:ascii="Arial" w:hAnsi="Arial" w:cs="Arial"/>
          <w:sz w:val="22"/>
          <w:szCs w:val="22"/>
          <w:lang w:val="en-US"/>
        </w:rPr>
        <w:t>advanced breast cancer</w:t>
      </w:r>
      <w:r w:rsidR="00790ABD" w:rsidRPr="008C7FCA">
        <w:rPr>
          <w:rFonts w:ascii="Arial" w:hAnsi="Arial" w:cs="Arial"/>
          <w:sz w:val="22"/>
          <w:szCs w:val="22"/>
          <w:lang w:val="en-US"/>
        </w:rPr>
        <w:t xml:space="preserve"> treatment</w:t>
      </w:r>
      <w:r w:rsidRPr="008C7FCA">
        <w:rPr>
          <w:rFonts w:ascii="Arial" w:hAnsi="Arial" w:cs="Arial"/>
          <w:sz w:val="22"/>
          <w:szCs w:val="22"/>
          <w:lang w:val="en-US"/>
        </w:rPr>
        <w:t xml:space="preserve">. Some of these mutations are common, such as activating </w:t>
      </w:r>
      <w:r w:rsidRPr="008C7FCA">
        <w:rPr>
          <w:rFonts w:ascii="Arial" w:hAnsi="Arial" w:cs="Arial"/>
          <w:i/>
          <w:iCs/>
          <w:sz w:val="22"/>
          <w:szCs w:val="22"/>
          <w:lang w:val="en-US"/>
        </w:rPr>
        <w:t>PIK3CA</w:t>
      </w:r>
      <w:r w:rsidRPr="008C7FCA">
        <w:rPr>
          <w:rFonts w:ascii="Arial" w:hAnsi="Arial" w:cs="Arial"/>
          <w:sz w:val="22"/>
          <w:szCs w:val="22"/>
          <w:lang w:val="en-US"/>
        </w:rPr>
        <w:t xml:space="preserve"> mutation</w:t>
      </w:r>
      <w:r w:rsidR="007E3645">
        <w:rPr>
          <w:rFonts w:ascii="Arial" w:hAnsi="Arial" w:cs="Arial"/>
          <w:sz w:val="22"/>
          <w:szCs w:val="22"/>
          <w:lang w:val="en-US"/>
        </w:rPr>
        <w:t>s</w:t>
      </w:r>
      <w:r w:rsidRPr="008C7FCA">
        <w:rPr>
          <w:rFonts w:ascii="Arial" w:hAnsi="Arial" w:cs="Arial"/>
          <w:sz w:val="22"/>
          <w:szCs w:val="22"/>
          <w:lang w:val="en-US"/>
        </w:rPr>
        <w:t xml:space="preserve"> targetable with PI3 kinase inhibitor</w:t>
      </w:r>
      <w:r w:rsidR="00790ABD" w:rsidRPr="008C7FCA">
        <w:rPr>
          <w:rFonts w:ascii="Arial" w:hAnsi="Arial" w:cs="Arial"/>
          <w:sz w:val="22"/>
          <w:szCs w:val="22"/>
          <w:lang w:val="en-US"/>
        </w:rPr>
        <w:t>s including the recently approved</w:t>
      </w:r>
      <w:r w:rsidRPr="008C7FCA">
        <w:rPr>
          <w:rFonts w:ascii="Arial" w:hAnsi="Arial" w:cs="Arial"/>
          <w:sz w:val="22"/>
          <w:szCs w:val="22"/>
          <w:lang w:val="en-US"/>
        </w:rPr>
        <w:t xml:space="preserve"> </w:t>
      </w:r>
      <w:r w:rsidR="00EA3C83" w:rsidRPr="008C7FCA">
        <w:rPr>
          <w:rFonts w:ascii="Arial" w:hAnsi="Arial" w:cs="Arial"/>
          <w:sz w:val="22"/>
          <w:szCs w:val="22"/>
          <w:lang w:val="en-US"/>
        </w:rPr>
        <w:t>alpelisib</w:t>
      </w:r>
      <w:r w:rsidR="00EA3C83">
        <w:rPr>
          <w:rFonts w:ascii="Arial" w:hAnsi="Arial" w:cs="Arial"/>
          <w:sz w:val="22"/>
          <w:szCs w:val="22"/>
          <w:vertAlign w:val="superscript"/>
          <w:lang w:val="en-US"/>
        </w:rPr>
        <w:t>1</w:t>
      </w:r>
      <w:r w:rsidRPr="008C7FCA">
        <w:rPr>
          <w:rFonts w:ascii="Arial" w:hAnsi="Arial" w:cs="Arial"/>
          <w:sz w:val="22"/>
          <w:szCs w:val="22"/>
          <w:lang w:val="en-US"/>
        </w:rPr>
        <w:t xml:space="preserve">. </w:t>
      </w:r>
      <w:r w:rsidR="008C7120">
        <w:rPr>
          <w:rFonts w:ascii="Arial" w:hAnsi="Arial" w:cs="Arial"/>
          <w:sz w:val="22"/>
          <w:szCs w:val="22"/>
          <w:lang w:val="en-US"/>
        </w:rPr>
        <w:t>O</w:t>
      </w:r>
      <w:r w:rsidRPr="008C7FCA">
        <w:rPr>
          <w:rFonts w:ascii="Arial" w:hAnsi="Arial" w:cs="Arial"/>
          <w:sz w:val="22"/>
          <w:szCs w:val="22"/>
          <w:lang w:val="en-US"/>
        </w:rPr>
        <w:t xml:space="preserve">ther potentially targetable mutations, such as </w:t>
      </w:r>
      <w:r w:rsidR="0036323A">
        <w:rPr>
          <w:rFonts w:ascii="Arial" w:hAnsi="Arial" w:cs="Arial"/>
          <w:i/>
          <w:iCs/>
          <w:sz w:val="22"/>
          <w:szCs w:val="22"/>
          <w:lang w:val="en-US"/>
        </w:rPr>
        <w:t>ERBB2</w:t>
      </w:r>
      <w:r w:rsidR="0036323A" w:rsidRPr="008C7FCA">
        <w:rPr>
          <w:rFonts w:ascii="Arial" w:hAnsi="Arial" w:cs="Arial"/>
          <w:sz w:val="22"/>
          <w:szCs w:val="22"/>
          <w:lang w:val="en-US"/>
        </w:rPr>
        <w:t xml:space="preserve"> </w:t>
      </w:r>
      <w:r w:rsidRPr="008C7FCA">
        <w:rPr>
          <w:rFonts w:ascii="Arial" w:hAnsi="Arial" w:cs="Arial"/>
          <w:sz w:val="22"/>
          <w:szCs w:val="22"/>
          <w:lang w:val="en-US"/>
        </w:rPr>
        <w:t xml:space="preserve">and </w:t>
      </w:r>
      <w:r w:rsidRPr="008C7FCA">
        <w:rPr>
          <w:rFonts w:ascii="Arial" w:hAnsi="Arial" w:cs="Arial"/>
          <w:i/>
          <w:iCs/>
          <w:sz w:val="22"/>
          <w:szCs w:val="22"/>
          <w:lang w:val="en-US"/>
        </w:rPr>
        <w:t>AKT1</w:t>
      </w:r>
      <w:r w:rsidRPr="008C7FCA">
        <w:rPr>
          <w:rFonts w:ascii="Arial" w:hAnsi="Arial" w:cs="Arial"/>
          <w:sz w:val="22"/>
          <w:szCs w:val="22"/>
          <w:lang w:val="en-US"/>
        </w:rPr>
        <w:t xml:space="preserve"> mutations, are rare </w:t>
      </w:r>
      <w:r w:rsidR="00790ABD" w:rsidRPr="008C7FCA">
        <w:rPr>
          <w:rFonts w:ascii="Arial" w:hAnsi="Arial" w:cs="Arial"/>
          <w:sz w:val="22"/>
          <w:szCs w:val="22"/>
          <w:lang w:val="en-US"/>
        </w:rPr>
        <w:t xml:space="preserve">genetic </w:t>
      </w:r>
      <w:r w:rsidRPr="008C7FCA">
        <w:rPr>
          <w:rFonts w:ascii="Arial" w:hAnsi="Arial" w:cs="Arial"/>
          <w:sz w:val="22"/>
          <w:szCs w:val="22"/>
          <w:lang w:val="en-US"/>
        </w:rPr>
        <w:t xml:space="preserve">events, occurring in </w:t>
      </w:r>
      <w:r w:rsidR="004D4690">
        <w:rPr>
          <w:rFonts w:ascii="Arial" w:hAnsi="Arial" w:cs="Arial"/>
          <w:sz w:val="22"/>
          <w:szCs w:val="22"/>
          <w:lang w:val="en-US"/>
        </w:rPr>
        <w:t>approximately</w:t>
      </w:r>
      <w:r w:rsidRPr="008C7FCA">
        <w:rPr>
          <w:rFonts w:ascii="Arial" w:hAnsi="Arial" w:cs="Arial"/>
          <w:sz w:val="22"/>
          <w:szCs w:val="22"/>
          <w:lang w:val="en-US"/>
        </w:rPr>
        <w:t xml:space="preserve"> 5% of advanced breast cance</w:t>
      </w:r>
      <w:r w:rsidR="008C7120">
        <w:rPr>
          <w:rFonts w:ascii="Arial" w:hAnsi="Arial" w:cs="Arial"/>
          <w:sz w:val="22"/>
          <w:szCs w:val="22"/>
          <w:lang w:val="en-US"/>
        </w:rPr>
        <w:t xml:space="preserve">r </w:t>
      </w:r>
      <w:r w:rsidR="00EA3C83">
        <w:rPr>
          <w:rFonts w:ascii="Arial" w:hAnsi="Arial" w:cs="Arial"/>
          <w:sz w:val="22"/>
          <w:szCs w:val="22"/>
          <w:lang w:val="en-US"/>
        </w:rPr>
        <w:t>patients</w:t>
      </w:r>
      <w:r w:rsidR="00EA3C83">
        <w:rPr>
          <w:rFonts w:ascii="Arial" w:hAnsi="Arial" w:cs="Arial"/>
          <w:sz w:val="22"/>
          <w:szCs w:val="22"/>
          <w:vertAlign w:val="superscript"/>
          <w:lang w:val="en-US"/>
        </w:rPr>
        <w:t>2,3</w:t>
      </w:r>
      <w:r w:rsidR="00DB3493" w:rsidRPr="008C7FCA">
        <w:rPr>
          <w:rFonts w:ascii="Arial" w:hAnsi="Arial" w:cs="Arial"/>
          <w:sz w:val="22"/>
          <w:szCs w:val="22"/>
          <w:lang w:val="en-US"/>
        </w:rPr>
        <w:t>.</w:t>
      </w:r>
      <w:r w:rsidR="005221AD" w:rsidRPr="008C7FCA">
        <w:rPr>
          <w:rFonts w:ascii="Arial" w:hAnsi="Arial" w:cs="Arial"/>
          <w:sz w:val="22"/>
          <w:szCs w:val="22"/>
          <w:lang w:val="en-US"/>
        </w:rPr>
        <w:t xml:space="preserve"> </w:t>
      </w:r>
      <w:r w:rsidRPr="008C7FCA">
        <w:rPr>
          <w:rFonts w:ascii="Arial" w:hAnsi="Arial" w:cs="Arial"/>
          <w:sz w:val="22"/>
          <w:szCs w:val="22"/>
          <w:lang w:val="en-US"/>
        </w:rPr>
        <w:t>Nonetheless the</w:t>
      </w:r>
      <w:r w:rsidR="00790ABD" w:rsidRPr="008C7FCA">
        <w:rPr>
          <w:rFonts w:ascii="Arial" w:hAnsi="Arial" w:cs="Arial"/>
          <w:sz w:val="22"/>
          <w:szCs w:val="22"/>
          <w:lang w:val="en-US"/>
        </w:rPr>
        <w:t xml:space="preserve">y </w:t>
      </w:r>
      <w:r w:rsidRPr="008C7FCA">
        <w:rPr>
          <w:rFonts w:ascii="Arial" w:hAnsi="Arial" w:cs="Arial"/>
          <w:sz w:val="22"/>
          <w:szCs w:val="22"/>
          <w:lang w:val="en-US"/>
        </w:rPr>
        <w:t>represent attractive therapeutic</w:t>
      </w:r>
      <w:r w:rsidR="00825128" w:rsidRPr="008C7FCA">
        <w:rPr>
          <w:rFonts w:ascii="Arial" w:hAnsi="Arial" w:cs="Arial"/>
          <w:sz w:val="22"/>
          <w:szCs w:val="22"/>
          <w:lang w:val="en-US"/>
        </w:rPr>
        <w:t xml:space="preserve"> opportunities</w:t>
      </w:r>
      <w:r w:rsidRPr="008C7FCA">
        <w:rPr>
          <w:rFonts w:ascii="Arial" w:hAnsi="Arial" w:cs="Arial"/>
          <w:sz w:val="22"/>
          <w:szCs w:val="22"/>
          <w:lang w:val="en-US"/>
        </w:rPr>
        <w:t xml:space="preserve">, with early phase studies </w:t>
      </w:r>
      <w:r w:rsidR="00E462CD" w:rsidRPr="008C7FCA">
        <w:rPr>
          <w:rFonts w:ascii="Arial" w:hAnsi="Arial" w:cs="Arial"/>
          <w:sz w:val="22"/>
          <w:szCs w:val="22"/>
          <w:lang w:val="en-US"/>
        </w:rPr>
        <w:t xml:space="preserve">based on </w:t>
      </w:r>
      <w:r w:rsidR="00293559" w:rsidRPr="008C7FCA">
        <w:rPr>
          <w:rFonts w:ascii="Arial" w:hAnsi="Arial" w:cs="Arial"/>
          <w:sz w:val="22"/>
          <w:szCs w:val="22"/>
          <w:lang w:val="en-US"/>
        </w:rPr>
        <w:t xml:space="preserve">tissue </w:t>
      </w:r>
      <w:r w:rsidR="00E462CD" w:rsidRPr="008C7FCA">
        <w:rPr>
          <w:rFonts w:ascii="Arial" w:hAnsi="Arial" w:cs="Arial"/>
          <w:sz w:val="22"/>
          <w:szCs w:val="22"/>
          <w:lang w:val="en-US"/>
        </w:rPr>
        <w:t xml:space="preserve">genotyping </w:t>
      </w:r>
      <w:r w:rsidRPr="008C7FCA">
        <w:rPr>
          <w:rFonts w:ascii="Arial" w:hAnsi="Arial" w:cs="Arial"/>
          <w:sz w:val="22"/>
          <w:szCs w:val="22"/>
          <w:lang w:val="en-US"/>
        </w:rPr>
        <w:t xml:space="preserve">suggesting high response rates with matched targeted </w:t>
      </w:r>
      <w:r w:rsidR="00EA3C83" w:rsidRPr="008C7FCA">
        <w:rPr>
          <w:rFonts w:ascii="Arial" w:hAnsi="Arial" w:cs="Arial"/>
          <w:sz w:val="22"/>
          <w:szCs w:val="22"/>
          <w:lang w:val="en-US"/>
        </w:rPr>
        <w:t>therapies</w:t>
      </w:r>
      <w:r w:rsidR="00EA3C83">
        <w:rPr>
          <w:rFonts w:ascii="Arial" w:hAnsi="Arial" w:cs="Arial"/>
          <w:sz w:val="22"/>
          <w:szCs w:val="22"/>
          <w:vertAlign w:val="superscript"/>
          <w:lang w:val="en-US"/>
        </w:rPr>
        <w:t>4,5</w:t>
      </w:r>
      <w:r w:rsidRPr="008C7FCA">
        <w:rPr>
          <w:rFonts w:ascii="Arial" w:hAnsi="Arial" w:cs="Arial"/>
          <w:sz w:val="22"/>
          <w:szCs w:val="22"/>
          <w:lang w:val="en-US"/>
        </w:rPr>
        <w:t xml:space="preserve">. </w:t>
      </w:r>
      <w:r w:rsidR="004D4690">
        <w:rPr>
          <w:rFonts w:ascii="Arial" w:hAnsi="Arial" w:cs="Arial"/>
          <w:sz w:val="22"/>
          <w:szCs w:val="22"/>
          <w:lang w:val="en-US"/>
        </w:rPr>
        <w:t>Frequently, mutations in the</w:t>
      </w:r>
      <w:r w:rsidR="00EE43D3" w:rsidRPr="008C7FCA">
        <w:rPr>
          <w:rFonts w:ascii="Arial" w:hAnsi="Arial" w:cs="Arial"/>
          <w:sz w:val="22"/>
          <w:szCs w:val="22"/>
          <w:lang w:val="en-US"/>
        </w:rPr>
        <w:t xml:space="preserve"> estrogen receptor (</w:t>
      </w:r>
      <w:r w:rsidR="00EE43D3" w:rsidRPr="008C7FCA">
        <w:rPr>
          <w:rFonts w:ascii="Arial" w:hAnsi="Arial" w:cs="Arial"/>
          <w:i/>
          <w:iCs/>
          <w:sz w:val="22"/>
          <w:szCs w:val="22"/>
          <w:lang w:val="en-US"/>
        </w:rPr>
        <w:t>ESR1)</w:t>
      </w:r>
      <w:r w:rsidR="004D4690">
        <w:rPr>
          <w:rFonts w:ascii="Arial" w:hAnsi="Arial" w:cs="Arial"/>
          <w:sz w:val="22"/>
          <w:szCs w:val="22"/>
          <w:lang w:val="en-US"/>
        </w:rPr>
        <w:t xml:space="preserve">, </w:t>
      </w:r>
      <w:r w:rsidR="0036323A">
        <w:rPr>
          <w:rFonts w:ascii="Arial" w:hAnsi="Arial" w:cs="Arial"/>
          <w:i/>
          <w:iCs/>
          <w:sz w:val="22"/>
          <w:szCs w:val="22"/>
          <w:lang w:val="en-US"/>
        </w:rPr>
        <w:t>ERBB2</w:t>
      </w:r>
      <w:r w:rsidR="0036323A" w:rsidRPr="008C7FCA">
        <w:rPr>
          <w:rFonts w:ascii="Arial" w:hAnsi="Arial" w:cs="Arial"/>
          <w:sz w:val="22"/>
          <w:szCs w:val="22"/>
          <w:lang w:val="en-US"/>
        </w:rPr>
        <w:t xml:space="preserve"> </w:t>
      </w:r>
      <w:r w:rsidR="00EE43D3" w:rsidRPr="008C7FCA">
        <w:rPr>
          <w:rFonts w:ascii="Arial" w:hAnsi="Arial" w:cs="Arial"/>
          <w:sz w:val="22"/>
          <w:szCs w:val="22"/>
          <w:lang w:val="en-US"/>
        </w:rPr>
        <w:t xml:space="preserve">and </w:t>
      </w:r>
      <w:r w:rsidR="00EE43D3" w:rsidRPr="008C7FCA">
        <w:rPr>
          <w:rFonts w:ascii="Arial" w:hAnsi="Arial" w:cs="Arial"/>
          <w:i/>
          <w:iCs/>
          <w:sz w:val="22"/>
          <w:szCs w:val="22"/>
          <w:lang w:val="en-US"/>
        </w:rPr>
        <w:t>AKT1</w:t>
      </w:r>
      <w:r w:rsidR="004D4690">
        <w:rPr>
          <w:rFonts w:ascii="Arial" w:hAnsi="Arial" w:cs="Arial"/>
          <w:sz w:val="22"/>
          <w:szCs w:val="22"/>
          <w:lang w:val="en-US"/>
        </w:rPr>
        <w:t xml:space="preserve"> may be acquired in advanced disease</w:t>
      </w:r>
      <w:r w:rsidR="00EE43D3" w:rsidRPr="008C7FCA">
        <w:rPr>
          <w:rFonts w:ascii="Arial" w:hAnsi="Arial" w:cs="Arial"/>
          <w:i/>
          <w:iCs/>
          <w:sz w:val="22"/>
          <w:szCs w:val="22"/>
          <w:lang w:val="en-US"/>
        </w:rPr>
        <w:t>,</w:t>
      </w:r>
      <w:r w:rsidR="00EE43D3" w:rsidRPr="008C7FCA">
        <w:rPr>
          <w:rFonts w:ascii="Arial" w:hAnsi="Arial" w:cs="Arial"/>
          <w:sz w:val="22"/>
          <w:szCs w:val="22"/>
          <w:lang w:val="en-US"/>
        </w:rPr>
        <w:t xml:space="preserve"> </w:t>
      </w:r>
      <w:r w:rsidR="0078788B" w:rsidRPr="008C7FCA">
        <w:rPr>
          <w:rFonts w:ascii="Arial" w:hAnsi="Arial" w:cs="Arial"/>
          <w:sz w:val="22"/>
          <w:szCs w:val="22"/>
          <w:lang w:val="en-US"/>
        </w:rPr>
        <w:t xml:space="preserve">not </w:t>
      </w:r>
      <w:r w:rsidR="004D4690">
        <w:rPr>
          <w:rFonts w:ascii="Arial" w:hAnsi="Arial" w:cs="Arial"/>
          <w:sz w:val="22"/>
          <w:szCs w:val="22"/>
          <w:lang w:val="en-US"/>
        </w:rPr>
        <w:t>being detectable</w:t>
      </w:r>
      <w:r w:rsidR="004D4690" w:rsidRPr="008C7FCA">
        <w:rPr>
          <w:rFonts w:ascii="Arial" w:hAnsi="Arial" w:cs="Arial"/>
          <w:sz w:val="22"/>
          <w:szCs w:val="22"/>
          <w:lang w:val="en-US"/>
        </w:rPr>
        <w:t xml:space="preserve"> </w:t>
      </w:r>
      <w:r w:rsidR="0078788B" w:rsidRPr="008C7FCA">
        <w:rPr>
          <w:rFonts w:ascii="Arial" w:hAnsi="Arial" w:cs="Arial"/>
          <w:sz w:val="22"/>
          <w:szCs w:val="22"/>
          <w:lang w:val="en-US"/>
        </w:rPr>
        <w:t xml:space="preserve">in the archival </w:t>
      </w:r>
      <w:r w:rsidR="00EA3C83" w:rsidRPr="008C7FCA">
        <w:rPr>
          <w:rFonts w:ascii="Arial" w:hAnsi="Arial" w:cs="Arial"/>
          <w:sz w:val="22"/>
          <w:szCs w:val="22"/>
          <w:lang w:val="en-US"/>
        </w:rPr>
        <w:t>primary</w:t>
      </w:r>
      <w:r w:rsidR="00EA3C83">
        <w:rPr>
          <w:rFonts w:ascii="Arial" w:hAnsi="Arial" w:cs="Arial"/>
          <w:sz w:val="22"/>
          <w:szCs w:val="22"/>
          <w:vertAlign w:val="superscript"/>
          <w:lang w:val="en-US"/>
        </w:rPr>
        <w:t>2,6,7</w:t>
      </w:r>
      <w:r w:rsidR="0078788B" w:rsidRPr="008C7FCA">
        <w:rPr>
          <w:rFonts w:ascii="Arial" w:hAnsi="Arial" w:cs="Arial"/>
          <w:sz w:val="22"/>
          <w:szCs w:val="22"/>
          <w:lang w:val="en-US"/>
        </w:rPr>
        <w:t>.</w:t>
      </w:r>
      <w:r w:rsidR="004D4690" w:rsidRPr="004D4690">
        <w:rPr>
          <w:rFonts w:ascii="Arial" w:hAnsi="Arial" w:cs="Arial"/>
          <w:sz w:val="22"/>
          <w:szCs w:val="22"/>
          <w:lang w:val="en-US"/>
        </w:rPr>
        <w:t xml:space="preserve"> </w:t>
      </w:r>
      <w:r w:rsidR="004D4690">
        <w:rPr>
          <w:rFonts w:ascii="Arial" w:hAnsi="Arial" w:cs="Arial"/>
          <w:sz w:val="22"/>
          <w:szCs w:val="22"/>
          <w:lang w:val="en-US"/>
        </w:rPr>
        <w:t xml:space="preserve">Therefore, archival primary tissue cannot be assumed to be representative of advanced disease </w:t>
      </w:r>
      <w:r w:rsidR="00B66356">
        <w:rPr>
          <w:rFonts w:ascii="Arial" w:hAnsi="Arial" w:cs="Arial"/>
          <w:sz w:val="22"/>
          <w:szCs w:val="22"/>
          <w:lang w:val="en-US"/>
        </w:rPr>
        <w:t>genomic</w:t>
      </w:r>
      <w:r w:rsidR="004D4690">
        <w:rPr>
          <w:rFonts w:ascii="Arial" w:hAnsi="Arial" w:cs="Arial"/>
          <w:sz w:val="22"/>
          <w:szCs w:val="22"/>
          <w:lang w:val="en-US"/>
        </w:rPr>
        <w:t xml:space="preserve"> profile.</w:t>
      </w:r>
      <w:r w:rsidR="004D4690" w:rsidRPr="008C7FCA">
        <w:rPr>
          <w:rFonts w:ascii="Arial" w:hAnsi="Arial" w:cs="Arial"/>
          <w:sz w:val="22"/>
          <w:szCs w:val="22"/>
          <w:lang w:val="en-US"/>
        </w:rPr>
        <w:t xml:space="preserve"> </w:t>
      </w:r>
    </w:p>
    <w:p w14:paraId="5D5401F8" w14:textId="77777777" w:rsidR="001A5074" w:rsidRPr="008C7FCA" w:rsidRDefault="001A5074" w:rsidP="00890AEA">
      <w:pPr>
        <w:jc w:val="both"/>
        <w:rPr>
          <w:rFonts w:ascii="Arial" w:hAnsi="Arial" w:cs="Arial"/>
          <w:sz w:val="22"/>
          <w:szCs w:val="22"/>
          <w:lang w:val="en-US"/>
        </w:rPr>
      </w:pPr>
    </w:p>
    <w:p w14:paraId="0FA82894" w14:textId="271CADF9" w:rsidR="00890AEA" w:rsidRPr="008C7FCA" w:rsidRDefault="004D4690" w:rsidP="00890AEA">
      <w:pPr>
        <w:jc w:val="both"/>
        <w:rPr>
          <w:rFonts w:ascii="Arial" w:hAnsi="Arial" w:cs="Arial"/>
          <w:sz w:val="22"/>
          <w:szCs w:val="22"/>
          <w:lang w:val="en-US"/>
        </w:rPr>
      </w:pPr>
      <w:r>
        <w:rPr>
          <w:rFonts w:ascii="Arial" w:hAnsi="Arial" w:cs="Arial"/>
          <w:sz w:val="22"/>
          <w:szCs w:val="22"/>
          <w:lang w:val="en-US"/>
        </w:rPr>
        <w:t>Mutation analysis</w:t>
      </w:r>
      <w:r w:rsidR="000807EE">
        <w:rPr>
          <w:rFonts w:ascii="Arial" w:hAnsi="Arial" w:cs="Arial"/>
          <w:sz w:val="22"/>
          <w:szCs w:val="22"/>
          <w:lang w:val="en-US"/>
        </w:rPr>
        <w:t xml:space="preserve"> can be obtained from genomic analysis of t</w:t>
      </w:r>
      <w:r w:rsidR="00890AEA" w:rsidRPr="008C7FCA">
        <w:rPr>
          <w:rFonts w:ascii="Arial" w:hAnsi="Arial" w:cs="Arial"/>
          <w:sz w:val="22"/>
          <w:szCs w:val="22"/>
          <w:lang w:val="en-US"/>
        </w:rPr>
        <w:t>issue-based biops</w:t>
      </w:r>
      <w:r w:rsidR="000807EE">
        <w:rPr>
          <w:rFonts w:ascii="Arial" w:hAnsi="Arial" w:cs="Arial"/>
          <w:sz w:val="22"/>
          <w:szCs w:val="22"/>
          <w:lang w:val="en-US"/>
        </w:rPr>
        <w:t>ies</w:t>
      </w:r>
      <w:r w:rsidR="00890AEA" w:rsidRPr="008C7FCA">
        <w:rPr>
          <w:rFonts w:ascii="Arial" w:hAnsi="Arial" w:cs="Arial"/>
          <w:sz w:val="22"/>
          <w:szCs w:val="22"/>
          <w:lang w:val="en-US"/>
        </w:rPr>
        <w:t xml:space="preserve"> from </w:t>
      </w:r>
      <w:r w:rsidR="004C6565">
        <w:rPr>
          <w:rFonts w:ascii="Arial" w:hAnsi="Arial" w:cs="Arial"/>
          <w:sz w:val="22"/>
          <w:szCs w:val="22"/>
          <w:lang w:val="en-US"/>
        </w:rPr>
        <w:t>metastatic disease</w:t>
      </w:r>
      <w:r w:rsidR="00FC2EFA" w:rsidRPr="008C7FCA">
        <w:rPr>
          <w:rFonts w:ascii="Arial" w:hAnsi="Arial" w:cs="Arial"/>
          <w:sz w:val="22"/>
          <w:szCs w:val="22"/>
          <w:lang w:val="en-US"/>
        </w:rPr>
        <w:t xml:space="preserve">, </w:t>
      </w:r>
      <w:r w:rsidR="000807EE">
        <w:rPr>
          <w:rFonts w:ascii="Arial" w:hAnsi="Arial" w:cs="Arial"/>
          <w:sz w:val="22"/>
          <w:szCs w:val="22"/>
          <w:lang w:val="en-US"/>
        </w:rPr>
        <w:t>however this process</w:t>
      </w:r>
      <w:r w:rsidR="000807EE" w:rsidRPr="008C7FCA">
        <w:rPr>
          <w:rFonts w:ascii="Arial" w:hAnsi="Arial" w:cs="Arial"/>
          <w:sz w:val="22"/>
          <w:szCs w:val="22"/>
          <w:lang w:val="en-US"/>
        </w:rPr>
        <w:t xml:space="preserve"> </w:t>
      </w:r>
      <w:r w:rsidR="00890AEA" w:rsidRPr="008C7FCA">
        <w:rPr>
          <w:rFonts w:ascii="Arial" w:hAnsi="Arial" w:cs="Arial"/>
          <w:sz w:val="22"/>
          <w:szCs w:val="22"/>
          <w:lang w:val="en-US"/>
        </w:rPr>
        <w:t xml:space="preserve">is invasive and potentially limited by </w:t>
      </w:r>
      <w:r w:rsidR="00C4772B">
        <w:rPr>
          <w:rFonts w:ascii="Arial" w:hAnsi="Arial" w:cs="Arial"/>
          <w:sz w:val="22"/>
          <w:szCs w:val="22"/>
          <w:lang w:val="en-US"/>
        </w:rPr>
        <w:t>tumour</w:t>
      </w:r>
      <w:r w:rsidR="00890AEA" w:rsidRPr="008C7FCA">
        <w:rPr>
          <w:rFonts w:ascii="Arial" w:hAnsi="Arial" w:cs="Arial"/>
          <w:sz w:val="22"/>
          <w:szCs w:val="22"/>
          <w:lang w:val="en-US"/>
        </w:rPr>
        <w:t xml:space="preserve"> heterogeneity and temporal </w:t>
      </w:r>
      <w:r w:rsidR="00C4772B">
        <w:rPr>
          <w:rFonts w:ascii="Arial" w:hAnsi="Arial" w:cs="Arial"/>
          <w:sz w:val="22"/>
          <w:szCs w:val="22"/>
          <w:lang w:val="en-US"/>
        </w:rPr>
        <w:t>tumour</w:t>
      </w:r>
      <w:r w:rsidR="00890AEA" w:rsidRPr="008C7FCA">
        <w:rPr>
          <w:rFonts w:ascii="Arial" w:hAnsi="Arial" w:cs="Arial"/>
          <w:sz w:val="22"/>
          <w:szCs w:val="22"/>
          <w:lang w:val="en-US"/>
        </w:rPr>
        <w:t xml:space="preserve"> </w:t>
      </w:r>
      <w:r w:rsidR="00B30A9F" w:rsidRPr="008C7FCA">
        <w:rPr>
          <w:rFonts w:ascii="Arial" w:hAnsi="Arial" w:cs="Arial"/>
          <w:sz w:val="22"/>
          <w:szCs w:val="22"/>
          <w:lang w:val="en-US"/>
        </w:rPr>
        <w:t>evolution</w:t>
      </w:r>
      <w:r w:rsidR="00B30A9F">
        <w:rPr>
          <w:rFonts w:ascii="Arial" w:hAnsi="Arial" w:cs="Arial"/>
          <w:sz w:val="22"/>
          <w:szCs w:val="22"/>
          <w:vertAlign w:val="superscript"/>
          <w:lang w:val="en-US"/>
        </w:rPr>
        <w:t>8,9</w:t>
      </w:r>
      <w:r w:rsidR="00D203A5" w:rsidRPr="008C7FCA">
        <w:rPr>
          <w:rFonts w:ascii="Arial" w:hAnsi="Arial" w:cs="Arial"/>
          <w:sz w:val="22"/>
          <w:szCs w:val="22"/>
          <w:lang w:val="en-US"/>
        </w:rPr>
        <w:t xml:space="preserve">. </w:t>
      </w:r>
      <w:r w:rsidR="0045418D" w:rsidRPr="008C7FCA">
        <w:rPr>
          <w:rFonts w:ascii="Arial" w:hAnsi="Arial" w:cs="Arial"/>
          <w:sz w:val="22"/>
          <w:szCs w:val="22"/>
          <w:lang w:val="en-US"/>
        </w:rPr>
        <w:t>In addi</w:t>
      </w:r>
      <w:r w:rsidR="00A3163A">
        <w:rPr>
          <w:rFonts w:ascii="Arial" w:hAnsi="Arial" w:cs="Arial"/>
          <w:sz w:val="22"/>
          <w:szCs w:val="22"/>
          <w:lang w:val="en-US"/>
        </w:rPr>
        <w:t>tion</w:t>
      </w:r>
      <w:r w:rsidR="00245018">
        <w:rPr>
          <w:rFonts w:ascii="Arial" w:hAnsi="Arial" w:cs="Arial"/>
          <w:sz w:val="22"/>
          <w:szCs w:val="22"/>
          <w:lang w:val="en-US"/>
        </w:rPr>
        <w:t>,</w:t>
      </w:r>
      <w:r w:rsidR="0045418D" w:rsidRPr="008C7FCA">
        <w:rPr>
          <w:rFonts w:ascii="Arial" w:hAnsi="Arial" w:cs="Arial"/>
          <w:sz w:val="22"/>
          <w:szCs w:val="22"/>
          <w:lang w:val="en-US"/>
        </w:rPr>
        <w:t xml:space="preserve"> m</w:t>
      </w:r>
      <w:r w:rsidR="00463D36" w:rsidRPr="008C7FCA">
        <w:rPr>
          <w:rFonts w:ascii="Arial" w:hAnsi="Arial" w:cs="Arial"/>
          <w:sz w:val="22"/>
          <w:szCs w:val="22"/>
          <w:lang w:val="en-US"/>
        </w:rPr>
        <w:t>utations</w:t>
      </w:r>
      <w:r w:rsidR="00D203A5" w:rsidRPr="008C7FCA">
        <w:rPr>
          <w:rFonts w:ascii="Arial" w:hAnsi="Arial" w:cs="Arial"/>
          <w:sz w:val="22"/>
          <w:szCs w:val="22"/>
          <w:lang w:val="en-US"/>
        </w:rPr>
        <w:t xml:space="preserve"> may not be present at the time of rel</w:t>
      </w:r>
      <w:r w:rsidR="00C00CDF">
        <w:rPr>
          <w:rFonts w:ascii="Arial" w:hAnsi="Arial" w:cs="Arial"/>
          <w:sz w:val="22"/>
          <w:szCs w:val="22"/>
          <w:lang w:val="en-US"/>
        </w:rPr>
        <w:t>a</w:t>
      </w:r>
      <w:r w:rsidR="00D203A5" w:rsidRPr="008C7FCA">
        <w:rPr>
          <w:rFonts w:ascii="Arial" w:hAnsi="Arial" w:cs="Arial"/>
          <w:sz w:val="22"/>
          <w:szCs w:val="22"/>
          <w:lang w:val="en-US"/>
        </w:rPr>
        <w:t xml:space="preserve">pse, and only later develop during treatment for advanced cancer, </w:t>
      </w:r>
      <w:r w:rsidR="000807EE">
        <w:rPr>
          <w:rFonts w:ascii="Arial" w:hAnsi="Arial" w:cs="Arial"/>
          <w:sz w:val="22"/>
          <w:szCs w:val="22"/>
          <w:lang w:val="en-US"/>
        </w:rPr>
        <w:t>posing a clinical challenge in regards to acquisition of longitudinal tissue biopsies</w:t>
      </w:r>
      <w:r w:rsidR="00F14824" w:rsidRPr="008C7FCA">
        <w:rPr>
          <w:rFonts w:ascii="Arial" w:hAnsi="Arial" w:cs="Arial"/>
          <w:sz w:val="22"/>
          <w:szCs w:val="22"/>
          <w:lang w:val="en-US"/>
        </w:rPr>
        <w:t xml:space="preserve">. </w:t>
      </w:r>
      <w:r w:rsidR="00C579BB" w:rsidRPr="008C7FCA">
        <w:rPr>
          <w:rFonts w:ascii="Arial" w:hAnsi="Arial" w:cs="Arial"/>
          <w:sz w:val="22"/>
          <w:szCs w:val="22"/>
          <w:lang w:val="en-US"/>
        </w:rPr>
        <w:t>Hi</w:t>
      </w:r>
      <w:r w:rsidR="00890AEA" w:rsidRPr="008C7FCA">
        <w:rPr>
          <w:rFonts w:ascii="Arial" w:hAnsi="Arial" w:cs="Arial"/>
          <w:sz w:val="22"/>
          <w:szCs w:val="22"/>
          <w:lang w:val="en-US"/>
        </w:rPr>
        <w:t>ghly sensitive assays have recently been developed to analy</w:t>
      </w:r>
      <w:r w:rsidR="0001170C">
        <w:rPr>
          <w:rFonts w:ascii="Arial" w:hAnsi="Arial" w:cs="Arial"/>
          <w:sz w:val="22"/>
          <w:szCs w:val="22"/>
          <w:lang w:val="en-US"/>
        </w:rPr>
        <w:t>s</w:t>
      </w:r>
      <w:r w:rsidR="00890AEA" w:rsidRPr="008C7FCA">
        <w:rPr>
          <w:rFonts w:ascii="Arial" w:hAnsi="Arial" w:cs="Arial"/>
          <w:sz w:val="22"/>
          <w:szCs w:val="22"/>
          <w:lang w:val="en-US"/>
        </w:rPr>
        <w:t xml:space="preserve">e circulating </w:t>
      </w:r>
      <w:r w:rsidR="00C4772B">
        <w:rPr>
          <w:rFonts w:ascii="Arial" w:hAnsi="Arial" w:cs="Arial"/>
          <w:sz w:val="22"/>
          <w:szCs w:val="22"/>
          <w:lang w:val="en-US"/>
        </w:rPr>
        <w:t>tumour</w:t>
      </w:r>
      <w:r w:rsidR="00890AEA" w:rsidRPr="008C7FCA">
        <w:rPr>
          <w:rFonts w:ascii="Arial" w:hAnsi="Arial" w:cs="Arial"/>
          <w:sz w:val="22"/>
          <w:szCs w:val="22"/>
          <w:lang w:val="en-US"/>
        </w:rPr>
        <w:t xml:space="preserve"> DNA (ctDNA), which is released into the plasma in small quantities as cancer cells die</w:t>
      </w:r>
      <w:r w:rsidR="00C321AF">
        <w:rPr>
          <w:rFonts w:ascii="Arial" w:hAnsi="Arial" w:cs="Arial"/>
          <w:sz w:val="22"/>
          <w:szCs w:val="22"/>
          <w:lang w:val="en-US"/>
        </w:rPr>
        <w:t>,</w:t>
      </w:r>
      <w:r w:rsidR="00150133" w:rsidRPr="008C7FCA">
        <w:rPr>
          <w:rFonts w:ascii="Arial" w:hAnsi="Arial" w:cs="Arial"/>
          <w:sz w:val="22"/>
          <w:szCs w:val="22"/>
          <w:lang w:val="en-US"/>
        </w:rPr>
        <w:t xml:space="preserve"> providing the opportunity </w:t>
      </w:r>
      <w:r w:rsidR="007B18F3">
        <w:rPr>
          <w:rFonts w:ascii="Arial" w:hAnsi="Arial" w:cs="Arial"/>
          <w:sz w:val="22"/>
          <w:szCs w:val="22"/>
          <w:lang w:val="en-US"/>
        </w:rPr>
        <w:t>for a scalable</w:t>
      </w:r>
      <w:r w:rsidR="00150133" w:rsidRPr="008C7FCA">
        <w:rPr>
          <w:rFonts w:ascii="Arial" w:hAnsi="Arial" w:cs="Arial"/>
          <w:sz w:val="22"/>
          <w:szCs w:val="22"/>
          <w:lang w:val="en-US"/>
        </w:rPr>
        <w:t xml:space="preserve"> non-invasive approach to profile </w:t>
      </w:r>
      <w:r w:rsidR="00C4772B">
        <w:rPr>
          <w:rFonts w:ascii="Arial" w:hAnsi="Arial" w:cs="Arial"/>
          <w:sz w:val="22"/>
          <w:szCs w:val="22"/>
          <w:lang w:val="en-US"/>
        </w:rPr>
        <w:t>tumour</w:t>
      </w:r>
      <w:r w:rsidR="007B18F3">
        <w:rPr>
          <w:rFonts w:ascii="Arial" w:hAnsi="Arial" w:cs="Arial"/>
          <w:sz w:val="22"/>
          <w:szCs w:val="22"/>
          <w:lang w:val="en-US"/>
        </w:rPr>
        <w:t>s</w:t>
      </w:r>
      <w:r w:rsidR="00150133" w:rsidRPr="008C7FCA">
        <w:rPr>
          <w:rFonts w:ascii="Arial" w:hAnsi="Arial" w:cs="Arial"/>
          <w:sz w:val="22"/>
          <w:szCs w:val="22"/>
          <w:lang w:val="en-US"/>
        </w:rPr>
        <w:t xml:space="preserve"> for somatic </w:t>
      </w:r>
      <w:r w:rsidR="00B30A9F" w:rsidRPr="008C7FCA">
        <w:rPr>
          <w:rFonts w:ascii="Arial" w:hAnsi="Arial" w:cs="Arial"/>
          <w:sz w:val="22"/>
          <w:szCs w:val="22"/>
          <w:lang w:val="en-US"/>
        </w:rPr>
        <w:t>mutations</w:t>
      </w:r>
      <w:r w:rsidR="00B30A9F">
        <w:rPr>
          <w:rFonts w:ascii="Arial" w:hAnsi="Arial" w:cs="Arial"/>
          <w:sz w:val="22"/>
          <w:szCs w:val="22"/>
          <w:vertAlign w:val="superscript"/>
          <w:lang w:val="en-US"/>
        </w:rPr>
        <w:t>10</w:t>
      </w:r>
      <w:r w:rsidR="00890AEA" w:rsidRPr="008C7FCA">
        <w:rPr>
          <w:rFonts w:ascii="Arial" w:hAnsi="Arial" w:cs="Arial"/>
          <w:sz w:val="22"/>
          <w:szCs w:val="22"/>
          <w:lang w:val="en-US"/>
        </w:rPr>
        <w:t>.</w:t>
      </w:r>
      <w:r w:rsidR="005B12CB" w:rsidRPr="008C7FCA">
        <w:rPr>
          <w:rFonts w:ascii="Arial" w:hAnsi="Arial" w:cs="Arial"/>
          <w:sz w:val="22"/>
          <w:szCs w:val="22"/>
          <w:lang w:val="en-US"/>
        </w:rPr>
        <w:t xml:space="preserve"> </w:t>
      </w:r>
      <w:r w:rsidR="00A32866" w:rsidRPr="008C7FCA">
        <w:rPr>
          <w:rFonts w:ascii="Arial" w:hAnsi="Arial" w:cs="Arial"/>
          <w:sz w:val="22"/>
          <w:szCs w:val="22"/>
          <w:lang w:val="en-US"/>
        </w:rPr>
        <w:t xml:space="preserve">Retrospective studies show high agreement between </w:t>
      </w:r>
      <w:r w:rsidR="0001170C">
        <w:rPr>
          <w:rFonts w:ascii="Arial" w:hAnsi="Arial" w:cs="Arial"/>
          <w:sz w:val="22"/>
          <w:szCs w:val="22"/>
          <w:lang w:val="en-US"/>
        </w:rPr>
        <w:t>ct</w:t>
      </w:r>
      <w:r w:rsidR="00A32866" w:rsidRPr="008C7FCA">
        <w:rPr>
          <w:rFonts w:ascii="Arial" w:hAnsi="Arial" w:cs="Arial"/>
          <w:sz w:val="22"/>
          <w:szCs w:val="22"/>
          <w:lang w:val="en-US"/>
        </w:rPr>
        <w:t xml:space="preserve">DNA analysis and </w:t>
      </w:r>
      <w:r w:rsidR="00C4772B">
        <w:rPr>
          <w:rFonts w:ascii="Arial" w:hAnsi="Arial" w:cs="Arial"/>
          <w:sz w:val="22"/>
          <w:szCs w:val="22"/>
          <w:lang w:val="en-US"/>
        </w:rPr>
        <w:t>tumour</w:t>
      </w:r>
      <w:r w:rsidR="00A32866" w:rsidRPr="008C7FCA">
        <w:rPr>
          <w:rFonts w:ascii="Arial" w:hAnsi="Arial" w:cs="Arial"/>
          <w:sz w:val="22"/>
          <w:szCs w:val="22"/>
          <w:lang w:val="en-US"/>
        </w:rPr>
        <w:t xml:space="preserve">-tissue based analysis in patients with advanced </w:t>
      </w:r>
      <w:r w:rsidR="00B30A9F" w:rsidRPr="008C7FCA">
        <w:rPr>
          <w:rFonts w:ascii="Arial" w:hAnsi="Arial" w:cs="Arial"/>
          <w:sz w:val="22"/>
          <w:szCs w:val="22"/>
          <w:lang w:val="en-US"/>
        </w:rPr>
        <w:t>cancer</w:t>
      </w:r>
      <w:r w:rsidR="00B30A9F">
        <w:rPr>
          <w:rFonts w:ascii="Arial" w:hAnsi="Arial" w:cs="Arial"/>
          <w:sz w:val="22"/>
          <w:szCs w:val="22"/>
          <w:vertAlign w:val="superscript"/>
          <w:lang w:val="en-US"/>
        </w:rPr>
        <w:t>11</w:t>
      </w:r>
      <w:r>
        <w:rPr>
          <w:rFonts w:ascii="Arial" w:hAnsi="Arial" w:cs="Arial"/>
          <w:sz w:val="22"/>
          <w:szCs w:val="22"/>
          <w:lang w:val="en-US"/>
        </w:rPr>
        <w:t xml:space="preserve">. </w:t>
      </w:r>
      <w:r w:rsidR="00A32866" w:rsidRPr="008C7FCA">
        <w:rPr>
          <w:rFonts w:ascii="Arial" w:hAnsi="Arial" w:cs="Arial"/>
          <w:sz w:val="22"/>
          <w:szCs w:val="22"/>
          <w:lang w:val="en-US"/>
        </w:rPr>
        <w:t xml:space="preserve">Yet </w:t>
      </w:r>
      <w:r w:rsidR="004A24F7" w:rsidRPr="008C7FCA">
        <w:rPr>
          <w:rFonts w:ascii="Arial" w:hAnsi="Arial" w:cs="Arial"/>
          <w:sz w:val="22"/>
          <w:szCs w:val="22"/>
          <w:lang w:val="en-US"/>
        </w:rPr>
        <w:t>previous</w:t>
      </w:r>
      <w:r w:rsidR="00A32866" w:rsidRPr="008C7FCA">
        <w:rPr>
          <w:rFonts w:ascii="Arial" w:hAnsi="Arial" w:cs="Arial"/>
          <w:sz w:val="22"/>
          <w:szCs w:val="22"/>
          <w:lang w:val="en-US"/>
        </w:rPr>
        <w:t xml:space="preserve"> </w:t>
      </w:r>
      <w:r w:rsidR="009D715B">
        <w:rPr>
          <w:rFonts w:ascii="Arial" w:hAnsi="Arial" w:cs="Arial"/>
          <w:sz w:val="22"/>
          <w:szCs w:val="22"/>
          <w:lang w:val="en-US"/>
        </w:rPr>
        <w:t xml:space="preserve">prospective </w:t>
      </w:r>
      <w:r w:rsidR="00700A25" w:rsidRPr="008C7FCA">
        <w:rPr>
          <w:rFonts w:ascii="Arial" w:hAnsi="Arial" w:cs="Arial"/>
          <w:sz w:val="22"/>
          <w:szCs w:val="22"/>
          <w:lang w:val="en-US"/>
        </w:rPr>
        <w:t>comparison</w:t>
      </w:r>
      <w:r w:rsidR="00F14824" w:rsidRPr="008C7FCA">
        <w:rPr>
          <w:rFonts w:ascii="Arial" w:hAnsi="Arial" w:cs="Arial"/>
          <w:sz w:val="22"/>
          <w:szCs w:val="22"/>
          <w:lang w:val="en-US"/>
        </w:rPr>
        <w:t xml:space="preserve"> </w:t>
      </w:r>
      <w:r w:rsidR="00A32866" w:rsidRPr="008C7FCA">
        <w:rPr>
          <w:rFonts w:ascii="Arial" w:hAnsi="Arial" w:cs="Arial"/>
          <w:sz w:val="22"/>
          <w:szCs w:val="22"/>
          <w:lang w:val="en-US"/>
        </w:rPr>
        <w:t>studies</w:t>
      </w:r>
      <w:r w:rsidR="00700A25" w:rsidRPr="008C7FCA">
        <w:rPr>
          <w:rFonts w:ascii="Arial" w:hAnsi="Arial" w:cs="Arial"/>
          <w:sz w:val="22"/>
          <w:szCs w:val="22"/>
          <w:lang w:val="en-US"/>
        </w:rPr>
        <w:t xml:space="preserve"> </w:t>
      </w:r>
      <w:r w:rsidR="00442EF7">
        <w:rPr>
          <w:rFonts w:ascii="Arial" w:hAnsi="Arial" w:cs="Arial"/>
          <w:sz w:val="22"/>
          <w:szCs w:val="22"/>
          <w:lang w:val="en-US"/>
        </w:rPr>
        <w:t>between</w:t>
      </w:r>
      <w:r w:rsidR="00442EF7" w:rsidRPr="008C7FCA">
        <w:rPr>
          <w:rFonts w:ascii="Arial" w:hAnsi="Arial" w:cs="Arial"/>
          <w:sz w:val="22"/>
          <w:szCs w:val="22"/>
          <w:lang w:val="en-US"/>
        </w:rPr>
        <w:t xml:space="preserve"> </w:t>
      </w:r>
      <w:r w:rsidR="00700A25" w:rsidRPr="008C7FCA">
        <w:rPr>
          <w:rFonts w:ascii="Arial" w:hAnsi="Arial" w:cs="Arial"/>
          <w:sz w:val="22"/>
          <w:szCs w:val="22"/>
          <w:lang w:val="en-US"/>
        </w:rPr>
        <w:t>commercially available</w:t>
      </w:r>
      <w:r w:rsidR="00A32866" w:rsidRPr="008C7FCA">
        <w:rPr>
          <w:rFonts w:ascii="Arial" w:hAnsi="Arial" w:cs="Arial"/>
          <w:sz w:val="22"/>
          <w:szCs w:val="22"/>
          <w:lang w:val="en-US"/>
        </w:rPr>
        <w:t xml:space="preserve"> ctDNA </w:t>
      </w:r>
      <w:r w:rsidR="00700A25" w:rsidRPr="008C7FCA">
        <w:rPr>
          <w:rFonts w:ascii="Arial" w:hAnsi="Arial" w:cs="Arial"/>
          <w:sz w:val="22"/>
          <w:szCs w:val="22"/>
          <w:lang w:val="en-US"/>
        </w:rPr>
        <w:t xml:space="preserve">assays </w:t>
      </w:r>
      <w:r w:rsidR="00A32866" w:rsidRPr="008C7FCA">
        <w:rPr>
          <w:rFonts w:ascii="Arial" w:hAnsi="Arial" w:cs="Arial"/>
          <w:sz w:val="22"/>
          <w:szCs w:val="22"/>
          <w:lang w:val="en-US"/>
        </w:rPr>
        <w:t xml:space="preserve">have suggested the potential for substantial discordance in ctDNA testing </w:t>
      </w:r>
      <w:r w:rsidR="00B30A9F" w:rsidRPr="008C7FCA">
        <w:rPr>
          <w:rFonts w:ascii="Arial" w:hAnsi="Arial" w:cs="Arial"/>
          <w:sz w:val="22"/>
          <w:szCs w:val="22"/>
          <w:lang w:val="en-US"/>
        </w:rPr>
        <w:t>results</w:t>
      </w:r>
      <w:r w:rsidR="00B30A9F">
        <w:rPr>
          <w:rFonts w:ascii="Arial" w:hAnsi="Arial" w:cs="Arial"/>
          <w:sz w:val="22"/>
          <w:szCs w:val="22"/>
          <w:vertAlign w:val="superscript"/>
          <w:lang w:val="en-US"/>
        </w:rPr>
        <w:t>12,13</w:t>
      </w:r>
      <w:r w:rsidR="009D715B">
        <w:rPr>
          <w:rFonts w:ascii="Arial" w:hAnsi="Arial" w:cs="Arial"/>
          <w:sz w:val="22"/>
          <w:szCs w:val="22"/>
          <w:lang w:val="en-US"/>
        </w:rPr>
        <w:t xml:space="preserve">, </w:t>
      </w:r>
      <w:r w:rsidR="00150133" w:rsidRPr="008C7FCA">
        <w:rPr>
          <w:rFonts w:ascii="Arial" w:hAnsi="Arial" w:cs="Arial"/>
          <w:sz w:val="22"/>
          <w:szCs w:val="22"/>
          <w:lang w:val="en-US"/>
        </w:rPr>
        <w:t xml:space="preserve">raising concerns over whether ctDNA testing is ready for widespread clinical </w:t>
      </w:r>
      <w:r w:rsidR="00B30A9F" w:rsidRPr="008C7FCA">
        <w:rPr>
          <w:rFonts w:ascii="Arial" w:hAnsi="Arial" w:cs="Arial"/>
          <w:sz w:val="22"/>
          <w:szCs w:val="22"/>
          <w:lang w:val="en-US"/>
        </w:rPr>
        <w:t>adoption</w:t>
      </w:r>
      <w:r w:rsidR="00B30A9F">
        <w:rPr>
          <w:rFonts w:ascii="Arial" w:hAnsi="Arial" w:cs="Arial"/>
          <w:sz w:val="22"/>
          <w:szCs w:val="22"/>
          <w:vertAlign w:val="superscript"/>
          <w:lang w:val="en-US"/>
        </w:rPr>
        <w:t>14</w:t>
      </w:r>
      <w:r w:rsidR="00150133" w:rsidRPr="008C7FCA">
        <w:rPr>
          <w:rFonts w:ascii="Arial" w:hAnsi="Arial" w:cs="Arial"/>
          <w:sz w:val="22"/>
          <w:szCs w:val="22"/>
          <w:lang w:val="en-US"/>
        </w:rPr>
        <w:t>.</w:t>
      </w:r>
    </w:p>
    <w:p w14:paraId="10E274C3" w14:textId="77777777" w:rsidR="00A32866" w:rsidRPr="008C7FCA" w:rsidRDefault="00A32866" w:rsidP="00890AEA">
      <w:pPr>
        <w:jc w:val="both"/>
        <w:rPr>
          <w:rFonts w:ascii="Arial" w:hAnsi="Arial" w:cs="Arial"/>
          <w:sz w:val="22"/>
          <w:szCs w:val="22"/>
          <w:lang w:val="en-US"/>
        </w:rPr>
      </w:pPr>
    </w:p>
    <w:p w14:paraId="338B7C35" w14:textId="60016C5A" w:rsidR="000275DE" w:rsidRPr="008C7FCA" w:rsidRDefault="00A975C3" w:rsidP="004B43C4">
      <w:pPr>
        <w:jc w:val="both"/>
        <w:rPr>
          <w:rFonts w:ascii="Arial" w:hAnsi="Arial" w:cs="Arial"/>
          <w:sz w:val="22"/>
          <w:szCs w:val="22"/>
          <w:lang w:val="en-US"/>
        </w:rPr>
      </w:pPr>
      <w:r>
        <w:rPr>
          <w:rFonts w:ascii="Arial" w:hAnsi="Arial" w:cs="Arial"/>
          <w:sz w:val="22"/>
          <w:szCs w:val="22"/>
          <w:lang w:val="en-US"/>
        </w:rPr>
        <w:t>p</w:t>
      </w:r>
      <w:r w:rsidR="00890AEA" w:rsidRPr="008C7FCA">
        <w:rPr>
          <w:rFonts w:ascii="Arial" w:hAnsi="Arial" w:cs="Arial"/>
          <w:sz w:val="22"/>
          <w:szCs w:val="22"/>
          <w:lang w:val="en-US"/>
        </w:rPr>
        <w:t>lasmaMATCH</w:t>
      </w:r>
      <w:r w:rsidR="0005666D" w:rsidRPr="008C7FCA">
        <w:rPr>
          <w:rFonts w:ascii="Arial" w:hAnsi="Arial" w:cs="Arial"/>
          <w:sz w:val="22"/>
          <w:szCs w:val="22"/>
          <w:lang w:val="en-US"/>
        </w:rPr>
        <w:t xml:space="preserve"> </w:t>
      </w:r>
      <w:r w:rsidR="000F11F1" w:rsidRPr="008C7FCA">
        <w:rPr>
          <w:rFonts w:ascii="Arial" w:hAnsi="Arial" w:cs="Arial"/>
          <w:sz w:val="22"/>
          <w:szCs w:val="22"/>
          <w:lang w:val="en-US"/>
        </w:rPr>
        <w:t xml:space="preserve">is a platform trial </w:t>
      </w:r>
      <w:r w:rsidR="001C7AD0" w:rsidRPr="008C7FCA">
        <w:rPr>
          <w:rFonts w:ascii="Arial" w:hAnsi="Arial" w:cs="Arial"/>
          <w:sz w:val="22"/>
          <w:szCs w:val="22"/>
          <w:lang w:val="en-US"/>
        </w:rPr>
        <w:t>designed</w:t>
      </w:r>
      <w:r w:rsidR="00150133" w:rsidRPr="008C7FCA">
        <w:rPr>
          <w:rFonts w:ascii="Arial" w:hAnsi="Arial" w:cs="Arial"/>
          <w:sz w:val="22"/>
          <w:szCs w:val="22"/>
          <w:lang w:val="en-US"/>
        </w:rPr>
        <w:t xml:space="preserve"> to assess the </w:t>
      </w:r>
      <w:r w:rsidR="004A24F7" w:rsidRPr="008C7FCA">
        <w:rPr>
          <w:rFonts w:ascii="Arial" w:hAnsi="Arial" w:cs="Arial"/>
          <w:sz w:val="22"/>
          <w:szCs w:val="22"/>
          <w:lang w:val="en-US"/>
        </w:rPr>
        <w:t xml:space="preserve">clinical </w:t>
      </w:r>
      <w:r w:rsidR="00E2622B" w:rsidRPr="008C7FCA">
        <w:rPr>
          <w:rFonts w:ascii="Arial" w:hAnsi="Arial" w:cs="Arial"/>
          <w:sz w:val="22"/>
          <w:szCs w:val="22"/>
          <w:lang w:val="en-US"/>
        </w:rPr>
        <w:t>validity</w:t>
      </w:r>
      <w:r w:rsidR="00700A25" w:rsidRPr="008C7FCA">
        <w:rPr>
          <w:rFonts w:ascii="Arial" w:hAnsi="Arial" w:cs="Arial"/>
          <w:sz w:val="22"/>
          <w:szCs w:val="22"/>
          <w:lang w:val="en-US"/>
        </w:rPr>
        <w:t xml:space="preserve"> </w:t>
      </w:r>
      <w:r w:rsidR="004A24F7" w:rsidRPr="008C7FCA">
        <w:rPr>
          <w:rFonts w:ascii="Arial" w:hAnsi="Arial" w:cs="Arial"/>
          <w:sz w:val="22"/>
          <w:szCs w:val="22"/>
          <w:lang w:val="en-US"/>
        </w:rPr>
        <w:t xml:space="preserve">of ctDNA </w:t>
      </w:r>
      <w:r w:rsidR="00150133" w:rsidRPr="008C7FCA">
        <w:rPr>
          <w:rFonts w:ascii="Arial" w:hAnsi="Arial" w:cs="Arial"/>
          <w:sz w:val="22"/>
          <w:szCs w:val="22"/>
          <w:lang w:val="en-US"/>
        </w:rPr>
        <w:t>testing in a prospective multi-</w:t>
      </w:r>
      <w:r w:rsidR="000228CB">
        <w:rPr>
          <w:rFonts w:ascii="Arial" w:hAnsi="Arial" w:cs="Arial"/>
          <w:sz w:val="22"/>
          <w:szCs w:val="22"/>
          <w:lang w:val="en-US"/>
        </w:rPr>
        <w:t>centre</w:t>
      </w:r>
      <w:r w:rsidR="00150133" w:rsidRPr="008C7FCA">
        <w:rPr>
          <w:rFonts w:ascii="Arial" w:hAnsi="Arial" w:cs="Arial"/>
          <w:sz w:val="22"/>
          <w:szCs w:val="22"/>
          <w:lang w:val="en-US"/>
        </w:rPr>
        <w:t xml:space="preserve"> study, and </w:t>
      </w:r>
      <w:r w:rsidR="00890AEA" w:rsidRPr="008C7FCA">
        <w:rPr>
          <w:rFonts w:ascii="Arial" w:hAnsi="Arial" w:cs="Arial"/>
          <w:sz w:val="22"/>
          <w:szCs w:val="22"/>
          <w:lang w:val="en-US"/>
        </w:rPr>
        <w:t xml:space="preserve">to </w:t>
      </w:r>
      <w:r w:rsidR="00150133" w:rsidRPr="008C7FCA">
        <w:rPr>
          <w:rFonts w:ascii="Arial" w:hAnsi="Arial" w:cs="Arial"/>
          <w:sz w:val="22"/>
          <w:szCs w:val="22"/>
          <w:lang w:val="en-US"/>
        </w:rPr>
        <w:t>investigate</w:t>
      </w:r>
      <w:r w:rsidR="00890AEA" w:rsidRPr="008C7FCA">
        <w:rPr>
          <w:rFonts w:ascii="Arial" w:hAnsi="Arial" w:cs="Arial"/>
          <w:sz w:val="22"/>
          <w:szCs w:val="22"/>
          <w:lang w:val="en-US"/>
        </w:rPr>
        <w:t xml:space="preserve"> the clinical utility of </w:t>
      </w:r>
      <w:r w:rsidR="00150133" w:rsidRPr="008C7FCA">
        <w:rPr>
          <w:rFonts w:ascii="Arial" w:hAnsi="Arial" w:cs="Arial"/>
          <w:sz w:val="22"/>
          <w:szCs w:val="22"/>
          <w:lang w:val="en-US"/>
        </w:rPr>
        <w:t xml:space="preserve">using </w:t>
      </w:r>
      <w:r w:rsidR="00890AEA" w:rsidRPr="008C7FCA">
        <w:rPr>
          <w:rFonts w:ascii="Arial" w:hAnsi="Arial" w:cs="Arial"/>
          <w:sz w:val="22"/>
          <w:szCs w:val="22"/>
          <w:lang w:val="en-US"/>
        </w:rPr>
        <w:t>ctDNA to select patients for targeted therapies</w:t>
      </w:r>
      <w:r w:rsidR="00150133" w:rsidRPr="008C7FCA">
        <w:rPr>
          <w:rFonts w:ascii="Arial" w:hAnsi="Arial" w:cs="Arial"/>
          <w:sz w:val="22"/>
          <w:szCs w:val="22"/>
          <w:lang w:val="en-US"/>
        </w:rPr>
        <w:t xml:space="preserve"> with</w:t>
      </w:r>
      <w:r w:rsidR="00442EF7">
        <w:rPr>
          <w:rFonts w:ascii="Arial" w:hAnsi="Arial" w:cs="Arial"/>
          <w:sz w:val="22"/>
          <w:szCs w:val="22"/>
          <w:lang w:val="en-US"/>
        </w:rPr>
        <w:t>out</w:t>
      </w:r>
      <w:r w:rsidR="00150133" w:rsidRPr="008C7FCA">
        <w:rPr>
          <w:rFonts w:ascii="Arial" w:hAnsi="Arial" w:cs="Arial"/>
          <w:sz w:val="22"/>
          <w:szCs w:val="22"/>
          <w:lang w:val="en-US"/>
        </w:rPr>
        <w:t xml:space="preserve"> </w:t>
      </w:r>
      <w:r w:rsidR="00D064E8">
        <w:rPr>
          <w:rFonts w:ascii="Arial" w:hAnsi="Arial" w:cs="Arial"/>
          <w:sz w:val="22"/>
          <w:szCs w:val="22"/>
          <w:lang w:val="en-US"/>
        </w:rPr>
        <w:t>pr</w:t>
      </w:r>
      <w:r w:rsidR="00FF29D1">
        <w:rPr>
          <w:rFonts w:ascii="Arial" w:hAnsi="Arial" w:cs="Arial"/>
          <w:sz w:val="22"/>
          <w:szCs w:val="22"/>
          <w:lang w:val="en-US"/>
        </w:rPr>
        <w:t xml:space="preserve">ior </w:t>
      </w:r>
      <w:r w:rsidR="00442EF7" w:rsidRPr="008C7FCA">
        <w:rPr>
          <w:rFonts w:ascii="Arial" w:hAnsi="Arial" w:cs="Arial"/>
          <w:sz w:val="22"/>
          <w:szCs w:val="22"/>
          <w:lang w:val="en-US"/>
        </w:rPr>
        <w:t>t</w:t>
      </w:r>
      <w:r w:rsidR="00442EF7">
        <w:rPr>
          <w:rFonts w:ascii="Arial" w:hAnsi="Arial" w:cs="Arial"/>
          <w:sz w:val="22"/>
          <w:szCs w:val="22"/>
          <w:lang w:val="en-US"/>
        </w:rPr>
        <w:t>issue</w:t>
      </w:r>
      <w:r w:rsidR="00442EF7" w:rsidRPr="008C7FCA">
        <w:rPr>
          <w:rFonts w:ascii="Arial" w:hAnsi="Arial" w:cs="Arial"/>
          <w:sz w:val="22"/>
          <w:szCs w:val="22"/>
          <w:lang w:val="en-US"/>
        </w:rPr>
        <w:t xml:space="preserve"> </w:t>
      </w:r>
      <w:r w:rsidR="00150133" w:rsidRPr="008C7FCA">
        <w:rPr>
          <w:rFonts w:ascii="Arial" w:hAnsi="Arial" w:cs="Arial"/>
          <w:sz w:val="22"/>
          <w:szCs w:val="22"/>
          <w:lang w:val="en-US"/>
        </w:rPr>
        <w:t>testing</w:t>
      </w:r>
      <w:r w:rsidR="00442EF7">
        <w:rPr>
          <w:rFonts w:ascii="Arial" w:hAnsi="Arial" w:cs="Arial"/>
          <w:sz w:val="22"/>
          <w:szCs w:val="22"/>
          <w:lang w:val="en-US"/>
        </w:rPr>
        <w:t>.</w:t>
      </w:r>
    </w:p>
    <w:p w14:paraId="664BC79A" w14:textId="547E236B" w:rsidR="00357436" w:rsidRDefault="00357436" w:rsidP="004B43C4">
      <w:pPr>
        <w:jc w:val="both"/>
        <w:rPr>
          <w:rFonts w:ascii="Arial" w:hAnsi="Arial" w:cs="Arial"/>
          <w:sz w:val="22"/>
          <w:szCs w:val="22"/>
          <w:lang w:val="en-US"/>
        </w:rPr>
      </w:pPr>
    </w:p>
    <w:p w14:paraId="32E6464B" w14:textId="321F8388" w:rsidR="00BF0D19" w:rsidRPr="008C7FCA" w:rsidRDefault="00021FA5" w:rsidP="00B1053A">
      <w:pPr>
        <w:jc w:val="both"/>
        <w:rPr>
          <w:rFonts w:ascii="Arial" w:hAnsi="Arial" w:cs="Arial"/>
          <w:b/>
          <w:sz w:val="22"/>
          <w:szCs w:val="22"/>
          <w:lang w:val="en-US"/>
        </w:rPr>
      </w:pPr>
      <w:r w:rsidRPr="008C7FCA">
        <w:rPr>
          <w:rFonts w:ascii="Arial" w:hAnsi="Arial" w:cs="Arial"/>
          <w:b/>
          <w:sz w:val="22"/>
          <w:szCs w:val="22"/>
          <w:lang w:val="en-US"/>
        </w:rPr>
        <w:t>Methods</w:t>
      </w:r>
    </w:p>
    <w:p w14:paraId="314F84C7" w14:textId="77777777" w:rsidR="005E52CF" w:rsidRDefault="005E52CF" w:rsidP="00521F6D">
      <w:pPr>
        <w:autoSpaceDE w:val="0"/>
        <w:autoSpaceDN w:val="0"/>
        <w:adjustRightInd w:val="0"/>
        <w:rPr>
          <w:rFonts w:ascii="Arial" w:eastAsia="ScalaLancetPro" w:hAnsi="Arial" w:cs="Arial"/>
          <w:b/>
          <w:sz w:val="22"/>
          <w:szCs w:val="22"/>
          <w:lang w:val="en-US"/>
        </w:rPr>
      </w:pPr>
    </w:p>
    <w:p w14:paraId="55ECCD06" w14:textId="7B43758C" w:rsidR="006C15BD" w:rsidRPr="008C7FCA" w:rsidRDefault="00A975C3" w:rsidP="00521F6D">
      <w:pPr>
        <w:autoSpaceDE w:val="0"/>
        <w:autoSpaceDN w:val="0"/>
        <w:adjustRightInd w:val="0"/>
        <w:rPr>
          <w:rFonts w:ascii="Arial" w:eastAsia="ScalaLancetPro" w:hAnsi="Arial" w:cs="Arial"/>
          <w:b/>
          <w:sz w:val="22"/>
          <w:szCs w:val="22"/>
          <w:lang w:val="en-US"/>
        </w:rPr>
      </w:pPr>
      <w:r>
        <w:rPr>
          <w:rFonts w:ascii="Arial" w:eastAsia="ScalaLancetPro" w:hAnsi="Arial" w:cs="Arial"/>
          <w:b/>
          <w:sz w:val="22"/>
          <w:szCs w:val="22"/>
          <w:lang w:val="en-US"/>
        </w:rPr>
        <w:t xml:space="preserve">Study design and </w:t>
      </w:r>
      <w:r w:rsidR="00DE66D3" w:rsidRPr="008C7FCA">
        <w:rPr>
          <w:rFonts w:ascii="Arial" w:eastAsia="ScalaLancetPro" w:hAnsi="Arial" w:cs="Arial"/>
          <w:b/>
          <w:sz w:val="22"/>
          <w:szCs w:val="22"/>
          <w:lang w:val="en-US"/>
        </w:rPr>
        <w:t>p</w:t>
      </w:r>
      <w:r w:rsidR="00AC3077">
        <w:rPr>
          <w:rFonts w:ascii="Arial" w:eastAsia="ScalaLancetPro" w:hAnsi="Arial" w:cs="Arial"/>
          <w:b/>
          <w:sz w:val="22"/>
          <w:szCs w:val="22"/>
          <w:lang w:val="en-US"/>
        </w:rPr>
        <w:t xml:space="preserve">atients </w:t>
      </w:r>
    </w:p>
    <w:p w14:paraId="53DD78B5" w14:textId="1AEC6D2D" w:rsidR="00102706" w:rsidRDefault="00A975C3" w:rsidP="00A975C3">
      <w:pPr>
        <w:jc w:val="both"/>
        <w:rPr>
          <w:rFonts w:ascii="Arial" w:hAnsi="Arial" w:cs="Arial"/>
          <w:sz w:val="22"/>
          <w:szCs w:val="22"/>
          <w:lang w:val="en-US"/>
        </w:rPr>
      </w:pPr>
      <w:r>
        <w:rPr>
          <w:rFonts w:ascii="Arial" w:eastAsia="ScalaLancetPro" w:hAnsi="Arial" w:cs="Arial"/>
          <w:sz w:val="22"/>
          <w:szCs w:val="22"/>
          <w:lang w:val="en-US"/>
        </w:rPr>
        <w:t>p</w:t>
      </w:r>
      <w:r w:rsidR="00131AB6" w:rsidRPr="00EE1760">
        <w:rPr>
          <w:rFonts w:ascii="Arial" w:eastAsia="ScalaLancetPro" w:hAnsi="Arial" w:cs="Arial"/>
          <w:sz w:val="22"/>
          <w:szCs w:val="22"/>
          <w:lang w:val="en-US"/>
        </w:rPr>
        <w:t xml:space="preserve">lasmaMATCH is a multiple parallel cohort, open-label, </w:t>
      </w:r>
      <w:r w:rsidR="00A31DB0">
        <w:rPr>
          <w:rFonts w:ascii="Arial" w:eastAsia="ScalaLancetPro" w:hAnsi="Arial" w:cs="Arial"/>
          <w:sz w:val="22"/>
          <w:szCs w:val="22"/>
          <w:lang w:val="en-US"/>
        </w:rPr>
        <w:t>non-randomised</w:t>
      </w:r>
      <w:r w:rsidR="0001170C">
        <w:rPr>
          <w:rFonts w:ascii="Arial" w:eastAsia="ScalaLancetPro" w:hAnsi="Arial" w:cs="Arial"/>
          <w:sz w:val="22"/>
          <w:szCs w:val="22"/>
          <w:lang w:val="en-US"/>
        </w:rPr>
        <w:t>,</w:t>
      </w:r>
      <w:r w:rsidR="00A31DB0">
        <w:rPr>
          <w:rFonts w:ascii="Arial" w:eastAsia="ScalaLancetPro" w:hAnsi="Arial" w:cs="Arial"/>
          <w:sz w:val="22"/>
          <w:szCs w:val="22"/>
          <w:lang w:val="en-US"/>
        </w:rPr>
        <w:t xml:space="preserve"> </w:t>
      </w:r>
      <w:r w:rsidR="00131AB6" w:rsidRPr="00EE1760">
        <w:rPr>
          <w:rFonts w:ascii="Arial" w:eastAsia="ScalaLancetPro" w:hAnsi="Arial" w:cs="Arial"/>
          <w:sz w:val="22"/>
          <w:szCs w:val="22"/>
          <w:lang w:val="en-US"/>
        </w:rPr>
        <w:t>multi-</w:t>
      </w:r>
      <w:r w:rsidR="000228CB">
        <w:rPr>
          <w:rFonts w:ascii="Arial" w:eastAsia="ScalaLancetPro" w:hAnsi="Arial" w:cs="Arial"/>
          <w:sz w:val="22"/>
          <w:szCs w:val="22"/>
          <w:lang w:val="en-US"/>
        </w:rPr>
        <w:t>centre</w:t>
      </w:r>
      <w:r w:rsidR="0001170C">
        <w:rPr>
          <w:rFonts w:ascii="Arial" w:eastAsia="ScalaLancetPro" w:hAnsi="Arial" w:cs="Arial"/>
          <w:sz w:val="22"/>
          <w:szCs w:val="22"/>
          <w:lang w:val="en-US"/>
        </w:rPr>
        <w:t>,</w:t>
      </w:r>
      <w:r w:rsidR="00131AB6" w:rsidRPr="00EE1760">
        <w:rPr>
          <w:rFonts w:ascii="Arial" w:eastAsia="ScalaLancetPro" w:hAnsi="Arial" w:cs="Arial"/>
          <w:sz w:val="22"/>
          <w:szCs w:val="22"/>
          <w:lang w:val="en-US"/>
        </w:rPr>
        <w:t xml:space="preserve"> phase IIa clinical trial</w:t>
      </w:r>
      <w:r w:rsidR="00634EC8">
        <w:rPr>
          <w:rFonts w:ascii="Arial" w:eastAsia="ScalaLancetPro" w:hAnsi="Arial" w:cs="Arial"/>
          <w:sz w:val="22"/>
          <w:szCs w:val="22"/>
          <w:lang w:val="en-US"/>
        </w:rPr>
        <w:t xml:space="preserve"> platform</w:t>
      </w:r>
      <w:r w:rsidR="00131AB6" w:rsidRPr="00EE1760">
        <w:rPr>
          <w:rFonts w:ascii="Arial" w:eastAsia="ScalaLancetPro" w:hAnsi="Arial" w:cs="Arial"/>
          <w:sz w:val="22"/>
          <w:szCs w:val="22"/>
          <w:lang w:val="en-US"/>
        </w:rPr>
        <w:t xml:space="preserve">. </w:t>
      </w:r>
      <w:r w:rsidR="00B232AF" w:rsidRPr="00EE1760">
        <w:rPr>
          <w:rFonts w:ascii="Arial" w:eastAsia="ScalaLancetPro" w:hAnsi="Arial" w:cs="Arial"/>
          <w:sz w:val="22"/>
          <w:szCs w:val="22"/>
          <w:lang w:val="en-US"/>
        </w:rPr>
        <w:t xml:space="preserve">The study </w:t>
      </w:r>
      <w:r w:rsidR="006C6A55" w:rsidRPr="00EE1760">
        <w:rPr>
          <w:rFonts w:ascii="Arial" w:eastAsia="ScalaLancetPro" w:hAnsi="Arial" w:cs="Arial"/>
          <w:sz w:val="22"/>
          <w:szCs w:val="22"/>
          <w:lang w:val="en-US"/>
        </w:rPr>
        <w:t>was designed to</w:t>
      </w:r>
      <w:r w:rsidR="00B232AF" w:rsidRPr="00EE1760">
        <w:rPr>
          <w:rFonts w:ascii="Arial" w:eastAsia="ScalaLancetPro" w:hAnsi="Arial" w:cs="Arial"/>
          <w:sz w:val="22"/>
          <w:szCs w:val="22"/>
          <w:lang w:val="en-US"/>
        </w:rPr>
        <w:t xml:space="preserve"> recruit </w:t>
      </w:r>
      <w:r w:rsidR="001F493D" w:rsidRPr="00EE1760">
        <w:rPr>
          <w:rFonts w:ascii="Arial" w:eastAsia="ScalaLancetPro" w:hAnsi="Arial" w:cs="Arial"/>
          <w:sz w:val="22"/>
          <w:szCs w:val="22"/>
          <w:lang w:val="en-US"/>
        </w:rPr>
        <w:t>advanced</w:t>
      </w:r>
      <w:r w:rsidR="00102706" w:rsidRPr="00EE1760">
        <w:rPr>
          <w:rFonts w:ascii="Arial" w:eastAsia="ScalaLancetPro" w:hAnsi="Arial" w:cs="Arial"/>
          <w:sz w:val="22"/>
          <w:szCs w:val="22"/>
          <w:lang w:val="en-US"/>
        </w:rPr>
        <w:t xml:space="preserve"> breast cancer</w:t>
      </w:r>
      <w:r w:rsidR="00634EC8">
        <w:rPr>
          <w:rFonts w:ascii="Arial" w:eastAsia="ScalaLancetPro" w:hAnsi="Arial" w:cs="Arial"/>
          <w:sz w:val="22"/>
          <w:szCs w:val="22"/>
          <w:lang w:val="en-US"/>
        </w:rPr>
        <w:t xml:space="preserve"> patients</w:t>
      </w:r>
      <w:r w:rsidR="00102706" w:rsidRPr="00EE1760">
        <w:rPr>
          <w:rFonts w:ascii="Arial" w:eastAsia="ScalaLancetPro" w:hAnsi="Arial" w:cs="Arial"/>
          <w:sz w:val="22"/>
          <w:szCs w:val="22"/>
          <w:lang w:val="en-US"/>
        </w:rPr>
        <w:t xml:space="preserve"> </w:t>
      </w:r>
      <w:r w:rsidR="00014FA5" w:rsidRPr="00EE1760">
        <w:rPr>
          <w:rFonts w:ascii="Arial" w:eastAsia="ScalaLancetPro" w:hAnsi="Arial" w:cs="Arial"/>
          <w:sz w:val="22"/>
          <w:szCs w:val="22"/>
          <w:lang w:val="en-US"/>
        </w:rPr>
        <w:t xml:space="preserve">to </w:t>
      </w:r>
      <w:r w:rsidR="001F493D" w:rsidRPr="00EE1760">
        <w:rPr>
          <w:rFonts w:ascii="Arial" w:eastAsia="ScalaLancetPro" w:hAnsi="Arial" w:cs="Arial"/>
          <w:sz w:val="22"/>
          <w:szCs w:val="22"/>
          <w:lang w:val="en-US"/>
        </w:rPr>
        <w:t xml:space="preserve">undergo ctDNA </w:t>
      </w:r>
      <w:r w:rsidR="00B1053A" w:rsidRPr="00EE1760">
        <w:rPr>
          <w:rFonts w:ascii="Arial" w:eastAsia="ScalaLancetPro" w:hAnsi="Arial" w:cs="Arial"/>
          <w:sz w:val="22"/>
          <w:szCs w:val="22"/>
          <w:lang w:val="en-US"/>
        </w:rPr>
        <w:t xml:space="preserve">testing </w:t>
      </w:r>
      <w:r w:rsidR="001F493D" w:rsidRPr="00EE1760">
        <w:rPr>
          <w:rFonts w:ascii="Arial" w:eastAsia="ScalaLancetPro" w:hAnsi="Arial" w:cs="Arial"/>
          <w:sz w:val="22"/>
          <w:szCs w:val="22"/>
          <w:lang w:val="en-US"/>
        </w:rPr>
        <w:t xml:space="preserve">for </w:t>
      </w:r>
      <w:r w:rsidR="001D3136" w:rsidRPr="00EE1760">
        <w:rPr>
          <w:rFonts w:ascii="Arial" w:eastAsia="ScalaLancetPro" w:hAnsi="Arial" w:cs="Arial"/>
          <w:sz w:val="22"/>
          <w:szCs w:val="22"/>
          <w:lang w:val="en-US"/>
        </w:rPr>
        <w:t xml:space="preserve">potentially </w:t>
      </w:r>
      <w:r w:rsidR="001F493D" w:rsidRPr="00EE1760">
        <w:rPr>
          <w:rFonts w:ascii="Arial" w:eastAsia="ScalaLancetPro" w:hAnsi="Arial" w:cs="Arial"/>
          <w:sz w:val="22"/>
          <w:szCs w:val="22"/>
          <w:lang w:val="en-US"/>
        </w:rPr>
        <w:t>targetable mutations</w:t>
      </w:r>
      <w:r w:rsidR="009479D7" w:rsidRPr="00EE1760">
        <w:rPr>
          <w:rFonts w:ascii="Arial" w:eastAsia="ScalaLancetPro" w:hAnsi="Arial" w:cs="Arial"/>
          <w:sz w:val="22"/>
          <w:szCs w:val="22"/>
          <w:lang w:val="en-US"/>
        </w:rPr>
        <w:t>,</w:t>
      </w:r>
      <w:r w:rsidR="007D6A01" w:rsidRPr="00EE1760">
        <w:rPr>
          <w:rFonts w:ascii="Arial" w:eastAsia="ScalaLancetPro" w:hAnsi="Arial" w:cs="Arial"/>
          <w:sz w:val="22"/>
          <w:szCs w:val="22"/>
          <w:lang w:val="en-US"/>
        </w:rPr>
        <w:t xml:space="preserve"> </w:t>
      </w:r>
      <w:r w:rsidR="00AF4215">
        <w:rPr>
          <w:rFonts w:ascii="Arial" w:eastAsia="ScalaLancetPro" w:hAnsi="Arial" w:cs="Arial"/>
          <w:sz w:val="22"/>
          <w:szCs w:val="22"/>
          <w:lang w:val="en-US"/>
        </w:rPr>
        <w:t>enabling</w:t>
      </w:r>
      <w:r w:rsidR="00AF4215" w:rsidRPr="00EE1760">
        <w:rPr>
          <w:rFonts w:ascii="Arial" w:eastAsia="ScalaLancetPro" w:hAnsi="Arial" w:cs="Arial"/>
          <w:sz w:val="22"/>
          <w:szCs w:val="22"/>
          <w:lang w:val="en-US"/>
        </w:rPr>
        <w:t xml:space="preserve"> </w:t>
      </w:r>
      <w:r w:rsidR="007D6A01" w:rsidRPr="00EE1760">
        <w:rPr>
          <w:rFonts w:ascii="Arial" w:eastAsia="ScalaLancetPro" w:hAnsi="Arial" w:cs="Arial"/>
          <w:sz w:val="22"/>
          <w:szCs w:val="22"/>
          <w:lang w:val="en-US"/>
        </w:rPr>
        <w:t>entry</w:t>
      </w:r>
      <w:r w:rsidR="00B1053A" w:rsidRPr="00EE1760">
        <w:rPr>
          <w:rFonts w:ascii="Arial" w:eastAsia="ScalaLancetPro" w:hAnsi="Arial" w:cs="Arial"/>
          <w:sz w:val="22"/>
          <w:szCs w:val="22"/>
          <w:lang w:val="en-US"/>
        </w:rPr>
        <w:t xml:space="preserve"> into</w:t>
      </w:r>
      <w:r w:rsidR="007D6A01" w:rsidRPr="00EE1760">
        <w:rPr>
          <w:rFonts w:ascii="Arial" w:eastAsia="ScalaLancetPro" w:hAnsi="Arial" w:cs="Arial"/>
          <w:sz w:val="22"/>
          <w:szCs w:val="22"/>
          <w:lang w:val="en-US"/>
        </w:rPr>
        <w:t xml:space="preserve"> </w:t>
      </w:r>
      <w:r w:rsidR="00160C81" w:rsidRPr="00EE1760">
        <w:rPr>
          <w:rFonts w:ascii="Arial" w:eastAsia="ScalaLancetPro" w:hAnsi="Arial" w:cs="Arial"/>
          <w:sz w:val="22"/>
          <w:szCs w:val="22"/>
          <w:lang w:val="en-US"/>
        </w:rPr>
        <w:t xml:space="preserve">one of </w:t>
      </w:r>
      <w:r w:rsidR="00B1053A" w:rsidRPr="00EE1760">
        <w:rPr>
          <w:rFonts w:ascii="Arial" w:eastAsia="ScalaLancetPro" w:hAnsi="Arial" w:cs="Arial"/>
          <w:sz w:val="22"/>
          <w:szCs w:val="22"/>
          <w:lang w:val="en-US"/>
        </w:rPr>
        <w:t>four parallel treatment cohorts with therapies matched to mutations identified in ctDNA</w:t>
      </w:r>
      <w:r w:rsidR="009479D7" w:rsidRPr="00EE1760">
        <w:rPr>
          <w:rFonts w:ascii="Arial" w:eastAsia="ScalaLancetPro" w:hAnsi="Arial" w:cs="Arial"/>
          <w:sz w:val="22"/>
          <w:szCs w:val="22"/>
          <w:lang w:val="en-US"/>
        </w:rPr>
        <w:t xml:space="preserve"> (</w:t>
      </w:r>
      <w:r w:rsidR="0005617B">
        <w:rPr>
          <w:rFonts w:ascii="Arial" w:eastAsia="ScalaLancetPro" w:hAnsi="Arial" w:cs="Arial"/>
          <w:sz w:val="22"/>
          <w:szCs w:val="22"/>
          <w:lang w:val="en-US"/>
        </w:rPr>
        <w:t>appendix p17</w:t>
      </w:r>
      <w:r w:rsidR="009479D7" w:rsidRPr="00EE1760">
        <w:rPr>
          <w:rFonts w:ascii="Arial" w:eastAsia="ScalaLancetPro" w:hAnsi="Arial" w:cs="Arial"/>
          <w:sz w:val="22"/>
          <w:szCs w:val="22"/>
          <w:lang w:val="en-US"/>
        </w:rPr>
        <w:t>)</w:t>
      </w:r>
      <w:r w:rsidR="001F493D" w:rsidRPr="00EE1760">
        <w:rPr>
          <w:rFonts w:ascii="Arial" w:eastAsia="ScalaLancetPro" w:hAnsi="Arial" w:cs="Arial"/>
          <w:sz w:val="22"/>
          <w:szCs w:val="22"/>
          <w:lang w:val="en-US"/>
        </w:rPr>
        <w:t xml:space="preserve">. </w:t>
      </w:r>
      <w:r w:rsidRPr="008C7FCA">
        <w:rPr>
          <w:rFonts w:ascii="Arial" w:hAnsi="Arial" w:cs="Arial"/>
          <w:sz w:val="22"/>
          <w:szCs w:val="22"/>
          <w:lang w:val="en-US"/>
        </w:rPr>
        <w:t>A fifth cohort (E) recruit</w:t>
      </w:r>
      <w:r>
        <w:rPr>
          <w:rFonts w:ascii="Arial" w:hAnsi="Arial" w:cs="Arial"/>
          <w:sz w:val="22"/>
          <w:szCs w:val="22"/>
          <w:lang w:val="en-US"/>
        </w:rPr>
        <w:t>ing</w:t>
      </w:r>
      <w:r w:rsidRPr="008C7FCA">
        <w:rPr>
          <w:rFonts w:ascii="Arial" w:hAnsi="Arial" w:cs="Arial"/>
          <w:sz w:val="22"/>
          <w:szCs w:val="22"/>
          <w:lang w:val="en-US"/>
        </w:rPr>
        <w:t xml:space="preserve"> patients with triple negative breast cancer </w:t>
      </w:r>
      <w:r>
        <w:rPr>
          <w:rFonts w:ascii="Arial" w:hAnsi="Arial" w:cs="Arial"/>
          <w:sz w:val="22"/>
          <w:szCs w:val="22"/>
          <w:lang w:val="en-US"/>
        </w:rPr>
        <w:t xml:space="preserve">(TNBC) </w:t>
      </w:r>
      <w:r w:rsidRPr="008C7FCA">
        <w:rPr>
          <w:rFonts w:ascii="Arial" w:hAnsi="Arial" w:cs="Arial"/>
          <w:sz w:val="22"/>
          <w:szCs w:val="22"/>
          <w:lang w:val="en-US"/>
        </w:rPr>
        <w:t xml:space="preserve">with no actionable mutation to receive olaparib plus </w:t>
      </w:r>
      <w:r w:rsidR="00774C02">
        <w:rPr>
          <w:rFonts w:ascii="Arial" w:hAnsi="Arial" w:cs="Arial"/>
          <w:sz w:val="22"/>
          <w:szCs w:val="22"/>
          <w:lang w:val="en-US"/>
        </w:rPr>
        <w:t xml:space="preserve">the </w:t>
      </w:r>
      <w:r w:rsidR="00774C02" w:rsidRPr="00A35DAE">
        <w:rPr>
          <w:rFonts w:ascii="Arial" w:hAnsi="Arial" w:cs="Arial"/>
          <w:i/>
          <w:sz w:val="22"/>
          <w:szCs w:val="22"/>
          <w:lang w:val="en-US"/>
        </w:rPr>
        <w:t>ATR</w:t>
      </w:r>
      <w:r w:rsidR="00774C02">
        <w:rPr>
          <w:rFonts w:ascii="Arial" w:hAnsi="Arial" w:cs="Arial"/>
          <w:sz w:val="22"/>
          <w:szCs w:val="22"/>
          <w:lang w:val="en-US"/>
        </w:rPr>
        <w:t xml:space="preserve"> inhibitor </w:t>
      </w:r>
      <w:r w:rsidRPr="008C7FCA">
        <w:rPr>
          <w:rFonts w:ascii="Arial" w:hAnsi="Arial" w:cs="Arial"/>
          <w:sz w:val="22"/>
          <w:szCs w:val="22"/>
          <w:lang w:val="en-US"/>
        </w:rPr>
        <w:t>AZD6738 is ongoing and will be reported separately.</w:t>
      </w:r>
      <w:r w:rsidR="00975EDC">
        <w:rPr>
          <w:rFonts w:ascii="Arial" w:hAnsi="Arial" w:cs="Arial"/>
          <w:sz w:val="22"/>
          <w:szCs w:val="22"/>
          <w:lang w:val="en-US"/>
        </w:rPr>
        <w:t xml:space="preserve">  </w:t>
      </w:r>
      <w:r w:rsidR="001F493D" w:rsidRPr="00EE1760">
        <w:rPr>
          <w:rFonts w:ascii="Arial" w:eastAsia="ScalaLancetPro" w:hAnsi="Arial" w:cs="Arial"/>
          <w:sz w:val="22"/>
          <w:szCs w:val="22"/>
          <w:lang w:val="en-US"/>
        </w:rPr>
        <w:t>Eligible patients</w:t>
      </w:r>
      <w:r w:rsidR="0031377A">
        <w:rPr>
          <w:rFonts w:ascii="Arial" w:eastAsia="ScalaLancetPro" w:hAnsi="Arial" w:cs="Arial"/>
          <w:sz w:val="22"/>
          <w:szCs w:val="22"/>
          <w:lang w:val="en-US"/>
        </w:rPr>
        <w:t xml:space="preserve"> were age</w:t>
      </w:r>
      <w:r w:rsidR="00F72DA5">
        <w:rPr>
          <w:rFonts w:ascii="Arial" w:eastAsia="ScalaLancetPro" w:hAnsi="Arial" w:cs="Arial"/>
          <w:sz w:val="22"/>
          <w:szCs w:val="22"/>
          <w:lang w:val="en-US"/>
        </w:rPr>
        <w:t xml:space="preserve"> </w:t>
      </w:r>
      <w:r w:rsidR="0031377A">
        <w:rPr>
          <w:rFonts w:ascii="Arial" w:eastAsia="ScalaLancetPro" w:hAnsi="Arial" w:cs="Arial"/>
          <w:sz w:val="22"/>
          <w:szCs w:val="22"/>
          <w:lang w:val="en-US"/>
        </w:rPr>
        <w:t>≥18 years</w:t>
      </w:r>
      <w:r w:rsidR="001F493D" w:rsidRPr="00EE1760">
        <w:rPr>
          <w:rFonts w:ascii="Arial" w:eastAsia="ScalaLancetPro" w:hAnsi="Arial" w:cs="Arial"/>
          <w:sz w:val="22"/>
          <w:szCs w:val="22"/>
          <w:lang w:val="en-US"/>
        </w:rPr>
        <w:t xml:space="preserve"> </w:t>
      </w:r>
      <w:r w:rsidR="000F6A77" w:rsidRPr="00EE1760">
        <w:rPr>
          <w:rFonts w:ascii="Arial" w:eastAsia="ScalaLancetPro" w:hAnsi="Arial" w:cs="Arial"/>
          <w:sz w:val="22"/>
          <w:szCs w:val="22"/>
          <w:lang w:val="en-US"/>
        </w:rPr>
        <w:t>had</w:t>
      </w:r>
      <w:r w:rsidR="001F493D" w:rsidRPr="00EE1760">
        <w:rPr>
          <w:rFonts w:ascii="Arial" w:eastAsia="ScalaLancetPro" w:hAnsi="Arial" w:cs="Arial"/>
          <w:sz w:val="22"/>
          <w:szCs w:val="22"/>
          <w:lang w:val="en-US"/>
        </w:rPr>
        <w:t xml:space="preserve"> a</w:t>
      </w:r>
      <w:r w:rsidR="00B1053A" w:rsidRPr="00EE1760">
        <w:rPr>
          <w:rFonts w:ascii="Arial" w:eastAsia="ScalaLancetPro" w:hAnsi="Arial" w:cs="Arial"/>
          <w:sz w:val="22"/>
          <w:szCs w:val="22"/>
          <w:lang w:val="en-US"/>
        </w:rPr>
        <w:t xml:space="preserve">n </w:t>
      </w:r>
      <w:r w:rsidR="007C2129" w:rsidRPr="00EE1760">
        <w:rPr>
          <w:rFonts w:ascii="Arial" w:eastAsia="ScalaLancetPro" w:hAnsi="Arial" w:cs="Arial"/>
          <w:sz w:val="22"/>
          <w:szCs w:val="22"/>
          <w:lang w:val="en-US"/>
        </w:rPr>
        <w:t>ECOG</w:t>
      </w:r>
      <w:r w:rsidR="001F493D" w:rsidRPr="00EE1760">
        <w:rPr>
          <w:rFonts w:ascii="Arial" w:eastAsia="ScalaLancetPro" w:hAnsi="Arial" w:cs="Arial"/>
          <w:sz w:val="22"/>
          <w:szCs w:val="22"/>
          <w:lang w:val="en-US"/>
        </w:rPr>
        <w:t xml:space="preserve"> performance status of 0</w:t>
      </w:r>
      <w:r w:rsidR="00AF4215">
        <w:rPr>
          <w:rFonts w:ascii="Arial" w:eastAsia="ScalaLancetPro" w:hAnsi="Arial" w:cs="Arial"/>
          <w:sz w:val="22"/>
          <w:szCs w:val="22"/>
          <w:lang w:val="en-US"/>
        </w:rPr>
        <w:t>/</w:t>
      </w:r>
      <w:r w:rsidR="001F493D" w:rsidRPr="00EE1760">
        <w:rPr>
          <w:rFonts w:ascii="Arial" w:eastAsia="ScalaLancetPro" w:hAnsi="Arial" w:cs="Arial"/>
          <w:sz w:val="22"/>
          <w:szCs w:val="22"/>
          <w:lang w:val="en-US"/>
        </w:rPr>
        <w:t>1,</w:t>
      </w:r>
      <w:r w:rsidR="001256F6">
        <w:rPr>
          <w:rFonts w:ascii="Arial" w:eastAsia="ScalaLancetPro" w:hAnsi="Arial" w:cs="Arial"/>
          <w:sz w:val="22"/>
          <w:szCs w:val="22"/>
          <w:lang w:val="en-US"/>
        </w:rPr>
        <w:t xml:space="preserve"> expected life expectancy of &gt;</w:t>
      </w:r>
      <w:r w:rsidR="00E66240">
        <w:rPr>
          <w:rFonts w:ascii="Arial" w:eastAsia="ScalaLancetPro" w:hAnsi="Arial" w:cs="Arial"/>
          <w:sz w:val="22"/>
          <w:szCs w:val="22"/>
          <w:lang w:val="en-US"/>
        </w:rPr>
        <w:t>3 months</w:t>
      </w:r>
      <w:r w:rsidR="005B12CB" w:rsidRPr="00EE1760">
        <w:rPr>
          <w:rFonts w:ascii="Arial" w:eastAsia="ScalaLancetPro" w:hAnsi="Arial" w:cs="Arial"/>
          <w:sz w:val="22"/>
          <w:szCs w:val="22"/>
          <w:lang w:val="en-US"/>
        </w:rPr>
        <w:t xml:space="preserve"> </w:t>
      </w:r>
      <w:r w:rsidR="001F493D" w:rsidRPr="00EE1760">
        <w:rPr>
          <w:rFonts w:ascii="Arial" w:hAnsi="Arial" w:cs="Arial"/>
          <w:sz w:val="22"/>
          <w:szCs w:val="22"/>
          <w:lang w:val="en-US"/>
        </w:rPr>
        <w:t xml:space="preserve">and </w:t>
      </w:r>
      <w:r w:rsidR="000F6A77" w:rsidRPr="00EE1760">
        <w:rPr>
          <w:rFonts w:ascii="Arial" w:hAnsi="Arial" w:cs="Arial"/>
          <w:sz w:val="22"/>
          <w:szCs w:val="22"/>
          <w:lang w:val="en-US"/>
        </w:rPr>
        <w:t xml:space="preserve">were </w:t>
      </w:r>
      <w:r w:rsidR="001F493D" w:rsidRPr="00EE1760">
        <w:rPr>
          <w:rFonts w:ascii="Arial" w:hAnsi="Arial" w:cs="Arial"/>
          <w:sz w:val="22"/>
          <w:szCs w:val="22"/>
          <w:lang w:val="en-US"/>
        </w:rPr>
        <w:t xml:space="preserve">suitable for a baseline </w:t>
      </w:r>
      <w:r>
        <w:rPr>
          <w:rFonts w:ascii="Arial" w:hAnsi="Arial" w:cs="Arial"/>
          <w:sz w:val="22"/>
          <w:szCs w:val="22"/>
          <w:lang w:val="en-US"/>
        </w:rPr>
        <w:t>advanced</w:t>
      </w:r>
      <w:r w:rsidRPr="00EE1760">
        <w:rPr>
          <w:rFonts w:ascii="Arial" w:hAnsi="Arial" w:cs="Arial"/>
          <w:sz w:val="22"/>
          <w:szCs w:val="22"/>
          <w:lang w:val="en-US"/>
        </w:rPr>
        <w:t xml:space="preserve"> </w:t>
      </w:r>
      <w:r w:rsidR="001F493D" w:rsidRPr="00EE1760">
        <w:rPr>
          <w:rFonts w:ascii="Arial" w:hAnsi="Arial" w:cs="Arial"/>
          <w:sz w:val="22"/>
          <w:szCs w:val="22"/>
          <w:lang w:val="en-US"/>
        </w:rPr>
        <w:t xml:space="preserve">disease </w:t>
      </w:r>
      <w:r w:rsidR="00AF4215">
        <w:rPr>
          <w:rFonts w:ascii="Arial" w:hAnsi="Arial" w:cs="Arial"/>
          <w:sz w:val="22"/>
          <w:szCs w:val="22"/>
          <w:lang w:val="en-US"/>
        </w:rPr>
        <w:t xml:space="preserve">biopsy </w:t>
      </w:r>
      <w:r w:rsidR="001F493D" w:rsidRPr="00EE1760">
        <w:rPr>
          <w:rFonts w:ascii="Arial" w:hAnsi="Arial" w:cs="Arial"/>
          <w:sz w:val="22"/>
          <w:szCs w:val="22"/>
          <w:lang w:val="en-US"/>
        </w:rPr>
        <w:t>or ha</w:t>
      </w:r>
      <w:r w:rsidR="000F6A77" w:rsidRPr="00EE1760">
        <w:rPr>
          <w:rFonts w:ascii="Arial" w:hAnsi="Arial" w:cs="Arial"/>
          <w:sz w:val="22"/>
          <w:szCs w:val="22"/>
          <w:lang w:val="en-US"/>
        </w:rPr>
        <w:t>d</w:t>
      </w:r>
      <w:r w:rsidR="001F493D" w:rsidRPr="00EE1760">
        <w:rPr>
          <w:rFonts w:ascii="Arial" w:hAnsi="Arial" w:cs="Arial"/>
          <w:sz w:val="22"/>
          <w:szCs w:val="22"/>
          <w:lang w:val="en-US"/>
        </w:rPr>
        <w:t xml:space="preserve"> an archival </w:t>
      </w:r>
      <w:r w:rsidR="002D2F6A">
        <w:rPr>
          <w:rFonts w:ascii="Arial" w:hAnsi="Arial" w:cs="Arial"/>
          <w:sz w:val="22"/>
          <w:szCs w:val="22"/>
          <w:lang w:val="en-US"/>
        </w:rPr>
        <w:t>advanced</w:t>
      </w:r>
      <w:r w:rsidR="002D2F6A" w:rsidRPr="00EE1760">
        <w:rPr>
          <w:rFonts w:ascii="Arial" w:hAnsi="Arial" w:cs="Arial"/>
          <w:sz w:val="22"/>
          <w:szCs w:val="22"/>
          <w:lang w:val="en-US"/>
        </w:rPr>
        <w:t xml:space="preserve"> </w:t>
      </w:r>
      <w:r w:rsidR="001F493D" w:rsidRPr="00EE1760">
        <w:rPr>
          <w:rFonts w:ascii="Arial" w:hAnsi="Arial" w:cs="Arial"/>
          <w:sz w:val="22"/>
          <w:szCs w:val="22"/>
          <w:lang w:val="en-US"/>
        </w:rPr>
        <w:t xml:space="preserve">disease </w:t>
      </w:r>
      <w:r w:rsidR="000F6A77" w:rsidRPr="00EE1760">
        <w:rPr>
          <w:rFonts w:ascii="Arial" w:hAnsi="Arial" w:cs="Arial"/>
          <w:sz w:val="22"/>
          <w:szCs w:val="22"/>
          <w:lang w:val="en-US"/>
        </w:rPr>
        <w:t xml:space="preserve">biopsy </w:t>
      </w:r>
      <w:r w:rsidR="001F493D" w:rsidRPr="00EE1760">
        <w:rPr>
          <w:rFonts w:ascii="Arial" w:hAnsi="Arial" w:cs="Arial"/>
          <w:sz w:val="22"/>
          <w:szCs w:val="22"/>
          <w:lang w:val="en-US"/>
        </w:rPr>
        <w:t>available</w:t>
      </w:r>
      <w:r w:rsidR="004A24F7" w:rsidRPr="00EE1760">
        <w:rPr>
          <w:rFonts w:ascii="Arial" w:hAnsi="Arial" w:cs="Arial"/>
          <w:sz w:val="22"/>
          <w:szCs w:val="22"/>
          <w:lang w:val="en-US"/>
        </w:rPr>
        <w:t xml:space="preserve"> for subsequent </w:t>
      </w:r>
      <w:r w:rsidR="006D08A0" w:rsidRPr="00EE1760">
        <w:rPr>
          <w:rFonts w:ascii="Arial" w:hAnsi="Arial" w:cs="Arial"/>
          <w:sz w:val="22"/>
          <w:szCs w:val="22"/>
          <w:lang w:val="en-US"/>
        </w:rPr>
        <w:t xml:space="preserve">retrospective </w:t>
      </w:r>
      <w:r>
        <w:rPr>
          <w:rFonts w:ascii="Arial" w:hAnsi="Arial" w:cs="Arial"/>
          <w:sz w:val="22"/>
          <w:szCs w:val="22"/>
          <w:lang w:val="en-US"/>
        </w:rPr>
        <w:t xml:space="preserve">sequencing and </w:t>
      </w:r>
      <w:r w:rsidR="004A24F7" w:rsidRPr="00EE1760">
        <w:rPr>
          <w:rFonts w:ascii="Arial" w:hAnsi="Arial" w:cs="Arial"/>
          <w:sz w:val="22"/>
          <w:szCs w:val="22"/>
          <w:lang w:val="en-US"/>
        </w:rPr>
        <w:t>comparison with ctDNA</w:t>
      </w:r>
      <w:r w:rsidR="001F493D" w:rsidRPr="00EE1760">
        <w:rPr>
          <w:rFonts w:ascii="Arial" w:hAnsi="Arial" w:cs="Arial"/>
          <w:sz w:val="22"/>
          <w:szCs w:val="22"/>
          <w:lang w:val="en-US"/>
        </w:rPr>
        <w:t xml:space="preserve">. </w:t>
      </w:r>
      <w:r w:rsidR="007C2129" w:rsidRPr="00EE1760">
        <w:rPr>
          <w:rFonts w:ascii="Arial" w:hAnsi="Arial" w:cs="Arial"/>
          <w:sz w:val="22"/>
          <w:szCs w:val="22"/>
          <w:lang w:val="en-US"/>
        </w:rPr>
        <w:t>P</w:t>
      </w:r>
      <w:r w:rsidR="003E02A1" w:rsidRPr="00EE1760">
        <w:rPr>
          <w:rFonts w:ascii="Arial" w:hAnsi="Arial" w:cs="Arial"/>
          <w:sz w:val="22"/>
          <w:szCs w:val="22"/>
          <w:lang w:val="en-US"/>
        </w:rPr>
        <w:t xml:space="preserve">atients </w:t>
      </w:r>
      <w:r w:rsidR="00B1077A" w:rsidRPr="00EE1760">
        <w:rPr>
          <w:rFonts w:ascii="Arial" w:hAnsi="Arial" w:cs="Arial"/>
          <w:sz w:val="22"/>
          <w:szCs w:val="22"/>
          <w:lang w:val="en-US"/>
        </w:rPr>
        <w:t>ha</w:t>
      </w:r>
      <w:r w:rsidR="001B17A2" w:rsidRPr="00EE1760">
        <w:rPr>
          <w:rFonts w:ascii="Arial" w:hAnsi="Arial" w:cs="Arial"/>
          <w:sz w:val="22"/>
          <w:szCs w:val="22"/>
          <w:lang w:val="en-US"/>
        </w:rPr>
        <w:t>d</w:t>
      </w:r>
      <w:r w:rsidR="003E02A1" w:rsidRPr="00EE1760">
        <w:rPr>
          <w:rFonts w:ascii="Arial" w:hAnsi="Arial" w:cs="Arial"/>
          <w:sz w:val="22"/>
          <w:szCs w:val="22"/>
          <w:lang w:val="en-US"/>
        </w:rPr>
        <w:t xml:space="preserve"> </w:t>
      </w:r>
      <w:r w:rsidR="00634EC8">
        <w:rPr>
          <w:rFonts w:ascii="Arial" w:hAnsi="Arial" w:cs="Arial"/>
          <w:sz w:val="22"/>
          <w:szCs w:val="22"/>
          <w:lang w:val="en-US"/>
        </w:rPr>
        <w:t xml:space="preserve">disease </w:t>
      </w:r>
      <w:r w:rsidR="003E02A1" w:rsidRPr="00EE1760">
        <w:rPr>
          <w:rFonts w:ascii="Arial" w:hAnsi="Arial" w:cs="Arial"/>
          <w:sz w:val="22"/>
          <w:szCs w:val="22"/>
          <w:lang w:val="en-US"/>
        </w:rPr>
        <w:t xml:space="preserve">progression by radiological </w:t>
      </w:r>
      <w:r w:rsidR="007C2129" w:rsidRPr="00EE1760">
        <w:rPr>
          <w:rFonts w:ascii="Arial" w:hAnsi="Arial" w:cs="Arial"/>
          <w:sz w:val="22"/>
          <w:szCs w:val="22"/>
          <w:lang w:val="en-US"/>
        </w:rPr>
        <w:t>or</w:t>
      </w:r>
      <w:r w:rsidR="003E02A1" w:rsidRPr="00EE1760">
        <w:rPr>
          <w:rFonts w:ascii="Arial" w:hAnsi="Arial" w:cs="Arial"/>
          <w:sz w:val="22"/>
          <w:szCs w:val="22"/>
          <w:lang w:val="en-US"/>
        </w:rPr>
        <w:t xml:space="preserve"> clinical assessment</w:t>
      </w:r>
      <w:r w:rsidR="00131AB6" w:rsidRPr="00EE1760">
        <w:rPr>
          <w:rFonts w:ascii="Arial" w:hAnsi="Arial" w:cs="Arial"/>
          <w:sz w:val="22"/>
          <w:szCs w:val="22"/>
          <w:lang w:val="en-US"/>
        </w:rPr>
        <w:t xml:space="preserve"> at registration (with radiological confirmation required prior to treatment cohort</w:t>
      </w:r>
      <w:r w:rsidR="00634EC8">
        <w:rPr>
          <w:rFonts w:ascii="Arial" w:hAnsi="Arial" w:cs="Arial"/>
          <w:sz w:val="22"/>
          <w:szCs w:val="22"/>
          <w:lang w:val="en-US"/>
        </w:rPr>
        <w:t xml:space="preserve"> entry</w:t>
      </w:r>
      <w:r w:rsidR="00131AB6" w:rsidRPr="00EE1760">
        <w:rPr>
          <w:rFonts w:ascii="Arial" w:hAnsi="Arial" w:cs="Arial"/>
          <w:sz w:val="22"/>
          <w:szCs w:val="22"/>
          <w:lang w:val="en-US"/>
        </w:rPr>
        <w:t>)</w:t>
      </w:r>
      <w:r w:rsidR="007C2129" w:rsidRPr="00EE1760">
        <w:rPr>
          <w:rFonts w:ascii="Arial" w:hAnsi="Arial" w:cs="Arial"/>
          <w:sz w:val="22"/>
          <w:szCs w:val="22"/>
          <w:lang w:val="en-US"/>
        </w:rPr>
        <w:t>, and</w:t>
      </w:r>
      <w:r w:rsidR="007D6A01" w:rsidRPr="00EE1760">
        <w:rPr>
          <w:rFonts w:ascii="Arial" w:hAnsi="Arial" w:cs="Arial"/>
          <w:sz w:val="22"/>
          <w:szCs w:val="22"/>
          <w:lang w:val="en-US"/>
        </w:rPr>
        <w:t xml:space="preserve"> </w:t>
      </w:r>
      <w:r w:rsidR="00B1077A" w:rsidRPr="00EE1760">
        <w:rPr>
          <w:rFonts w:ascii="Arial" w:hAnsi="Arial" w:cs="Arial"/>
          <w:sz w:val="22"/>
          <w:szCs w:val="22"/>
          <w:lang w:val="en-US"/>
        </w:rPr>
        <w:t xml:space="preserve">had </w:t>
      </w:r>
      <w:r w:rsidR="001F493D" w:rsidRPr="00EE1760">
        <w:rPr>
          <w:rFonts w:ascii="Arial" w:hAnsi="Arial" w:cs="Arial"/>
          <w:sz w:val="22"/>
          <w:szCs w:val="22"/>
          <w:lang w:val="en-US"/>
        </w:rPr>
        <w:t>completed at least one prior line of treatment for advanced</w:t>
      </w:r>
      <w:r w:rsidR="001F493D" w:rsidRPr="008C7FCA">
        <w:rPr>
          <w:rFonts w:ascii="Arial" w:hAnsi="Arial" w:cs="Arial"/>
          <w:sz w:val="22"/>
          <w:szCs w:val="22"/>
          <w:lang w:val="en-US"/>
        </w:rPr>
        <w:t xml:space="preserve"> breast cancer and/or relapse</w:t>
      </w:r>
      <w:r w:rsidR="007C2129" w:rsidRPr="008C7FCA">
        <w:rPr>
          <w:rFonts w:ascii="Arial" w:hAnsi="Arial" w:cs="Arial"/>
          <w:sz w:val="22"/>
          <w:szCs w:val="22"/>
          <w:lang w:val="en-US"/>
        </w:rPr>
        <w:t>d</w:t>
      </w:r>
      <w:r w:rsidR="001F493D" w:rsidRPr="008C7FCA">
        <w:rPr>
          <w:rFonts w:ascii="Arial" w:hAnsi="Arial" w:cs="Arial"/>
          <w:sz w:val="22"/>
          <w:szCs w:val="22"/>
          <w:lang w:val="en-US"/>
        </w:rPr>
        <w:t xml:space="preserve"> within 12 months of (neo)adjuvant chemotherapy. </w:t>
      </w:r>
      <w:r w:rsidR="001F493D" w:rsidRPr="008C7FCA">
        <w:rPr>
          <w:rFonts w:ascii="Arial" w:hAnsi="Arial" w:cs="Arial"/>
          <w:iCs/>
          <w:sz w:val="22"/>
          <w:szCs w:val="22"/>
          <w:lang w:val="en-US"/>
        </w:rPr>
        <w:t xml:space="preserve">Patients with </w:t>
      </w:r>
      <w:r w:rsidR="001F493D" w:rsidRPr="008C7FCA">
        <w:rPr>
          <w:rFonts w:ascii="Arial" w:hAnsi="Arial" w:cs="Arial"/>
          <w:i/>
          <w:sz w:val="22"/>
          <w:szCs w:val="22"/>
          <w:lang w:val="en-US"/>
        </w:rPr>
        <w:t>HER2</w:t>
      </w:r>
      <w:r w:rsidR="001F493D" w:rsidRPr="008C7FCA">
        <w:rPr>
          <w:rFonts w:ascii="Arial" w:hAnsi="Arial" w:cs="Arial"/>
          <w:iCs/>
          <w:sz w:val="22"/>
          <w:szCs w:val="22"/>
          <w:lang w:val="en-US"/>
        </w:rPr>
        <w:t xml:space="preserve"> </w:t>
      </w:r>
      <w:r w:rsidR="003C316A" w:rsidRPr="008C7FCA">
        <w:rPr>
          <w:rFonts w:ascii="Arial" w:hAnsi="Arial" w:cs="Arial"/>
          <w:iCs/>
          <w:sz w:val="22"/>
          <w:szCs w:val="22"/>
          <w:lang w:val="en-US"/>
        </w:rPr>
        <w:t xml:space="preserve">amplified </w:t>
      </w:r>
      <w:r w:rsidR="006D08A0" w:rsidRPr="008C7FCA">
        <w:rPr>
          <w:rFonts w:ascii="Arial" w:hAnsi="Arial" w:cs="Arial"/>
          <w:iCs/>
          <w:sz w:val="22"/>
          <w:szCs w:val="22"/>
          <w:lang w:val="en-US"/>
        </w:rPr>
        <w:t>(</w:t>
      </w:r>
      <w:r w:rsidR="00786A74" w:rsidRPr="008C7FCA">
        <w:rPr>
          <w:rFonts w:ascii="Arial" w:hAnsi="Arial" w:cs="Arial"/>
          <w:iCs/>
          <w:sz w:val="22"/>
          <w:szCs w:val="22"/>
          <w:lang w:val="en-US"/>
        </w:rPr>
        <w:t>HER2</w:t>
      </w:r>
      <w:r w:rsidR="00786A74">
        <w:rPr>
          <w:rFonts w:ascii="Arial" w:hAnsi="Arial" w:cs="Arial"/>
          <w:iCs/>
          <w:sz w:val="22"/>
          <w:szCs w:val="22"/>
          <w:lang w:val="en-US"/>
        </w:rPr>
        <w:t>-</w:t>
      </w:r>
      <w:r w:rsidR="006D08A0" w:rsidRPr="008C7FCA">
        <w:rPr>
          <w:rFonts w:ascii="Arial" w:hAnsi="Arial" w:cs="Arial"/>
          <w:iCs/>
          <w:sz w:val="22"/>
          <w:szCs w:val="22"/>
          <w:lang w:val="en-US"/>
        </w:rPr>
        <w:t xml:space="preserve">positive) </w:t>
      </w:r>
      <w:r w:rsidR="001F493D" w:rsidRPr="008C7FCA">
        <w:rPr>
          <w:rFonts w:ascii="Arial" w:hAnsi="Arial" w:cs="Arial"/>
          <w:iCs/>
          <w:sz w:val="22"/>
          <w:szCs w:val="22"/>
          <w:lang w:val="en-US"/>
        </w:rPr>
        <w:t xml:space="preserve">breast cancer </w:t>
      </w:r>
      <w:r w:rsidR="007D6A01" w:rsidRPr="008C7FCA">
        <w:rPr>
          <w:rFonts w:ascii="Arial" w:hAnsi="Arial" w:cs="Arial"/>
          <w:iCs/>
          <w:sz w:val="22"/>
          <w:szCs w:val="22"/>
          <w:lang w:val="en-US"/>
        </w:rPr>
        <w:t>had</w:t>
      </w:r>
      <w:r w:rsidR="001F493D" w:rsidRPr="008C7FCA">
        <w:rPr>
          <w:rFonts w:ascii="Arial" w:hAnsi="Arial" w:cs="Arial"/>
          <w:iCs/>
          <w:sz w:val="22"/>
          <w:szCs w:val="22"/>
          <w:lang w:val="en-US"/>
        </w:rPr>
        <w:t xml:space="preserve"> at least two </w:t>
      </w:r>
      <w:r w:rsidR="00B1077A">
        <w:rPr>
          <w:rFonts w:ascii="Arial" w:hAnsi="Arial" w:cs="Arial"/>
          <w:iCs/>
          <w:sz w:val="22"/>
          <w:szCs w:val="22"/>
          <w:lang w:val="en-US"/>
        </w:rPr>
        <w:t xml:space="preserve">prior </w:t>
      </w:r>
      <w:r w:rsidR="001F493D" w:rsidRPr="008C7FCA">
        <w:rPr>
          <w:rFonts w:ascii="Arial" w:hAnsi="Arial" w:cs="Arial"/>
          <w:iCs/>
          <w:sz w:val="22"/>
          <w:szCs w:val="22"/>
          <w:lang w:val="en-US"/>
        </w:rPr>
        <w:t>lines of HER2 targeted therapy in the advanced setting</w:t>
      </w:r>
      <w:r w:rsidR="001F493D" w:rsidRPr="008C7FCA">
        <w:rPr>
          <w:rFonts w:ascii="Arial" w:hAnsi="Arial" w:cs="Arial"/>
          <w:sz w:val="22"/>
          <w:szCs w:val="22"/>
          <w:lang w:val="en-US"/>
        </w:rPr>
        <w:t xml:space="preserve"> </w:t>
      </w:r>
      <w:r w:rsidR="001F493D" w:rsidRPr="008C7FCA">
        <w:rPr>
          <w:rFonts w:ascii="Arial" w:hAnsi="Arial" w:cs="Arial"/>
          <w:iCs/>
          <w:sz w:val="22"/>
          <w:szCs w:val="22"/>
          <w:lang w:val="en-US"/>
        </w:rPr>
        <w:t>(or one line if no further HER2 targeted therap</w:t>
      </w:r>
      <w:r w:rsidR="00B1077A">
        <w:rPr>
          <w:rFonts w:ascii="Arial" w:hAnsi="Arial" w:cs="Arial"/>
          <w:iCs/>
          <w:sz w:val="22"/>
          <w:szCs w:val="22"/>
          <w:lang w:val="en-US"/>
        </w:rPr>
        <w:t>ies</w:t>
      </w:r>
      <w:r w:rsidR="001F493D" w:rsidRPr="008C7FCA">
        <w:rPr>
          <w:rFonts w:ascii="Arial" w:hAnsi="Arial" w:cs="Arial"/>
          <w:iCs/>
          <w:sz w:val="22"/>
          <w:szCs w:val="22"/>
          <w:lang w:val="en-US"/>
        </w:rPr>
        <w:t xml:space="preserve"> available). An </w:t>
      </w:r>
      <w:r w:rsidR="00B35BE4">
        <w:rPr>
          <w:rFonts w:ascii="Arial" w:hAnsi="Arial" w:cs="Arial"/>
          <w:iCs/>
          <w:sz w:val="22"/>
          <w:szCs w:val="22"/>
          <w:lang w:val="en-US"/>
        </w:rPr>
        <w:t xml:space="preserve">approved protocol </w:t>
      </w:r>
      <w:r w:rsidR="001F493D" w:rsidRPr="008C7FCA">
        <w:rPr>
          <w:rFonts w:ascii="Arial" w:hAnsi="Arial" w:cs="Arial"/>
          <w:iCs/>
          <w:sz w:val="22"/>
          <w:szCs w:val="22"/>
          <w:lang w:val="en-US"/>
        </w:rPr>
        <w:t>amendment</w:t>
      </w:r>
      <w:r w:rsidR="00786A74">
        <w:rPr>
          <w:rFonts w:ascii="Arial" w:hAnsi="Arial" w:cs="Arial"/>
          <w:iCs/>
          <w:sz w:val="22"/>
          <w:szCs w:val="22"/>
          <w:lang w:val="en-US"/>
        </w:rPr>
        <w:t xml:space="preserve"> implemented</w:t>
      </w:r>
      <w:r w:rsidR="001F493D" w:rsidRPr="008C7FCA">
        <w:rPr>
          <w:rFonts w:ascii="Arial" w:hAnsi="Arial" w:cs="Arial"/>
          <w:iCs/>
          <w:sz w:val="22"/>
          <w:szCs w:val="22"/>
          <w:lang w:val="en-US"/>
        </w:rPr>
        <w:t xml:space="preserve"> </w:t>
      </w:r>
      <w:r w:rsidR="003C316A" w:rsidRPr="008C7FCA">
        <w:rPr>
          <w:rFonts w:ascii="Arial" w:hAnsi="Arial" w:cs="Arial"/>
          <w:iCs/>
          <w:sz w:val="22"/>
          <w:szCs w:val="22"/>
          <w:lang w:val="en-US"/>
        </w:rPr>
        <w:t>o</w:t>
      </w:r>
      <w:r w:rsidR="001F493D" w:rsidRPr="008C7FCA">
        <w:rPr>
          <w:rFonts w:ascii="Arial" w:hAnsi="Arial" w:cs="Arial"/>
          <w:iCs/>
          <w:sz w:val="22"/>
          <w:szCs w:val="22"/>
          <w:lang w:val="en-US"/>
        </w:rPr>
        <w:t xml:space="preserve">n </w:t>
      </w:r>
      <w:r w:rsidR="001C7AD0" w:rsidRPr="008C7FCA">
        <w:rPr>
          <w:rFonts w:ascii="Arial" w:hAnsi="Arial" w:cs="Arial"/>
          <w:iCs/>
          <w:sz w:val="22"/>
          <w:szCs w:val="22"/>
          <w:lang w:val="en-US"/>
        </w:rPr>
        <w:t>February</w:t>
      </w:r>
      <w:r w:rsidR="00B35BE4">
        <w:rPr>
          <w:rFonts w:ascii="Arial" w:hAnsi="Arial" w:cs="Arial"/>
          <w:iCs/>
          <w:sz w:val="22"/>
          <w:szCs w:val="22"/>
          <w:lang w:val="en-US"/>
        </w:rPr>
        <w:t xml:space="preserve"> 19,</w:t>
      </w:r>
      <w:r w:rsidR="001C7AD0" w:rsidRPr="008C7FCA">
        <w:rPr>
          <w:rFonts w:ascii="Arial" w:hAnsi="Arial" w:cs="Arial"/>
          <w:iCs/>
          <w:sz w:val="22"/>
          <w:szCs w:val="22"/>
          <w:lang w:val="en-US"/>
        </w:rPr>
        <w:t xml:space="preserve"> 2018</w:t>
      </w:r>
      <w:r w:rsidR="00786A74">
        <w:rPr>
          <w:rFonts w:ascii="Arial" w:hAnsi="Arial" w:cs="Arial"/>
          <w:iCs/>
          <w:sz w:val="22"/>
          <w:szCs w:val="22"/>
          <w:lang w:val="en-US"/>
        </w:rPr>
        <w:t>,</w:t>
      </w:r>
      <w:r w:rsidR="003C316A" w:rsidRPr="008C7FCA">
        <w:rPr>
          <w:rFonts w:ascii="Arial" w:hAnsi="Arial" w:cs="Arial"/>
          <w:sz w:val="22"/>
          <w:szCs w:val="22"/>
          <w:lang w:val="en-US"/>
        </w:rPr>
        <w:t xml:space="preserve"> </w:t>
      </w:r>
      <w:r w:rsidR="00786A74">
        <w:rPr>
          <w:rFonts w:ascii="Arial" w:hAnsi="Arial" w:cs="Arial"/>
          <w:sz w:val="22"/>
          <w:szCs w:val="22"/>
          <w:lang w:val="en-US"/>
        </w:rPr>
        <w:t xml:space="preserve">after </w:t>
      </w:r>
      <w:r w:rsidR="00F928A8">
        <w:rPr>
          <w:rFonts w:ascii="Arial" w:hAnsi="Arial" w:cs="Arial"/>
          <w:sz w:val="22"/>
          <w:szCs w:val="22"/>
          <w:lang w:val="en-US"/>
        </w:rPr>
        <w:t>515</w:t>
      </w:r>
      <w:r w:rsidR="00F928A8" w:rsidRPr="008C7FCA">
        <w:rPr>
          <w:rFonts w:ascii="Arial" w:hAnsi="Arial" w:cs="Arial"/>
          <w:sz w:val="22"/>
          <w:szCs w:val="22"/>
          <w:lang w:val="en-US"/>
        </w:rPr>
        <w:t xml:space="preserve"> </w:t>
      </w:r>
      <w:r w:rsidR="003C316A" w:rsidRPr="008C7FCA">
        <w:rPr>
          <w:rFonts w:ascii="Arial" w:hAnsi="Arial" w:cs="Arial"/>
          <w:sz w:val="22"/>
          <w:szCs w:val="22"/>
          <w:lang w:val="en-US"/>
        </w:rPr>
        <w:t>patients</w:t>
      </w:r>
      <w:r w:rsidR="00786A74">
        <w:rPr>
          <w:rFonts w:ascii="Arial" w:hAnsi="Arial" w:cs="Arial"/>
          <w:sz w:val="22"/>
          <w:szCs w:val="22"/>
          <w:lang w:val="en-US"/>
        </w:rPr>
        <w:t xml:space="preserve"> had been</w:t>
      </w:r>
      <w:r w:rsidR="003C316A" w:rsidRPr="008C7FCA">
        <w:rPr>
          <w:rFonts w:ascii="Arial" w:hAnsi="Arial" w:cs="Arial"/>
          <w:sz w:val="22"/>
          <w:szCs w:val="22"/>
          <w:lang w:val="en-US"/>
        </w:rPr>
        <w:t xml:space="preserve"> recruited, </w:t>
      </w:r>
      <w:r w:rsidR="00E378B3">
        <w:rPr>
          <w:rFonts w:ascii="Arial" w:hAnsi="Arial" w:cs="Arial"/>
          <w:sz w:val="22"/>
          <w:szCs w:val="22"/>
          <w:lang w:val="en-US"/>
        </w:rPr>
        <w:t xml:space="preserve">required </w:t>
      </w:r>
      <w:r w:rsidR="003E02A1" w:rsidRPr="008C7FCA">
        <w:rPr>
          <w:rFonts w:ascii="Arial" w:hAnsi="Arial" w:cs="Arial"/>
          <w:sz w:val="22"/>
          <w:szCs w:val="22"/>
          <w:lang w:val="en-US"/>
        </w:rPr>
        <w:t xml:space="preserve">a </w:t>
      </w:r>
      <w:r w:rsidR="001F493D" w:rsidRPr="008C7FCA">
        <w:rPr>
          <w:rFonts w:ascii="Arial" w:hAnsi="Arial" w:cs="Arial"/>
          <w:sz w:val="22"/>
          <w:szCs w:val="22"/>
          <w:lang w:val="en-US"/>
        </w:rPr>
        <w:t>maximum of two prior lines of chemotherapy, antibody</w:t>
      </w:r>
      <w:r w:rsidR="001F493D" w:rsidRPr="008C7FCA">
        <w:rPr>
          <w:rFonts w:ascii="Cambria Math" w:hAnsi="Cambria Math" w:cs="Cambria Math"/>
          <w:sz w:val="22"/>
          <w:szCs w:val="22"/>
          <w:lang w:val="en-US"/>
        </w:rPr>
        <w:t>‐</w:t>
      </w:r>
      <w:r w:rsidR="001F493D" w:rsidRPr="008C7FCA">
        <w:rPr>
          <w:rFonts w:ascii="Arial" w:hAnsi="Arial" w:cs="Arial"/>
          <w:sz w:val="22"/>
          <w:szCs w:val="22"/>
          <w:lang w:val="en-US"/>
        </w:rPr>
        <w:t>drug conjugate or immunotherapy</w:t>
      </w:r>
      <w:r w:rsidR="006D08A0" w:rsidRPr="008C7FCA">
        <w:rPr>
          <w:rFonts w:ascii="Arial" w:hAnsi="Arial" w:cs="Arial"/>
          <w:sz w:val="22"/>
          <w:szCs w:val="22"/>
          <w:lang w:val="en-US"/>
        </w:rPr>
        <w:t>.</w:t>
      </w:r>
      <w:r w:rsidR="001F493D" w:rsidRPr="008C7FCA">
        <w:rPr>
          <w:rFonts w:ascii="Arial" w:hAnsi="Arial" w:cs="Arial"/>
          <w:sz w:val="22"/>
          <w:szCs w:val="22"/>
          <w:lang w:val="en-US"/>
        </w:rPr>
        <w:t xml:space="preserve"> </w:t>
      </w:r>
    </w:p>
    <w:p w14:paraId="569F2190" w14:textId="77777777" w:rsidR="002422C8" w:rsidRPr="008C7FCA" w:rsidRDefault="002422C8" w:rsidP="00A975C3">
      <w:pPr>
        <w:jc w:val="both"/>
        <w:rPr>
          <w:rFonts w:ascii="Arial" w:hAnsi="Arial" w:cs="Arial"/>
          <w:sz w:val="22"/>
          <w:szCs w:val="22"/>
          <w:lang w:val="en-US"/>
        </w:rPr>
      </w:pPr>
    </w:p>
    <w:p w14:paraId="0A3C159E" w14:textId="77777777" w:rsidR="002422C8" w:rsidRDefault="002422C8" w:rsidP="002422C8">
      <w:pPr>
        <w:autoSpaceDE w:val="0"/>
        <w:autoSpaceDN w:val="0"/>
        <w:adjustRightInd w:val="0"/>
        <w:jc w:val="both"/>
        <w:rPr>
          <w:rFonts w:ascii="Arial" w:eastAsia="ScalaLancetPro" w:hAnsi="Arial" w:cs="Arial"/>
          <w:b/>
          <w:sz w:val="22"/>
          <w:szCs w:val="22"/>
          <w:lang w:val="en-US"/>
        </w:rPr>
      </w:pPr>
      <w:r w:rsidRPr="008C7FCA">
        <w:rPr>
          <w:rFonts w:ascii="Arial" w:hAnsi="Arial" w:cs="Arial"/>
          <w:sz w:val="22"/>
          <w:szCs w:val="22"/>
          <w:lang w:val="en-US"/>
        </w:rPr>
        <w:t xml:space="preserve">The study was co-sponsored by </w:t>
      </w:r>
      <w:r>
        <w:rPr>
          <w:rFonts w:ascii="Arial" w:hAnsi="Arial" w:cs="Arial"/>
          <w:sz w:val="22"/>
          <w:szCs w:val="22"/>
          <w:lang w:val="en-US"/>
        </w:rPr>
        <w:t>T</w:t>
      </w:r>
      <w:r w:rsidRPr="008C7FCA">
        <w:rPr>
          <w:rFonts w:ascii="Arial" w:hAnsi="Arial" w:cs="Arial"/>
          <w:sz w:val="22"/>
          <w:szCs w:val="22"/>
          <w:lang w:val="en-US"/>
        </w:rPr>
        <w:t xml:space="preserve">he Institute of Cancer Research and the Royal Marsden NHS Foundation Trust and approved by </w:t>
      </w:r>
      <w:r>
        <w:rPr>
          <w:rFonts w:ascii="Arial" w:hAnsi="Arial" w:cs="Arial"/>
          <w:sz w:val="22"/>
          <w:szCs w:val="22"/>
          <w:lang w:val="en-US"/>
        </w:rPr>
        <w:t>a</w:t>
      </w:r>
      <w:r w:rsidRPr="008C7FCA">
        <w:rPr>
          <w:rFonts w:ascii="Arial" w:hAnsi="Arial" w:cs="Arial"/>
          <w:sz w:val="22"/>
          <w:szCs w:val="22"/>
          <w:lang w:val="en-US"/>
        </w:rPr>
        <w:t xml:space="preserve"> Research Ethics Committee (16/SC/0271). </w:t>
      </w:r>
      <w:r w:rsidRPr="008C7FCA">
        <w:rPr>
          <w:lang w:val="en-US"/>
        </w:rPr>
        <w:t xml:space="preserve">All </w:t>
      </w:r>
      <w:r w:rsidRPr="008C7FCA">
        <w:rPr>
          <w:rFonts w:ascii="Arial" w:hAnsi="Arial" w:cs="Arial"/>
          <w:sz w:val="22"/>
          <w:szCs w:val="22"/>
          <w:lang w:val="en-US"/>
        </w:rPr>
        <w:t xml:space="preserve">participants gave written informed consent prior to registration for ctDNA testing, and again prior to treatment cohort entry. </w:t>
      </w:r>
      <w:r w:rsidRPr="00B0359A">
        <w:rPr>
          <w:rFonts w:ascii="Arial" w:hAnsi="Arial" w:cs="Arial"/>
          <w:sz w:val="22"/>
          <w:szCs w:val="22"/>
          <w:lang w:val="en-US"/>
        </w:rPr>
        <w:t>Safety and efficacy data were reviewed regularly by an Independent Data Monitoring Committee (IDMC)</w:t>
      </w:r>
      <w:r>
        <w:rPr>
          <w:rFonts w:ascii="Arial" w:hAnsi="Arial" w:cs="Arial"/>
          <w:sz w:val="22"/>
          <w:szCs w:val="22"/>
          <w:lang w:val="en-US"/>
        </w:rPr>
        <w:t>.</w:t>
      </w:r>
      <w:r w:rsidRPr="00B0359A">
        <w:rPr>
          <w:rFonts w:ascii="Arial" w:hAnsi="Arial" w:cs="Arial"/>
          <w:sz w:val="22"/>
          <w:szCs w:val="22"/>
          <w:lang w:val="en-US"/>
        </w:rPr>
        <w:t xml:space="preserve"> </w:t>
      </w:r>
      <w:r>
        <w:rPr>
          <w:rFonts w:ascii="Arial" w:hAnsi="Arial" w:cs="Arial"/>
          <w:sz w:val="22"/>
          <w:szCs w:val="22"/>
          <w:lang w:val="en-US"/>
        </w:rPr>
        <w:t>T</w:t>
      </w:r>
      <w:r w:rsidRPr="00B0359A">
        <w:rPr>
          <w:rFonts w:ascii="Arial" w:hAnsi="Arial" w:cs="Arial"/>
          <w:sz w:val="22"/>
          <w:szCs w:val="22"/>
          <w:lang w:val="en-US"/>
        </w:rPr>
        <w:t>rial oversight was provided by an independent Trial Steering Committee.</w:t>
      </w:r>
    </w:p>
    <w:p w14:paraId="4E87CBD2" w14:textId="0632A757" w:rsidR="00E97293" w:rsidRDefault="00E97293" w:rsidP="00521F6D">
      <w:pPr>
        <w:autoSpaceDE w:val="0"/>
        <w:autoSpaceDN w:val="0"/>
        <w:adjustRightInd w:val="0"/>
        <w:jc w:val="both"/>
        <w:rPr>
          <w:rFonts w:ascii="Arial" w:eastAsia="ScalaLancetPro" w:hAnsi="Arial" w:cs="Arial"/>
          <w:sz w:val="22"/>
          <w:szCs w:val="22"/>
          <w:lang w:val="en-US"/>
        </w:rPr>
      </w:pPr>
    </w:p>
    <w:p w14:paraId="5D221D08" w14:textId="77777777" w:rsidR="00BD7B4A" w:rsidRPr="008C7FCA" w:rsidRDefault="00BD7B4A" w:rsidP="00BD7B4A">
      <w:pPr>
        <w:autoSpaceDE w:val="0"/>
        <w:autoSpaceDN w:val="0"/>
        <w:adjustRightInd w:val="0"/>
        <w:jc w:val="both"/>
        <w:rPr>
          <w:rFonts w:ascii="Arial" w:eastAsia="ScalaLancetPro" w:hAnsi="Arial" w:cs="Arial"/>
          <w:b/>
          <w:sz w:val="22"/>
          <w:szCs w:val="22"/>
          <w:lang w:val="en-US"/>
        </w:rPr>
      </w:pPr>
      <w:r>
        <w:rPr>
          <w:rFonts w:ascii="Arial" w:eastAsia="ScalaLancetPro" w:hAnsi="Arial" w:cs="Arial"/>
          <w:b/>
          <w:sz w:val="22"/>
          <w:szCs w:val="22"/>
          <w:lang w:val="en-US"/>
        </w:rPr>
        <w:lastRenderedPageBreak/>
        <w:t>Procedures</w:t>
      </w:r>
    </w:p>
    <w:p w14:paraId="530D03F5" w14:textId="30850C57" w:rsidR="007D6A01" w:rsidRPr="008C7FCA" w:rsidRDefault="00BF2EE6" w:rsidP="00521F6D">
      <w:pPr>
        <w:autoSpaceDE w:val="0"/>
        <w:autoSpaceDN w:val="0"/>
        <w:adjustRightInd w:val="0"/>
        <w:jc w:val="both"/>
        <w:rPr>
          <w:rFonts w:ascii="Arial" w:eastAsia="ScalaLancetPro" w:hAnsi="Arial" w:cs="Arial"/>
          <w:b/>
          <w:sz w:val="22"/>
          <w:szCs w:val="22"/>
          <w:lang w:val="en-US"/>
        </w:rPr>
      </w:pPr>
      <w:r w:rsidRPr="00EE1760">
        <w:rPr>
          <w:rFonts w:ascii="Arial" w:hAnsi="Arial" w:cs="Arial"/>
          <w:sz w:val="22"/>
          <w:szCs w:val="22"/>
          <w:lang w:val="en-US"/>
        </w:rPr>
        <w:t xml:space="preserve">ctDNA testing was conducted with two technologies: digital droplet PCR at a central laboratory </w:t>
      </w:r>
      <w:r w:rsidR="00920651" w:rsidRPr="00EE1760">
        <w:rPr>
          <w:rFonts w:ascii="Arial" w:hAnsi="Arial" w:cs="Arial"/>
          <w:sz w:val="22"/>
          <w:szCs w:val="22"/>
          <w:lang w:val="en-US"/>
        </w:rPr>
        <w:t xml:space="preserve">in the </w:t>
      </w:r>
      <w:r w:rsidR="00131AB6" w:rsidRPr="00EE1760">
        <w:rPr>
          <w:rFonts w:ascii="Arial" w:hAnsi="Arial" w:cs="Arial"/>
          <w:sz w:val="22"/>
          <w:szCs w:val="22"/>
          <w:lang w:val="en-US"/>
        </w:rPr>
        <w:t>National Institute for Health Research (NIHR)</w:t>
      </w:r>
      <w:r w:rsidR="003766A4" w:rsidRPr="00EE1760">
        <w:rPr>
          <w:rFonts w:ascii="Arial" w:hAnsi="Arial" w:cs="Arial"/>
          <w:sz w:val="22"/>
          <w:szCs w:val="22"/>
          <w:lang w:val="en-US"/>
        </w:rPr>
        <w:t xml:space="preserve"> </w:t>
      </w:r>
      <w:r w:rsidR="000228CB">
        <w:rPr>
          <w:rFonts w:ascii="Arial" w:hAnsi="Arial" w:cs="Arial"/>
          <w:sz w:val="22"/>
          <w:szCs w:val="22"/>
          <w:lang w:val="en-US"/>
        </w:rPr>
        <w:t>Centre</w:t>
      </w:r>
      <w:r w:rsidR="00920651" w:rsidRPr="00EE1760">
        <w:rPr>
          <w:rFonts w:ascii="Arial" w:hAnsi="Arial" w:cs="Arial"/>
          <w:sz w:val="22"/>
          <w:szCs w:val="22"/>
          <w:lang w:val="en-US"/>
        </w:rPr>
        <w:t xml:space="preserve"> for Molecular Pathology </w:t>
      </w:r>
      <w:r w:rsidR="00131AB6" w:rsidRPr="00EE1760">
        <w:rPr>
          <w:rFonts w:ascii="Arial" w:hAnsi="Arial" w:cs="Arial"/>
          <w:sz w:val="22"/>
          <w:szCs w:val="22"/>
          <w:lang w:val="en-US"/>
        </w:rPr>
        <w:t xml:space="preserve">at </w:t>
      </w:r>
      <w:r w:rsidR="00B97734">
        <w:rPr>
          <w:rFonts w:ascii="Arial" w:hAnsi="Arial" w:cs="Arial"/>
          <w:sz w:val="22"/>
          <w:szCs w:val="22"/>
          <w:lang w:val="en-US"/>
        </w:rPr>
        <w:t>Royal Marsden</w:t>
      </w:r>
      <w:r w:rsidR="002D2F6A">
        <w:rPr>
          <w:rFonts w:ascii="Arial" w:hAnsi="Arial" w:cs="Arial"/>
          <w:sz w:val="22"/>
          <w:szCs w:val="22"/>
          <w:lang w:val="en-US"/>
        </w:rPr>
        <w:t xml:space="preserve"> and</w:t>
      </w:r>
      <w:r w:rsidR="00B97734">
        <w:rPr>
          <w:rFonts w:ascii="Arial" w:hAnsi="Arial" w:cs="Arial"/>
          <w:sz w:val="22"/>
          <w:szCs w:val="22"/>
          <w:lang w:val="en-US"/>
        </w:rPr>
        <w:t xml:space="preserve"> Institute of Cancer Research </w:t>
      </w:r>
      <w:r w:rsidRPr="00EE1760">
        <w:rPr>
          <w:rFonts w:ascii="Arial" w:hAnsi="Arial" w:cs="Arial"/>
          <w:sz w:val="22"/>
          <w:szCs w:val="22"/>
          <w:lang w:val="en-US"/>
        </w:rPr>
        <w:t>prospectively in all patients</w:t>
      </w:r>
      <w:r w:rsidR="000061EC" w:rsidRPr="00EE1760">
        <w:rPr>
          <w:rFonts w:ascii="Arial" w:hAnsi="Arial" w:cs="Arial"/>
          <w:iCs/>
          <w:sz w:val="22"/>
          <w:szCs w:val="22"/>
          <w:lang w:val="en-US"/>
        </w:rPr>
        <w:t xml:space="preserve">, </w:t>
      </w:r>
      <w:r w:rsidR="000061EC" w:rsidRPr="00EE1760">
        <w:rPr>
          <w:rFonts w:ascii="Arial" w:hAnsi="Arial" w:cs="Arial"/>
          <w:sz w:val="22"/>
          <w:szCs w:val="22"/>
          <w:lang w:val="en-US"/>
        </w:rPr>
        <w:t xml:space="preserve">for mutations in </w:t>
      </w:r>
      <w:r w:rsidR="000061EC" w:rsidRPr="00EE1760">
        <w:rPr>
          <w:rFonts w:ascii="Arial" w:hAnsi="Arial" w:cs="Arial"/>
          <w:i/>
          <w:iCs/>
          <w:sz w:val="22"/>
          <w:szCs w:val="22"/>
          <w:lang w:val="en-US"/>
        </w:rPr>
        <w:t xml:space="preserve">PIK3CA, ESR1, </w:t>
      </w:r>
      <w:r w:rsidR="00A35DAE">
        <w:rPr>
          <w:rFonts w:ascii="Arial" w:hAnsi="Arial" w:cs="Arial"/>
          <w:i/>
          <w:iCs/>
          <w:sz w:val="22"/>
          <w:szCs w:val="22"/>
          <w:lang w:val="en-US"/>
        </w:rPr>
        <w:t>ERBB2</w:t>
      </w:r>
      <w:r w:rsidR="00A35DAE" w:rsidRPr="00EE1760">
        <w:rPr>
          <w:rFonts w:ascii="Arial" w:hAnsi="Arial" w:cs="Arial"/>
          <w:i/>
          <w:iCs/>
          <w:sz w:val="22"/>
          <w:szCs w:val="22"/>
          <w:lang w:val="en-US"/>
        </w:rPr>
        <w:t xml:space="preserve"> </w:t>
      </w:r>
      <w:r w:rsidR="000061EC" w:rsidRPr="00EE1760">
        <w:rPr>
          <w:rFonts w:ascii="Arial" w:hAnsi="Arial" w:cs="Arial"/>
          <w:sz w:val="22"/>
          <w:szCs w:val="22"/>
          <w:lang w:val="en-US"/>
        </w:rPr>
        <w:t>and</w:t>
      </w:r>
      <w:r w:rsidR="000061EC" w:rsidRPr="00EE1760">
        <w:rPr>
          <w:rFonts w:ascii="Arial" w:hAnsi="Arial" w:cs="Arial"/>
          <w:i/>
          <w:iCs/>
          <w:sz w:val="22"/>
          <w:szCs w:val="22"/>
          <w:lang w:val="en-US"/>
        </w:rPr>
        <w:t xml:space="preserve"> AKT1</w:t>
      </w:r>
      <w:r w:rsidR="008078A7" w:rsidRPr="00EE1760">
        <w:rPr>
          <w:rFonts w:ascii="Arial" w:hAnsi="Arial" w:cs="Arial"/>
          <w:sz w:val="22"/>
          <w:szCs w:val="22"/>
          <w:lang w:val="en-US"/>
        </w:rPr>
        <w:t>. From</w:t>
      </w:r>
      <w:r w:rsidRPr="00EE1760">
        <w:rPr>
          <w:rFonts w:ascii="Arial" w:hAnsi="Arial" w:cs="Arial"/>
          <w:sz w:val="22"/>
          <w:szCs w:val="22"/>
          <w:lang w:val="en-US"/>
        </w:rPr>
        <w:t xml:space="preserve"> </w:t>
      </w:r>
      <w:r w:rsidR="00710E0F" w:rsidRPr="00EE1760">
        <w:rPr>
          <w:rFonts w:ascii="Arial" w:hAnsi="Arial" w:cs="Arial"/>
          <w:sz w:val="22"/>
          <w:szCs w:val="22"/>
          <w:lang w:val="en-US"/>
        </w:rPr>
        <w:t>July</w:t>
      </w:r>
      <w:r w:rsidR="00B35BE4">
        <w:rPr>
          <w:rFonts w:ascii="Arial" w:hAnsi="Arial" w:cs="Arial"/>
          <w:sz w:val="22"/>
          <w:szCs w:val="22"/>
          <w:lang w:val="en-US"/>
        </w:rPr>
        <w:t xml:space="preserve"> 10,</w:t>
      </w:r>
      <w:r w:rsidR="00710E0F" w:rsidRPr="00EE1760">
        <w:rPr>
          <w:rFonts w:ascii="Arial" w:hAnsi="Arial" w:cs="Arial"/>
          <w:sz w:val="22"/>
          <w:szCs w:val="22"/>
          <w:lang w:val="en-US"/>
        </w:rPr>
        <w:t xml:space="preserve"> 2018</w:t>
      </w:r>
      <w:r w:rsidRPr="00EE1760">
        <w:rPr>
          <w:rFonts w:ascii="Arial" w:hAnsi="Arial" w:cs="Arial"/>
          <w:b/>
          <w:sz w:val="22"/>
          <w:szCs w:val="22"/>
          <w:lang w:val="en-US"/>
        </w:rPr>
        <w:t xml:space="preserve"> </w:t>
      </w:r>
      <w:r w:rsidR="004C6565" w:rsidRPr="0072158B">
        <w:rPr>
          <w:rFonts w:ascii="Arial" w:hAnsi="Arial" w:cs="Arial"/>
          <w:bCs/>
          <w:sz w:val="22"/>
          <w:szCs w:val="22"/>
          <w:lang w:val="en-US"/>
        </w:rPr>
        <w:t xml:space="preserve">(after recruitment of </w:t>
      </w:r>
      <w:r w:rsidR="00660EF9">
        <w:rPr>
          <w:rFonts w:ascii="Arial" w:hAnsi="Arial" w:cs="Arial"/>
          <w:bCs/>
          <w:sz w:val="22"/>
          <w:szCs w:val="22"/>
          <w:lang w:val="en-US"/>
        </w:rPr>
        <w:t>680</w:t>
      </w:r>
      <w:r w:rsidR="004C6565" w:rsidRPr="0072158B">
        <w:rPr>
          <w:rFonts w:ascii="Arial" w:hAnsi="Arial" w:cs="Arial"/>
          <w:bCs/>
          <w:sz w:val="22"/>
          <w:szCs w:val="22"/>
          <w:lang w:val="en-US"/>
        </w:rPr>
        <w:t xml:space="preserve"> patients)</w:t>
      </w:r>
      <w:r w:rsidR="004C6565">
        <w:rPr>
          <w:rFonts w:ascii="Arial" w:hAnsi="Arial" w:cs="Arial"/>
          <w:b/>
          <w:sz w:val="22"/>
          <w:szCs w:val="22"/>
          <w:lang w:val="en-US"/>
        </w:rPr>
        <w:t xml:space="preserve"> </w:t>
      </w:r>
      <w:r w:rsidR="00B12A87" w:rsidRPr="00EE1760">
        <w:rPr>
          <w:rFonts w:ascii="Arial" w:hAnsi="Arial" w:cs="Arial"/>
          <w:sz w:val="22"/>
          <w:szCs w:val="22"/>
          <w:lang w:val="en-US"/>
        </w:rPr>
        <w:t>prospective testing also included</w:t>
      </w:r>
      <w:r w:rsidR="00B12A87" w:rsidRPr="00EE1760">
        <w:rPr>
          <w:rFonts w:ascii="Arial" w:hAnsi="Arial" w:cs="Arial"/>
          <w:b/>
          <w:sz w:val="22"/>
          <w:szCs w:val="22"/>
          <w:lang w:val="en-US"/>
        </w:rPr>
        <w:t xml:space="preserve"> </w:t>
      </w:r>
      <w:r w:rsidR="008D0805" w:rsidRPr="00EE1760">
        <w:rPr>
          <w:rFonts w:ascii="Arial" w:hAnsi="Arial" w:cs="Arial"/>
          <w:sz w:val="22"/>
          <w:szCs w:val="22"/>
          <w:lang w:val="en-US"/>
        </w:rPr>
        <w:t>error corrected</w:t>
      </w:r>
      <w:r w:rsidR="00920651" w:rsidRPr="00EE1760">
        <w:rPr>
          <w:rFonts w:ascii="Arial" w:hAnsi="Arial" w:cs="Arial"/>
          <w:sz w:val="22"/>
          <w:szCs w:val="22"/>
          <w:lang w:val="en-US"/>
        </w:rPr>
        <w:t xml:space="preserve"> targeted</w:t>
      </w:r>
      <w:r w:rsidRPr="00EE1760">
        <w:rPr>
          <w:rFonts w:ascii="Arial" w:hAnsi="Arial" w:cs="Arial"/>
          <w:sz w:val="22"/>
          <w:szCs w:val="22"/>
          <w:lang w:val="en-US"/>
        </w:rPr>
        <w:t xml:space="preserve"> sequencing with </w:t>
      </w:r>
      <w:r w:rsidR="0090310D" w:rsidRPr="00EE1760">
        <w:rPr>
          <w:rFonts w:ascii="Arial" w:hAnsi="Arial" w:cs="Arial"/>
          <w:sz w:val="22"/>
          <w:szCs w:val="22"/>
          <w:lang w:val="en-US"/>
        </w:rPr>
        <w:t>Guardant360</w:t>
      </w:r>
      <w:r w:rsidR="002D2F6A" w:rsidRPr="002D2F6A">
        <w:rPr>
          <w:rFonts w:ascii="Arial" w:hAnsi="Arial" w:cs="Arial"/>
          <w:sz w:val="22"/>
          <w:szCs w:val="22"/>
          <w:vertAlign w:val="superscript"/>
          <w:lang w:val="en-US"/>
        </w:rPr>
        <w:sym w:font="Symbol" w:char="F0E2"/>
      </w:r>
      <w:r w:rsidR="00C40AB5" w:rsidRPr="00EE1760">
        <w:rPr>
          <w:rFonts w:ascii="Arial" w:hAnsi="Arial" w:cs="Arial"/>
          <w:sz w:val="22"/>
          <w:szCs w:val="22"/>
          <w:lang w:val="en-US"/>
        </w:rPr>
        <w:t xml:space="preserve"> (Guardant Health)</w:t>
      </w:r>
      <w:r w:rsidR="00131AB6" w:rsidRPr="00EE1760">
        <w:rPr>
          <w:rFonts w:ascii="Arial" w:hAnsi="Arial" w:cs="Arial"/>
          <w:sz w:val="22"/>
          <w:szCs w:val="22"/>
          <w:lang w:val="en-US"/>
        </w:rPr>
        <w:t xml:space="preserve"> for a panel of </w:t>
      </w:r>
      <w:r w:rsidR="0072615C" w:rsidRPr="00EE1760">
        <w:rPr>
          <w:rFonts w:ascii="Arial" w:hAnsi="Arial" w:cs="Arial"/>
          <w:sz w:val="22"/>
          <w:szCs w:val="22"/>
          <w:lang w:val="en-US"/>
        </w:rPr>
        <w:t>73 genes</w:t>
      </w:r>
      <w:r w:rsidR="00131AB6" w:rsidRPr="00EE1760">
        <w:rPr>
          <w:rFonts w:ascii="Arial" w:hAnsi="Arial" w:cs="Arial"/>
          <w:sz w:val="22"/>
          <w:szCs w:val="22"/>
          <w:lang w:val="en-US"/>
        </w:rPr>
        <w:t xml:space="preserve"> including </w:t>
      </w:r>
      <w:r w:rsidR="0072615C" w:rsidRPr="00EE1760">
        <w:rPr>
          <w:rFonts w:ascii="Arial" w:hAnsi="Arial" w:cs="Arial"/>
          <w:i/>
          <w:sz w:val="22"/>
          <w:szCs w:val="22"/>
          <w:lang w:val="en-US"/>
        </w:rPr>
        <w:t xml:space="preserve">PIK3CA, ESR1, </w:t>
      </w:r>
      <w:r w:rsidR="00A35DAE">
        <w:rPr>
          <w:rFonts w:ascii="Arial" w:hAnsi="Arial" w:cs="Arial"/>
          <w:i/>
          <w:sz w:val="22"/>
          <w:szCs w:val="22"/>
          <w:lang w:val="en-US"/>
        </w:rPr>
        <w:t>ERBB2</w:t>
      </w:r>
      <w:r w:rsidR="0072615C" w:rsidRPr="00EE1760">
        <w:rPr>
          <w:rFonts w:ascii="Arial" w:hAnsi="Arial" w:cs="Arial"/>
          <w:i/>
          <w:sz w:val="22"/>
          <w:szCs w:val="22"/>
          <w:lang w:val="en-US"/>
        </w:rPr>
        <w:t>, AKT1 and PTEN</w:t>
      </w:r>
      <w:r w:rsidR="00A06026" w:rsidRPr="00EE1760">
        <w:rPr>
          <w:rFonts w:ascii="Arial" w:hAnsi="Arial" w:cs="Arial"/>
          <w:sz w:val="22"/>
          <w:szCs w:val="22"/>
          <w:lang w:val="en-US"/>
        </w:rPr>
        <w:t>,</w:t>
      </w:r>
      <w:r w:rsidR="00A06026" w:rsidRPr="008C7FCA">
        <w:rPr>
          <w:rFonts w:ascii="Arial" w:hAnsi="Arial" w:cs="Arial"/>
          <w:sz w:val="22"/>
          <w:szCs w:val="22"/>
          <w:lang w:val="en-US"/>
        </w:rPr>
        <w:t xml:space="preserve"> </w:t>
      </w:r>
      <w:r w:rsidR="00B12A87" w:rsidRPr="008C7FCA">
        <w:rPr>
          <w:rFonts w:ascii="Arial" w:hAnsi="Arial" w:cs="Arial"/>
          <w:sz w:val="22"/>
          <w:szCs w:val="22"/>
          <w:lang w:val="en-US"/>
        </w:rPr>
        <w:t xml:space="preserve">with </w:t>
      </w:r>
      <w:r w:rsidRPr="008C7FCA">
        <w:rPr>
          <w:rFonts w:ascii="Arial" w:hAnsi="Arial" w:cs="Arial"/>
          <w:sz w:val="22"/>
          <w:szCs w:val="22"/>
          <w:lang w:val="en-US"/>
        </w:rPr>
        <w:t>retrospective</w:t>
      </w:r>
      <w:r w:rsidR="0090310D" w:rsidRPr="008C7FCA">
        <w:rPr>
          <w:rFonts w:ascii="Arial" w:hAnsi="Arial" w:cs="Arial"/>
          <w:sz w:val="22"/>
          <w:szCs w:val="22"/>
          <w:lang w:val="en-US"/>
        </w:rPr>
        <w:t xml:space="preserve"> </w:t>
      </w:r>
      <w:r w:rsidRPr="008C7FCA">
        <w:rPr>
          <w:rFonts w:ascii="Arial" w:hAnsi="Arial" w:cs="Arial"/>
          <w:sz w:val="22"/>
          <w:szCs w:val="22"/>
          <w:lang w:val="en-US"/>
        </w:rPr>
        <w:t xml:space="preserve">sequencing performed for </w:t>
      </w:r>
      <w:r w:rsidR="00B12A87" w:rsidRPr="008C7FCA">
        <w:rPr>
          <w:rFonts w:ascii="Arial" w:hAnsi="Arial" w:cs="Arial"/>
          <w:sz w:val="22"/>
          <w:szCs w:val="22"/>
          <w:lang w:val="en-US"/>
        </w:rPr>
        <w:t xml:space="preserve">previously enrolled </w:t>
      </w:r>
      <w:r w:rsidRPr="008C7FCA">
        <w:rPr>
          <w:rFonts w:ascii="Arial" w:hAnsi="Arial" w:cs="Arial"/>
          <w:sz w:val="22"/>
          <w:szCs w:val="22"/>
          <w:lang w:val="en-US"/>
        </w:rPr>
        <w:t xml:space="preserve">patients. </w:t>
      </w:r>
      <w:r w:rsidR="00B12A87" w:rsidRPr="008C7FCA">
        <w:rPr>
          <w:rFonts w:ascii="Arial" w:hAnsi="Arial" w:cs="Arial"/>
          <w:sz w:val="22"/>
          <w:szCs w:val="22"/>
          <w:lang w:val="en-US"/>
        </w:rPr>
        <w:t>For comparison</w:t>
      </w:r>
      <w:r w:rsidR="00156DCD" w:rsidRPr="008C7FCA">
        <w:rPr>
          <w:rFonts w:ascii="Arial" w:hAnsi="Arial" w:cs="Arial"/>
          <w:sz w:val="22"/>
          <w:szCs w:val="22"/>
          <w:lang w:val="en-US"/>
        </w:rPr>
        <w:t xml:space="preserve"> with ctDNA results</w:t>
      </w:r>
      <w:r w:rsidR="00B12A87" w:rsidRPr="008C7FCA">
        <w:rPr>
          <w:rFonts w:ascii="Arial" w:hAnsi="Arial" w:cs="Arial"/>
          <w:sz w:val="22"/>
          <w:szCs w:val="22"/>
          <w:lang w:val="en-US"/>
        </w:rPr>
        <w:t xml:space="preserve">, </w:t>
      </w:r>
      <w:r w:rsidR="00C4772B">
        <w:rPr>
          <w:rFonts w:ascii="Arial" w:hAnsi="Arial" w:cs="Arial"/>
          <w:sz w:val="22"/>
          <w:szCs w:val="22"/>
          <w:lang w:val="en-US"/>
        </w:rPr>
        <w:t>tumour</w:t>
      </w:r>
      <w:r w:rsidR="00C40AB5">
        <w:rPr>
          <w:rFonts w:ascii="Arial" w:hAnsi="Arial" w:cs="Arial"/>
          <w:sz w:val="22"/>
          <w:szCs w:val="22"/>
          <w:lang w:val="en-US"/>
        </w:rPr>
        <w:t xml:space="preserve"> tissue</w:t>
      </w:r>
      <w:r w:rsidRPr="008C7FCA">
        <w:rPr>
          <w:rFonts w:ascii="Arial" w:hAnsi="Arial" w:cs="Arial"/>
          <w:sz w:val="22"/>
          <w:szCs w:val="22"/>
          <w:lang w:val="en-US"/>
        </w:rPr>
        <w:t xml:space="preserve"> sequencing </w:t>
      </w:r>
      <w:r w:rsidR="00C336B6">
        <w:rPr>
          <w:rFonts w:ascii="Arial" w:hAnsi="Arial" w:cs="Arial"/>
          <w:sz w:val="22"/>
          <w:szCs w:val="22"/>
          <w:lang w:val="en-US"/>
        </w:rPr>
        <w:t xml:space="preserve">using </w:t>
      </w:r>
      <w:r w:rsidR="00C4425F" w:rsidRPr="008C7FCA">
        <w:rPr>
          <w:rFonts w:ascii="Arial" w:hAnsi="Arial" w:cs="Arial"/>
          <w:sz w:val="22"/>
          <w:szCs w:val="22"/>
          <w:lang w:val="en-US"/>
        </w:rPr>
        <w:t>advanced disease</w:t>
      </w:r>
      <w:r w:rsidR="00415458" w:rsidRPr="008C7FCA">
        <w:rPr>
          <w:rFonts w:ascii="Arial" w:hAnsi="Arial" w:cs="Arial"/>
          <w:sz w:val="22"/>
          <w:szCs w:val="22"/>
          <w:lang w:val="en-US"/>
        </w:rPr>
        <w:t xml:space="preserve"> tissue</w:t>
      </w:r>
      <w:r w:rsidR="00C4425F" w:rsidRPr="008C7FCA">
        <w:rPr>
          <w:rFonts w:ascii="Arial" w:hAnsi="Arial" w:cs="Arial"/>
          <w:sz w:val="22"/>
          <w:szCs w:val="22"/>
          <w:lang w:val="en-US"/>
        </w:rPr>
        <w:t xml:space="preserve"> biopsies</w:t>
      </w:r>
      <w:r w:rsidRPr="008C7FCA">
        <w:rPr>
          <w:rFonts w:ascii="Arial" w:hAnsi="Arial" w:cs="Arial"/>
          <w:sz w:val="22"/>
          <w:szCs w:val="22"/>
          <w:lang w:val="en-US"/>
        </w:rPr>
        <w:t xml:space="preserve"> was</w:t>
      </w:r>
      <w:r w:rsidR="00C336B6">
        <w:rPr>
          <w:rFonts w:ascii="Arial" w:hAnsi="Arial" w:cs="Arial"/>
          <w:sz w:val="22"/>
          <w:szCs w:val="22"/>
          <w:lang w:val="en-US"/>
        </w:rPr>
        <w:t xml:space="preserve"> </w:t>
      </w:r>
      <w:r w:rsidRPr="008C7FCA">
        <w:rPr>
          <w:rFonts w:ascii="Arial" w:hAnsi="Arial" w:cs="Arial"/>
          <w:sz w:val="22"/>
          <w:szCs w:val="22"/>
          <w:lang w:val="en-US"/>
        </w:rPr>
        <w:t>conducted retrospectively</w:t>
      </w:r>
      <w:r w:rsidR="00DD17F8">
        <w:rPr>
          <w:rFonts w:ascii="Arial" w:hAnsi="Arial" w:cs="Arial"/>
          <w:sz w:val="22"/>
          <w:szCs w:val="22"/>
          <w:lang w:val="en-US"/>
        </w:rPr>
        <w:t xml:space="preserve"> for patients </w:t>
      </w:r>
      <w:r w:rsidR="00FD314E">
        <w:rPr>
          <w:rFonts w:ascii="Arial" w:hAnsi="Arial" w:cs="Arial"/>
          <w:sz w:val="22"/>
          <w:szCs w:val="22"/>
          <w:lang w:val="en-US"/>
        </w:rPr>
        <w:t xml:space="preserve">who </w:t>
      </w:r>
      <w:r w:rsidR="00DD17F8">
        <w:rPr>
          <w:rFonts w:ascii="Arial" w:hAnsi="Arial" w:cs="Arial"/>
          <w:sz w:val="22"/>
          <w:szCs w:val="22"/>
          <w:lang w:val="en-US"/>
        </w:rPr>
        <w:t>enter</w:t>
      </w:r>
      <w:r w:rsidR="00FD314E">
        <w:rPr>
          <w:rFonts w:ascii="Arial" w:hAnsi="Arial" w:cs="Arial"/>
          <w:sz w:val="22"/>
          <w:szCs w:val="22"/>
          <w:lang w:val="en-US"/>
        </w:rPr>
        <w:t>ed</w:t>
      </w:r>
      <w:r w:rsidR="00DD17F8">
        <w:rPr>
          <w:rFonts w:ascii="Arial" w:hAnsi="Arial" w:cs="Arial"/>
          <w:sz w:val="22"/>
          <w:szCs w:val="22"/>
          <w:lang w:val="en-US"/>
        </w:rPr>
        <w:t xml:space="preserve"> a treatment cohort</w:t>
      </w:r>
      <w:r w:rsidR="001D3136" w:rsidRPr="008C7FCA">
        <w:rPr>
          <w:rFonts w:ascii="Arial" w:hAnsi="Arial" w:cs="Arial"/>
          <w:sz w:val="22"/>
          <w:szCs w:val="22"/>
          <w:lang w:val="en-US"/>
        </w:rPr>
        <w:t xml:space="preserve"> </w:t>
      </w:r>
      <w:r w:rsidR="00E939B2" w:rsidRPr="008C7FCA">
        <w:rPr>
          <w:rFonts w:ascii="Arial" w:eastAsia="ScalaLancetPro" w:hAnsi="Arial" w:cs="Arial"/>
          <w:bCs/>
          <w:sz w:val="22"/>
          <w:szCs w:val="22"/>
          <w:lang w:val="en-US"/>
        </w:rPr>
        <w:t>(</w:t>
      </w:r>
      <w:r w:rsidR="00C31292">
        <w:rPr>
          <w:rFonts w:ascii="Arial" w:eastAsia="ScalaLancetPro" w:hAnsi="Arial" w:cs="Arial"/>
          <w:bCs/>
          <w:sz w:val="22"/>
          <w:szCs w:val="22"/>
          <w:lang w:val="en-US"/>
        </w:rPr>
        <w:t>appendix p</w:t>
      </w:r>
      <w:r w:rsidR="00742DE9">
        <w:rPr>
          <w:rFonts w:ascii="Arial" w:eastAsia="ScalaLancetPro" w:hAnsi="Arial" w:cs="Arial"/>
          <w:bCs/>
          <w:sz w:val="22"/>
          <w:szCs w:val="22"/>
          <w:lang w:val="en-US"/>
        </w:rPr>
        <w:t>5</w:t>
      </w:r>
      <w:r w:rsidR="00E939B2" w:rsidRPr="006E45ED">
        <w:rPr>
          <w:rFonts w:ascii="Arial" w:eastAsia="ScalaLancetPro" w:hAnsi="Arial" w:cs="Arial"/>
          <w:bCs/>
          <w:sz w:val="22"/>
          <w:szCs w:val="22"/>
          <w:lang w:val="en-US"/>
        </w:rPr>
        <w:t>).</w:t>
      </w:r>
      <w:r w:rsidR="00E939B2" w:rsidRPr="006E45ED">
        <w:rPr>
          <w:rFonts w:ascii="Arial" w:eastAsia="ScalaLancetPro" w:hAnsi="Arial" w:cs="Arial"/>
          <w:sz w:val="22"/>
          <w:szCs w:val="22"/>
          <w:lang w:val="en-US"/>
        </w:rPr>
        <w:t xml:space="preserve"> </w:t>
      </w:r>
      <w:r w:rsidR="006E45ED" w:rsidRPr="006E45ED">
        <w:rPr>
          <w:rFonts w:ascii="Arial" w:eastAsia="ScalaLancetPro" w:hAnsi="Arial" w:cs="Arial"/>
          <w:sz w:val="22"/>
          <w:szCs w:val="22"/>
          <w:lang w:val="en-US"/>
        </w:rPr>
        <w:t xml:space="preserve">Testing for </w:t>
      </w:r>
      <w:r w:rsidR="006E45ED" w:rsidRPr="00A35DAE">
        <w:rPr>
          <w:rFonts w:ascii="Arial" w:eastAsia="ScalaLancetPro" w:hAnsi="Arial" w:cs="Arial"/>
          <w:i/>
          <w:sz w:val="22"/>
          <w:szCs w:val="22"/>
          <w:lang w:val="en-US"/>
        </w:rPr>
        <w:t>PIK3CA</w:t>
      </w:r>
      <w:r w:rsidR="006E45ED" w:rsidRPr="006E45ED">
        <w:rPr>
          <w:rFonts w:ascii="Arial" w:eastAsia="ScalaLancetPro" w:hAnsi="Arial" w:cs="Arial"/>
          <w:sz w:val="22"/>
          <w:szCs w:val="22"/>
          <w:lang w:val="en-US"/>
        </w:rPr>
        <w:t xml:space="preserve"> mutations was included to test the validity of the </w:t>
      </w:r>
      <w:r w:rsidR="00F130EE" w:rsidRPr="001D2E3F">
        <w:rPr>
          <w:rFonts w:ascii="Arial" w:eastAsia="ScalaLancetPro" w:hAnsi="Arial" w:cs="Arial"/>
          <w:i/>
          <w:iCs/>
          <w:sz w:val="22"/>
          <w:szCs w:val="22"/>
          <w:lang w:val="en-US"/>
        </w:rPr>
        <w:t>PIK3CA</w:t>
      </w:r>
      <w:r w:rsidR="00F130EE">
        <w:rPr>
          <w:rFonts w:ascii="Arial" w:eastAsia="ScalaLancetPro" w:hAnsi="Arial" w:cs="Arial"/>
          <w:sz w:val="22"/>
          <w:szCs w:val="22"/>
          <w:lang w:val="en-US"/>
        </w:rPr>
        <w:t xml:space="preserve"> </w:t>
      </w:r>
      <w:r w:rsidR="006E45ED" w:rsidRPr="006E45ED">
        <w:rPr>
          <w:rFonts w:ascii="Arial" w:eastAsia="ScalaLancetPro" w:hAnsi="Arial" w:cs="Arial"/>
          <w:sz w:val="22"/>
          <w:szCs w:val="22"/>
          <w:lang w:val="en-US"/>
        </w:rPr>
        <w:t xml:space="preserve">ctDNA </w:t>
      </w:r>
      <w:r w:rsidR="00F130EE">
        <w:rPr>
          <w:rFonts w:ascii="Arial" w:eastAsia="ScalaLancetPro" w:hAnsi="Arial" w:cs="Arial"/>
          <w:sz w:val="22"/>
          <w:szCs w:val="22"/>
          <w:lang w:val="en-US"/>
        </w:rPr>
        <w:t>testing</w:t>
      </w:r>
      <w:r w:rsidR="006E45ED" w:rsidRPr="006E45ED">
        <w:rPr>
          <w:rFonts w:ascii="Arial" w:eastAsia="ScalaLancetPro" w:hAnsi="Arial" w:cs="Arial"/>
          <w:sz w:val="22"/>
          <w:szCs w:val="22"/>
          <w:lang w:val="en-US"/>
        </w:rPr>
        <w:t xml:space="preserve">, but was not used for entry to therapeutic cohorts as phase III studies of treatments for </w:t>
      </w:r>
      <w:r w:rsidR="006E45ED" w:rsidRPr="006E45ED">
        <w:rPr>
          <w:rFonts w:ascii="Arial" w:eastAsia="ScalaLancetPro" w:hAnsi="Arial" w:cs="Arial"/>
          <w:i/>
          <w:sz w:val="22"/>
          <w:szCs w:val="22"/>
          <w:lang w:val="en-US"/>
        </w:rPr>
        <w:t>PIK3CA</w:t>
      </w:r>
      <w:r w:rsidR="006E45ED" w:rsidRPr="006E45ED">
        <w:rPr>
          <w:rFonts w:ascii="Arial" w:eastAsia="ScalaLancetPro" w:hAnsi="Arial" w:cs="Arial"/>
          <w:sz w:val="22"/>
          <w:szCs w:val="22"/>
          <w:lang w:val="en-US"/>
        </w:rPr>
        <w:t xml:space="preserve"> mutant breast cancer were ongoing when plasmaMATCH started </w:t>
      </w:r>
      <w:r w:rsidR="0055484D" w:rsidRPr="006E45ED">
        <w:rPr>
          <w:rFonts w:ascii="Arial" w:eastAsia="ScalaLancetPro" w:hAnsi="Arial" w:cs="Arial"/>
          <w:sz w:val="22"/>
          <w:szCs w:val="22"/>
          <w:lang w:val="en-US"/>
        </w:rPr>
        <w:t>recruitment</w:t>
      </w:r>
      <w:r w:rsidR="0055484D">
        <w:rPr>
          <w:rFonts w:ascii="Arial" w:eastAsia="ScalaLancetPro" w:hAnsi="Arial" w:cs="Arial"/>
          <w:sz w:val="22"/>
          <w:szCs w:val="22"/>
          <w:vertAlign w:val="superscript"/>
          <w:lang w:val="en-US"/>
        </w:rPr>
        <w:t>1</w:t>
      </w:r>
      <w:r w:rsidR="006E45ED">
        <w:rPr>
          <w:rFonts w:ascii="Arial" w:eastAsia="ScalaLancetPro" w:hAnsi="Arial" w:cs="Arial"/>
          <w:sz w:val="22"/>
          <w:szCs w:val="22"/>
          <w:lang w:val="en-US"/>
        </w:rPr>
        <w:t>.</w:t>
      </w:r>
      <w:r w:rsidR="00A50E4E">
        <w:rPr>
          <w:rFonts w:ascii="Arial" w:eastAsia="ScalaLancetPro" w:hAnsi="Arial" w:cs="Arial"/>
          <w:sz w:val="22"/>
          <w:szCs w:val="22"/>
          <w:lang w:val="en-US"/>
        </w:rPr>
        <w:t xml:space="preserve"> In cohort A, </w:t>
      </w:r>
      <w:r w:rsidR="00A50E4E" w:rsidRPr="0088441A">
        <w:rPr>
          <w:rFonts w:ascii="Arial" w:eastAsia="ScalaLancetPro" w:hAnsi="Arial" w:cs="Arial"/>
          <w:i/>
          <w:sz w:val="22"/>
          <w:szCs w:val="22"/>
          <w:lang w:val="en-US"/>
        </w:rPr>
        <w:t>ESR1</w:t>
      </w:r>
      <w:r w:rsidR="00A50E4E">
        <w:rPr>
          <w:rFonts w:ascii="Arial" w:eastAsia="ScalaLancetPro" w:hAnsi="Arial" w:cs="Arial"/>
          <w:sz w:val="22"/>
          <w:szCs w:val="22"/>
          <w:lang w:val="en-US"/>
        </w:rPr>
        <w:t xml:space="preserve"> mutations were determined to be </w:t>
      </w:r>
      <w:r w:rsidR="00A50E4E">
        <w:rPr>
          <w:rFonts w:ascii="Arial" w:hAnsi="Arial" w:cs="Arial"/>
          <w:sz w:val="22"/>
          <w:szCs w:val="22"/>
          <w:lang w:val="en-US"/>
        </w:rPr>
        <w:t xml:space="preserve">clonally dominant </w:t>
      </w:r>
      <w:r w:rsidR="00A50E4E" w:rsidRPr="00A50E4E">
        <w:rPr>
          <w:rFonts w:ascii="Arial" w:hAnsi="Arial" w:cs="Arial"/>
          <w:sz w:val="22"/>
          <w:szCs w:val="22"/>
          <w:lang w:val="en-US"/>
        </w:rPr>
        <w:t>or</w:t>
      </w:r>
      <w:r w:rsidR="00A50E4E">
        <w:rPr>
          <w:rFonts w:ascii="Arial" w:hAnsi="Arial" w:cs="Arial"/>
          <w:i/>
          <w:iCs/>
          <w:sz w:val="22"/>
          <w:szCs w:val="22"/>
          <w:lang w:val="en-US"/>
        </w:rPr>
        <w:t xml:space="preserve"> </w:t>
      </w:r>
      <w:r w:rsidR="00A50E4E">
        <w:rPr>
          <w:rFonts w:ascii="Arial" w:hAnsi="Arial" w:cs="Arial"/>
          <w:sz w:val="22"/>
          <w:szCs w:val="22"/>
          <w:lang w:val="en-US"/>
        </w:rPr>
        <w:t>sub-clonal for exploratory analysis, with a</w:t>
      </w:r>
      <w:r w:rsidR="00A50E4E">
        <w:rPr>
          <w:rFonts w:ascii="Arial" w:eastAsia="ScalaLancetPro" w:hAnsi="Arial" w:cs="Arial"/>
          <w:sz w:val="22"/>
          <w:szCs w:val="22"/>
          <w:lang w:val="en-US"/>
        </w:rPr>
        <w:t xml:space="preserve"> </w:t>
      </w:r>
      <w:r w:rsidR="00A50E4E">
        <w:rPr>
          <w:rFonts w:ascii="Arial" w:hAnsi="Arial" w:cs="Arial"/>
          <w:sz w:val="22"/>
          <w:szCs w:val="22"/>
          <w:lang w:val="en-US"/>
        </w:rPr>
        <w:t xml:space="preserve">clonally dominant mutation indicating a summed </w:t>
      </w:r>
      <w:r w:rsidR="00A50E4E" w:rsidRPr="0035255B">
        <w:rPr>
          <w:rFonts w:ascii="Arial" w:hAnsi="Arial" w:cs="Arial"/>
          <w:i/>
          <w:iCs/>
          <w:sz w:val="22"/>
          <w:szCs w:val="22"/>
          <w:lang w:val="en-US"/>
        </w:rPr>
        <w:t>ESR1</w:t>
      </w:r>
      <w:r w:rsidR="00A50E4E">
        <w:rPr>
          <w:rFonts w:ascii="Arial" w:hAnsi="Arial" w:cs="Arial"/>
          <w:sz w:val="22"/>
          <w:szCs w:val="22"/>
          <w:lang w:val="en-US"/>
        </w:rPr>
        <w:t xml:space="preserve"> allele fraction ≥50% of maximum allele fraction detected in the sample by targeted sequencing to correct for variations in the purity of ctDNA in plasma DNA (</w:t>
      </w:r>
      <w:r w:rsidR="00C31292">
        <w:rPr>
          <w:rFonts w:ascii="Arial" w:hAnsi="Arial" w:cs="Arial"/>
          <w:sz w:val="22"/>
          <w:szCs w:val="22"/>
          <w:lang w:val="en-US"/>
        </w:rPr>
        <w:t>appendix p</w:t>
      </w:r>
      <w:r w:rsidR="00742DE9">
        <w:rPr>
          <w:rFonts w:ascii="Arial" w:hAnsi="Arial" w:cs="Arial"/>
          <w:sz w:val="22"/>
          <w:szCs w:val="22"/>
          <w:lang w:val="en-US"/>
        </w:rPr>
        <w:t>5</w:t>
      </w:r>
      <w:r w:rsidR="00A50E4E" w:rsidRPr="005E52CF">
        <w:rPr>
          <w:rFonts w:ascii="Arial" w:hAnsi="Arial" w:cs="Arial"/>
          <w:sz w:val="22"/>
          <w:szCs w:val="22"/>
          <w:lang w:val="en-US"/>
        </w:rPr>
        <w:t>)</w:t>
      </w:r>
      <w:r w:rsidR="00A50E4E">
        <w:rPr>
          <w:rFonts w:ascii="Arial" w:hAnsi="Arial" w:cs="Arial"/>
          <w:sz w:val="22"/>
          <w:szCs w:val="22"/>
          <w:lang w:val="en-US"/>
        </w:rPr>
        <w:t>.</w:t>
      </w:r>
    </w:p>
    <w:p w14:paraId="355DB601" w14:textId="15E27365" w:rsidR="007D6A01" w:rsidRDefault="007D6A01" w:rsidP="00521F6D">
      <w:pPr>
        <w:autoSpaceDE w:val="0"/>
        <w:autoSpaceDN w:val="0"/>
        <w:adjustRightInd w:val="0"/>
        <w:jc w:val="both"/>
        <w:rPr>
          <w:rFonts w:ascii="Arial" w:eastAsia="ScalaLancetPro" w:hAnsi="Arial" w:cs="Arial"/>
          <w:b/>
          <w:sz w:val="22"/>
          <w:szCs w:val="22"/>
          <w:lang w:val="en-US"/>
        </w:rPr>
      </w:pPr>
    </w:p>
    <w:p w14:paraId="21B03812" w14:textId="557CB783" w:rsidR="00C4425F" w:rsidRPr="008C7FCA" w:rsidRDefault="00C264A5" w:rsidP="00521F6D">
      <w:pPr>
        <w:jc w:val="both"/>
        <w:rPr>
          <w:rFonts w:ascii="Arial" w:hAnsi="Arial" w:cs="Arial"/>
          <w:sz w:val="22"/>
          <w:szCs w:val="22"/>
          <w:lang w:val="en-US"/>
        </w:rPr>
      </w:pPr>
      <w:r w:rsidRPr="00C264A5">
        <w:rPr>
          <w:rFonts w:ascii="Arial" w:eastAsia="ScalaLancetPro" w:hAnsi="Arial" w:cs="Arial"/>
          <w:sz w:val="22"/>
          <w:szCs w:val="22"/>
          <w:lang w:val="en-US"/>
        </w:rPr>
        <w:t xml:space="preserve">Investigators at </w:t>
      </w:r>
      <w:r w:rsidR="009E7DC7">
        <w:rPr>
          <w:rFonts w:ascii="Arial" w:eastAsia="ScalaLancetPro" w:hAnsi="Arial" w:cs="Arial"/>
          <w:sz w:val="22"/>
          <w:szCs w:val="22"/>
          <w:lang w:val="en-US"/>
        </w:rPr>
        <w:t>UK hospitals</w:t>
      </w:r>
      <w:r w:rsidRPr="00C264A5">
        <w:rPr>
          <w:rFonts w:ascii="Arial" w:eastAsia="ScalaLancetPro" w:hAnsi="Arial" w:cs="Arial"/>
          <w:sz w:val="22"/>
          <w:szCs w:val="22"/>
          <w:lang w:val="en-US"/>
        </w:rPr>
        <w:t xml:space="preserve"> registered </w:t>
      </w:r>
      <w:r>
        <w:rPr>
          <w:rFonts w:ascii="Arial" w:hAnsi="Arial" w:cs="Arial"/>
          <w:sz w:val="22"/>
          <w:szCs w:val="22"/>
          <w:lang w:val="en-US"/>
        </w:rPr>
        <w:t>e</w:t>
      </w:r>
      <w:r w:rsidR="00156DCD" w:rsidRPr="008C7FCA">
        <w:rPr>
          <w:rFonts w:ascii="Arial" w:hAnsi="Arial" w:cs="Arial"/>
          <w:sz w:val="22"/>
          <w:szCs w:val="22"/>
          <w:lang w:val="en-US"/>
        </w:rPr>
        <w:t>ligible p</w:t>
      </w:r>
      <w:r w:rsidR="00C4425F" w:rsidRPr="008C7FCA">
        <w:rPr>
          <w:rFonts w:ascii="Arial" w:hAnsi="Arial" w:cs="Arial"/>
          <w:sz w:val="22"/>
          <w:szCs w:val="22"/>
          <w:lang w:val="en-US"/>
        </w:rPr>
        <w:t>atients</w:t>
      </w:r>
      <w:r w:rsidR="00DA5DF0">
        <w:rPr>
          <w:rFonts w:ascii="Arial" w:hAnsi="Arial" w:cs="Arial"/>
          <w:sz w:val="22"/>
          <w:szCs w:val="22"/>
          <w:lang w:val="en-US"/>
        </w:rPr>
        <w:t xml:space="preserve"> w</w:t>
      </w:r>
      <w:r>
        <w:rPr>
          <w:rFonts w:ascii="Arial" w:hAnsi="Arial" w:cs="Arial"/>
          <w:sz w:val="22"/>
          <w:szCs w:val="22"/>
          <w:lang w:val="en-US"/>
        </w:rPr>
        <w:t>ith the ICR Clinical Trials and Statistics Unit (ICR-CTSU)</w:t>
      </w:r>
      <w:r w:rsidR="00DA5DF0">
        <w:rPr>
          <w:rFonts w:ascii="Arial" w:hAnsi="Arial" w:cs="Arial"/>
          <w:sz w:val="22"/>
          <w:szCs w:val="22"/>
          <w:lang w:val="en-US"/>
        </w:rPr>
        <w:t xml:space="preserve"> </w:t>
      </w:r>
      <w:r w:rsidR="009E7DC7">
        <w:rPr>
          <w:rFonts w:ascii="Arial" w:hAnsi="Arial" w:cs="Arial"/>
          <w:sz w:val="22"/>
          <w:szCs w:val="22"/>
          <w:lang w:val="en-US"/>
        </w:rPr>
        <w:t>for ctDNA testing.  Those</w:t>
      </w:r>
      <w:r w:rsidR="00C4425F" w:rsidRPr="008C7FCA">
        <w:rPr>
          <w:rFonts w:ascii="Arial" w:hAnsi="Arial" w:cs="Arial"/>
          <w:sz w:val="22"/>
          <w:szCs w:val="22"/>
          <w:lang w:val="en-US"/>
        </w:rPr>
        <w:t xml:space="preserve"> with potentially </w:t>
      </w:r>
      <w:r w:rsidR="007C087C">
        <w:rPr>
          <w:rFonts w:ascii="Arial" w:hAnsi="Arial" w:cs="Arial"/>
          <w:sz w:val="22"/>
          <w:szCs w:val="22"/>
          <w:lang w:val="en-US"/>
        </w:rPr>
        <w:t>actionable</w:t>
      </w:r>
      <w:r w:rsidR="007C087C" w:rsidRPr="008C7FCA">
        <w:rPr>
          <w:rFonts w:ascii="Arial" w:hAnsi="Arial" w:cs="Arial"/>
          <w:sz w:val="22"/>
          <w:szCs w:val="22"/>
          <w:lang w:val="en-US"/>
        </w:rPr>
        <w:t xml:space="preserve"> </w:t>
      </w:r>
      <w:r w:rsidR="00C4425F" w:rsidRPr="008C7FCA">
        <w:rPr>
          <w:rFonts w:ascii="Arial" w:hAnsi="Arial" w:cs="Arial"/>
          <w:sz w:val="22"/>
          <w:szCs w:val="22"/>
          <w:lang w:val="en-US"/>
        </w:rPr>
        <w:t>mutations</w:t>
      </w:r>
      <w:r w:rsidR="00660E37">
        <w:rPr>
          <w:rFonts w:ascii="Arial" w:hAnsi="Arial" w:cs="Arial"/>
          <w:sz w:val="22"/>
          <w:szCs w:val="22"/>
          <w:lang w:val="en-US"/>
        </w:rPr>
        <w:t xml:space="preserve"> identified in ctDNA testing</w:t>
      </w:r>
      <w:r w:rsidR="00C4425F" w:rsidRPr="008C7FCA">
        <w:rPr>
          <w:rFonts w:ascii="Arial" w:hAnsi="Arial" w:cs="Arial"/>
          <w:sz w:val="22"/>
          <w:szCs w:val="22"/>
          <w:lang w:val="en-US"/>
        </w:rPr>
        <w:t xml:space="preserve"> </w:t>
      </w:r>
      <w:r w:rsidR="007C087C">
        <w:rPr>
          <w:rFonts w:ascii="Arial" w:hAnsi="Arial" w:cs="Arial"/>
          <w:sz w:val="22"/>
          <w:szCs w:val="22"/>
          <w:lang w:val="en-US"/>
        </w:rPr>
        <w:t>(</w:t>
      </w:r>
      <w:r w:rsidR="007C087C" w:rsidRPr="008C7FCA">
        <w:rPr>
          <w:rFonts w:ascii="Arial" w:hAnsi="Arial" w:cs="Arial"/>
          <w:i/>
          <w:sz w:val="22"/>
          <w:szCs w:val="22"/>
          <w:lang w:val="en-US"/>
        </w:rPr>
        <w:t>ESR1</w:t>
      </w:r>
      <w:r w:rsidR="007C087C">
        <w:rPr>
          <w:rFonts w:ascii="Arial" w:hAnsi="Arial" w:cs="Arial"/>
          <w:sz w:val="22"/>
          <w:szCs w:val="22"/>
          <w:lang w:val="en-US"/>
        </w:rPr>
        <w:t xml:space="preserve">, </w:t>
      </w:r>
      <w:r w:rsidR="00A35DAE">
        <w:rPr>
          <w:rFonts w:ascii="Arial" w:hAnsi="Arial" w:cs="Arial"/>
          <w:i/>
          <w:sz w:val="22"/>
          <w:szCs w:val="22"/>
          <w:lang w:val="en-US"/>
        </w:rPr>
        <w:t>ERBB2</w:t>
      </w:r>
      <w:r w:rsidR="007C087C">
        <w:rPr>
          <w:rFonts w:ascii="Arial" w:hAnsi="Arial" w:cs="Arial"/>
          <w:sz w:val="22"/>
          <w:szCs w:val="22"/>
          <w:lang w:val="en-US"/>
        </w:rPr>
        <w:t xml:space="preserve">, </w:t>
      </w:r>
      <w:r w:rsidR="007C087C" w:rsidRPr="008C7FCA">
        <w:rPr>
          <w:rFonts w:ascii="Arial" w:hAnsi="Arial" w:cs="Arial"/>
          <w:i/>
          <w:sz w:val="22"/>
          <w:szCs w:val="22"/>
          <w:lang w:val="en-US"/>
        </w:rPr>
        <w:t>AKT1</w:t>
      </w:r>
      <w:r w:rsidR="007C087C">
        <w:rPr>
          <w:rFonts w:ascii="Arial" w:hAnsi="Arial" w:cs="Arial"/>
          <w:sz w:val="22"/>
          <w:szCs w:val="22"/>
          <w:lang w:val="en-US"/>
        </w:rPr>
        <w:t xml:space="preserve"> or </w:t>
      </w:r>
      <w:r w:rsidR="007C087C" w:rsidRPr="008C7FCA">
        <w:rPr>
          <w:rFonts w:ascii="Arial" w:hAnsi="Arial" w:cs="Arial"/>
          <w:i/>
          <w:sz w:val="22"/>
          <w:szCs w:val="22"/>
          <w:lang w:val="en-US"/>
        </w:rPr>
        <w:t>PTEN</w:t>
      </w:r>
      <w:r w:rsidR="007C087C">
        <w:rPr>
          <w:rFonts w:ascii="Arial" w:hAnsi="Arial" w:cs="Arial"/>
          <w:sz w:val="22"/>
          <w:szCs w:val="22"/>
          <w:lang w:val="en-US"/>
        </w:rPr>
        <w:t xml:space="preserve">) </w:t>
      </w:r>
      <w:r w:rsidR="00C4425F" w:rsidRPr="008C7FCA">
        <w:rPr>
          <w:rFonts w:ascii="Arial" w:hAnsi="Arial" w:cs="Arial"/>
          <w:sz w:val="22"/>
          <w:szCs w:val="22"/>
          <w:lang w:val="en-US"/>
        </w:rPr>
        <w:t xml:space="preserve">were offered entry </w:t>
      </w:r>
      <w:r w:rsidR="00B469AE" w:rsidRPr="008C7FCA">
        <w:rPr>
          <w:rFonts w:ascii="Arial" w:hAnsi="Arial" w:cs="Arial"/>
          <w:sz w:val="22"/>
          <w:szCs w:val="22"/>
          <w:lang w:val="en-US"/>
        </w:rPr>
        <w:t xml:space="preserve">into </w:t>
      </w:r>
      <w:r w:rsidR="00197F11" w:rsidRPr="008C7FCA">
        <w:rPr>
          <w:rFonts w:ascii="Arial" w:hAnsi="Arial" w:cs="Arial"/>
          <w:sz w:val="22"/>
          <w:szCs w:val="22"/>
          <w:lang w:val="en-US"/>
        </w:rPr>
        <w:t xml:space="preserve">one of </w:t>
      </w:r>
      <w:r w:rsidR="00B469AE" w:rsidRPr="008C7FCA">
        <w:rPr>
          <w:rFonts w:ascii="Arial" w:hAnsi="Arial" w:cs="Arial"/>
          <w:sz w:val="22"/>
          <w:szCs w:val="22"/>
          <w:lang w:val="en-US"/>
        </w:rPr>
        <w:t xml:space="preserve">four parallel treatment cohorts </w:t>
      </w:r>
      <w:r w:rsidR="00DC6E7E" w:rsidRPr="008C7FCA">
        <w:rPr>
          <w:rFonts w:ascii="Arial" w:hAnsi="Arial" w:cs="Arial"/>
          <w:sz w:val="22"/>
          <w:szCs w:val="22"/>
          <w:lang w:val="en-US"/>
        </w:rPr>
        <w:t>(</w:t>
      </w:r>
      <w:r w:rsidR="0005617B">
        <w:rPr>
          <w:rFonts w:ascii="Arial" w:hAnsi="Arial" w:cs="Arial"/>
          <w:sz w:val="22"/>
          <w:szCs w:val="22"/>
          <w:lang w:val="en-US"/>
        </w:rPr>
        <w:t>appendix p17</w:t>
      </w:r>
      <w:r w:rsidR="00DC6E7E" w:rsidRPr="008C7FCA">
        <w:rPr>
          <w:rFonts w:ascii="Arial" w:hAnsi="Arial" w:cs="Arial"/>
          <w:sz w:val="22"/>
          <w:szCs w:val="22"/>
          <w:lang w:val="en-US"/>
        </w:rPr>
        <w:t>)</w:t>
      </w:r>
      <w:r w:rsidR="001217AF" w:rsidRPr="008C7FCA">
        <w:rPr>
          <w:rFonts w:ascii="Arial" w:hAnsi="Arial" w:cs="Arial"/>
          <w:sz w:val="22"/>
          <w:szCs w:val="22"/>
          <w:lang w:val="en-US"/>
        </w:rPr>
        <w:t xml:space="preserve">. </w:t>
      </w:r>
      <w:r w:rsidR="005B2790" w:rsidRPr="005B2790">
        <w:rPr>
          <w:rFonts w:ascii="Arial" w:hAnsi="Arial" w:cs="Arial"/>
          <w:sz w:val="22"/>
          <w:szCs w:val="22"/>
          <w:lang w:val="en-US"/>
        </w:rPr>
        <w:t>A positive result by either assay was sufficient for cohort entry</w:t>
      </w:r>
      <w:r w:rsidR="005B2790">
        <w:rPr>
          <w:rFonts w:ascii="Arial" w:hAnsi="Arial" w:cs="Arial"/>
          <w:sz w:val="22"/>
          <w:szCs w:val="22"/>
          <w:lang w:val="en-US"/>
        </w:rPr>
        <w:t>.</w:t>
      </w:r>
      <w:r w:rsidR="005B2790" w:rsidRPr="005B2790">
        <w:rPr>
          <w:rFonts w:ascii="Arial" w:hAnsi="Arial" w:cs="Arial"/>
          <w:sz w:val="22"/>
          <w:szCs w:val="22"/>
          <w:lang w:val="en-US"/>
        </w:rPr>
        <w:t xml:space="preserve"> </w:t>
      </w:r>
      <w:r w:rsidR="002A7F98" w:rsidRPr="008C7FCA">
        <w:rPr>
          <w:rFonts w:ascii="Arial" w:hAnsi="Arial" w:cs="Arial"/>
          <w:sz w:val="22"/>
          <w:szCs w:val="22"/>
          <w:lang w:val="en-US"/>
        </w:rPr>
        <w:t xml:space="preserve">If more than </w:t>
      </w:r>
      <w:r w:rsidR="000807EE">
        <w:rPr>
          <w:rFonts w:ascii="Arial" w:hAnsi="Arial" w:cs="Arial"/>
          <w:sz w:val="22"/>
          <w:szCs w:val="22"/>
          <w:lang w:val="en-US"/>
        </w:rPr>
        <w:t>one</w:t>
      </w:r>
      <w:r w:rsidR="002A7F98" w:rsidRPr="008C7FCA">
        <w:rPr>
          <w:rFonts w:ascii="Arial" w:hAnsi="Arial" w:cs="Arial"/>
          <w:sz w:val="22"/>
          <w:szCs w:val="22"/>
          <w:lang w:val="en-US"/>
        </w:rPr>
        <w:t xml:space="preserve"> mutation was identified</w:t>
      </w:r>
      <w:r w:rsidR="002A7F98">
        <w:rPr>
          <w:rFonts w:ascii="Arial" w:hAnsi="Arial" w:cs="Arial"/>
          <w:sz w:val="22"/>
          <w:szCs w:val="22"/>
          <w:lang w:val="en-US"/>
        </w:rPr>
        <w:t>,</w:t>
      </w:r>
      <w:r w:rsidR="002A7F98" w:rsidRPr="008C7FCA">
        <w:rPr>
          <w:rFonts w:ascii="Arial" w:hAnsi="Arial" w:cs="Arial"/>
          <w:sz w:val="22"/>
          <w:szCs w:val="22"/>
          <w:lang w:val="en-US"/>
        </w:rPr>
        <w:t xml:space="preserve"> </w:t>
      </w:r>
      <w:r w:rsidR="009970CA">
        <w:rPr>
          <w:rFonts w:ascii="Arial" w:hAnsi="Arial" w:cs="Arial"/>
          <w:sz w:val="22"/>
          <w:szCs w:val="22"/>
          <w:lang w:val="en-US"/>
        </w:rPr>
        <w:t xml:space="preserve">entry to </w:t>
      </w:r>
      <w:r w:rsidR="00C332A3">
        <w:rPr>
          <w:rFonts w:ascii="Arial" w:hAnsi="Arial" w:cs="Arial"/>
          <w:sz w:val="22"/>
          <w:szCs w:val="22"/>
          <w:lang w:val="en-US"/>
        </w:rPr>
        <w:t>C</w:t>
      </w:r>
      <w:r w:rsidR="000061EC" w:rsidRPr="008C7FCA">
        <w:rPr>
          <w:rFonts w:ascii="Arial" w:hAnsi="Arial" w:cs="Arial"/>
          <w:sz w:val="22"/>
          <w:szCs w:val="22"/>
          <w:lang w:val="en-US"/>
        </w:rPr>
        <w:t>ohort</w:t>
      </w:r>
      <w:r w:rsidR="00BF114E">
        <w:rPr>
          <w:rFonts w:ascii="Arial" w:hAnsi="Arial" w:cs="Arial"/>
          <w:sz w:val="22"/>
          <w:szCs w:val="22"/>
          <w:lang w:val="en-US"/>
        </w:rPr>
        <w:t>s</w:t>
      </w:r>
      <w:r w:rsidR="000061EC" w:rsidRPr="008C7FCA">
        <w:rPr>
          <w:rFonts w:ascii="Arial" w:hAnsi="Arial" w:cs="Arial"/>
          <w:sz w:val="22"/>
          <w:szCs w:val="22"/>
          <w:lang w:val="en-US"/>
        </w:rPr>
        <w:t xml:space="preserve"> B-D </w:t>
      </w:r>
      <w:r w:rsidR="009970CA">
        <w:rPr>
          <w:rFonts w:ascii="Arial" w:hAnsi="Arial" w:cs="Arial"/>
          <w:sz w:val="22"/>
          <w:szCs w:val="22"/>
          <w:lang w:val="en-US"/>
        </w:rPr>
        <w:t xml:space="preserve">took </w:t>
      </w:r>
      <w:r w:rsidR="000061EC" w:rsidRPr="008C7FCA">
        <w:rPr>
          <w:rFonts w:ascii="Arial" w:hAnsi="Arial" w:cs="Arial"/>
          <w:sz w:val="22"/>
          <w:szCs w:val="22"/>
          <w:lang w:val="en-US"/>
        </w:rPr>
        <w:t>preference to A.</w:t>
      </w:r>
      <w:r w:rsidR="001E0536">
        <w:rPr>
          <w:rFonts w:ascii="Arial" w:hAnsi="Arial" w:cs="Arial"/>
          <w:sz w:val="22"/>
          <w:szCs w:val="22"/>
          <w:lang w:val="en-US"/>
        </w:rPr>
        <w:t xml:space="preserve"> </w:t>
      </w:r>
    </w:p>
    <w:p w14:paraId="0B5D605D" w14:textId="1C214C07" w:rsidR="0090310D" w:rsidRPr="008C7FCA" w:rsidRDefault="0090310D" w:rsidP="00AE62E0">
      <w:pPr>
        <w:pStyle w:val="ListParagraph"/>
        <w:numPr>
          <w:ilvl w:val="0"/>
          <w:numId w:val="3"/>
        </w:numPr>
        <w:autoSpaceDE w:val="0"/>
        <w:autoSpaceDN w:val="0"/>
        <w:adjustRightInd w:val="0"/>
        <w:jc w:val="both"/>
        <w:rPr>
          <w:rFonts w:ascii="Arial" w:hAnsi="Arial" w:cs="Arial"/>
          <w:sz w:val="22"/>
          <w:szCs w:val="22"/>
          <w:lang w:val="en-US"/>
        </w:rPr>
      </w:pPr>
      <w:r w:rsidRPr="008C7FCA">
        <w:rPr>
          <w:rFonts w:ascii="Arial" w:hAnsi="Arial" w:cs="Arial"/>
          <w:sz w:val="22"/>
          <w:szCs w:val="22"/>
          <w:lang w:val="en-US"/>
        </w:rPr>
        <w:t xml:space="preserve">Cohort </w:t>
      </w:r>
      <w:r w:rsidR="00B469AE" w:rsidRPr="008C7FCA">
        <w:rPr>
          <w:rFonts w:ascii="Arial" w:hAnsi="Arial" w:cs="Arial"/>
          <w:sz w:val="22"/>
          <w:szCs w:val="22"/>
          <w:lang w:val="en-US"/>
        </w:rPr>
        <w:t xml:space="preserve">A: </w:t>
      </w:r>
      <w:r w:rsidR="00B469AE" w:rsidRPr="008C7FCA">
        <w:rPr>
          <w:rFonts w:ascii="Arial" w:hAnsi="Arial" w:cs="Arial"/>
          <w:i/>
          <w:sz w:val="22"/>
          <w:szCs w:val="22"/>
          <w:lang w:val="en-US"/>
        </w:rPr>
        <w:t xml:space="preserve">ESR1 </w:t>
      </w:r>
      <w:r w:rsidR="00B469AE" w:rsidRPr="008C7FCA">
        <w:rPr>
          <w:rFonts w:ascii="Arial" w:hAnsi="Arial" w:cs="Arial"/>
          <w:sz w:val="22"/>
          <w:szCs w:val="22"/>
          <w:lang w:val="en-US"/>
        </w:rPr>
        <w:t>mutation</w:t>
      </w:r>
      <w:r w:rsidR="0024539D" w:rsidRPr="008C7FCA">
        <w:rPr>
          <w:rFonts w:ascii="Arial" w:hAnsi="Arial" w:cs="Arial"/>
          <w:sz w:val="22"/>
          <w:szCs w:val="22"/>
          <w:lang w:val="en-US"/>
        </w:rPr>
        <w:t xml:space="preserve"> </w:t>
      </w:r>
      <w:r w:rsidR="00B469AE" w:rsidRPr="008C7FCA">
        <w:rPr>
          <w:rFonts w:ascii="Arial" w:hAnsi="Arial" w:cs="Arial"/>
          <w:i/>
          <w:sz w:val="22"/>
          <w:szCs w:val="22"/>
          <w:lang w:val="en-US"/>
        </w:rPr>
        <w:t xml:space="preserve">– </w:t>
      </w:r>
      <w:r w:rsidR="00B469AE" w:rsidRPr="008C7FCA">
        <w:rPr>
          <w:rFonts w:ascii="Arial" w:hAnsi="Arial" w:cs="Arial"/>
          <w:sz w:val="22"/>
          <w:szCs w:val="22"/>
          <w:lang w:val="en-US"/>
        </w:rPr>
        <w:t xml:space="preserve">extended-dose </w:t>
      </w:r>
      <w:r w:rsidR="0024539D" w:rsidRPr="008C7FCA">
        <w:rPr>
          <w:rFonts w:ascii="Arial" w:hAnsi="Arial" w:cs="Arial"/>
          <w:sz w:val="22"/>
          <w:szCs w:val="22"/>
          <w:lang w:val="en-US"/>
        </w:rPr>
        <w:t xml:space="preserve">500mg </w:t>
      </w:r>
      <w:r w:rsidR="00B469AE" w:rsidRPr="008C7FCA">
        <w:rPr>
          <w:rFonts w:ascii="Arial" w:hAnsi="Arial" w:cs="Arial"/>
          <w:sz w:val="22"/>
          <w:szCs w:val="22"/>
          <w:lang w:val="en-US"/>
        </w:rPr>
        <w:t xml:space="preserve">fulvestrant </w:t>
      </w:r>
      <w:r w:rsidR="0024539D" w:rsidRPr="008C7FCA">
        <w:rPr>
          <w:rFonts w:ascii="Arial" w:hAnsi="Arial" w:cs="Arial"/>
          <w:sz w:val="22"/>
          <w:szCs w:val="22"/>
          <w:lang w:val="en-US"/>
        </w:rPr>
        <w:t xml:space="preserve">(selective estrogen receptor </w:t>
      </w:r>
      <w:r w:rsidR="0039515F" w:rsidRPr="008C7FCA">
        <w:rPr>
          <w:rFonts w:ascii="Arial" w:hAnsi="Arial" w:cs="Arial"/>
          <w:sz w:val="22"/>
          <w:szCs w:val="22"/>
          <w:lang w:val="en-US"/>
        </w:rPr>
        <w:t>d</w:t>
      </w:r>
      <w:r w:rsidR="0039515F">
        <w:rPr>
          <w:rFonts w:ascii="Arial" w:hAnsi="Arial" w:cs="Arial"/>
          <w:sz w:val="22"/>
          <w:szCs w:val="22"/>
          <w:lang w:val="en-US"/>
        </w:rPr>
        <w:t>ow</w:t>
      </w:r>
      <w:r w:rsidR="008A113B">
        <w:rPr>
          <w:rFonts w:ascii="Arial" w:hAnsi="Arial" w:cs="Arial"/>
          <w:sz w:val="22"/>
          <w:szCs w:val="22"/>
          <w:lang w:val="en-US"/>
        </w:rPr>
        <w:t>n</w:t>
      </w:r>
      <w:r w:rsidR="00683255">
        <w:rPr>
          <w:rFonts w:ascii="Arial" w:hAnsi="Arial" w:cs="Arial"/>
          <w:sz w:val="22"/>
          <w:szCs w:val="22"/>
          <w:lang w:val="en-US"/>
        </w:rPr>
        <w:t>-</w:t>
      </w:r>
      <w:r w:rsidR="008A113B">
        <w:rPr>
          <w:rFonts w:ascii="Arial" w:hAnsi="Arial" w:cs="Arial"/>
          <w:sz w:val="22"/>
          <w:szCs w:val="22"/>
          <w:lang w:val="en-US"/>
        </w:rPr>
        <w:t>regulator</w:t>
      </w:r>
      <w:r w:rsidR="0024539D" w:rsidRPr="008C7FCA">
        <w:rPr>
          <w:rFonts w:ascii="Arial" w:hAnsi="Arial" w:cs="Arial"/>
          <w:sz w:val="22"/>
          <w:szCs w:val="22"/>
          <w:lang w:val="en-US"/>
        </w:rPr>
        <w:t>)</w:t>
      </w:r>
      <w:r w:rsidR="00B469AE" w:rsidRPr="008C7FCA">
        <w:rPr>
          <w:rFonts w:ascii="Arial" w:hAnsi="Arial" w:cs="Arial"/>
          <w:sz w:val="22"/>
          <w:szCs w:val="22"/>
          <w:lang w:val="en-US"/>
        </w:rPr>
        <w:t xml:space="preserve"> </w:t>
      </w:r>
      <w:r w:rsidRPr="008C7FCA">
        <w:rPr>
          <w:rFonts w:ascii="Arial" w:hAnsi="Arial" w:cs="Arial"/>
          <w:sz w:val="22"/>
          <w:szCs w:val="22"/>
          <w:lang w:val="en-US"/>
        </w:rPr>
        <w:t>administered intramuscularly (IM) on Cycle 1 Days 1, 8 and 15 and Cycle 2 onwards Days 1 and 15</w:t>
      </w:r>
      <w:r w:rsidR="00660E37">
        <w:rPr>
          <w:rFonts w:ascii="Arial" w:hAnsi="Arial" w:cs="Arial"/>
          <w:sz w:val="22"/>
          <w:szCs w:val="22"/>
          <w:lang w:val="en-US"/>
        </w:rPr>
        <w:t xml:space="preserve"> on a 28-day cycle</w:t>
      </w:r>
      <w:r w:rsidRPr="008C7FCA">
        <w:rPr>
          <w:rFonts w:ascii="Arial" w:hAnsi="Arial" w:cs="Arial"/>
          <w:sz w:val="22"/>
          <w:szCs w:val="22"/>
          <w:lang w:val="en-US"/>
        </w:rPr>
        <w:t>.</w:t>
      </w:r>
      <w:r w:rsidR="008A0987" w:rsidRPr="008C7FCA">
        <w:rPr>
          <w:rFonts w:ascii="Arial" w:hAnsi="Arial" w:cs="Arial"/>
          <w:sz w:val="22"/>
          <w:szCs w:val="22"/>
          <w:lang w:val="en-US"/>
        </w:rPr>
        <w:t xml:space="preserve"> </w:t>
      </w:r>
      <w:r w:rsidR="009970CA">
        <w:rPr>
          <w:rFonts w:ascii="Arial" w:hAnsi="Arial" w:cs="Arial"/>
          <w:sz w:val="22"/>
          <w:szCs w:val="22"/>
          <w:lang w:val="en-US"/>
        </w:rPr>
        <w:t>P</w:t>
      </w:r>
      <w:r w:rsidR="008A0987" w:rsidRPr="008C7FCA">
        <w:rPr>
          <w:rFonts w:ascii="Arial" w:hAnsi="Arial" w:cs="Arial"/>
          <w:sz w:val="22"/>
          <w:szCs w:val="22"/>
          <w:lang w:val="en-US"/>
        </w:rPr>
        <w:t>harmacokinetic</w:t>
      </w:r>
      <w:r w:rsidR="005F0C80">
        <w:rPr>
          <w:rFonts w:ascii="Arial" w:hAnsi="Arial" w:cs="Arial"/>
          <w:sz w:val="22"/>
          <w:szCs w:val="22"/>
          <w:lang w:val="en-US"/>
        </w:rPr>
        <w:t xml:space="preserve"> (PK)</w:t>
      </w:r>
      <w:r w:rsidR="008A0987" w:rsidRPr="008C7FCA">
        <w:rPr>
          <w:rFonts w:ascii="Arial" w:hAnsi="Arial" w:cs="Arial"/>
          <w:sz w:val="22"/>
          <w:szCs w:val="22"/>
          <w:lang w:val="en-US"/>
        </w:rPr>
        <w:t xml:space="preserve"> analysis </w:t>
      </w:r>
      <w:r w:rsidR="009970CA">
        <w:rPr>
          <w:rFonts w:ascii="Arial" w:hAnsi="Arial" w:cs="Arial"/>
          <w:sz w:val="22"/>
          <w:szCs w:val="22"/>
          <w:lang w:val="en-US"/>
        </w:rPr>
        <w:t xml:space="preserve">samples </w:t>
      </w:r>
      <w:r w:rsidR="008A0987" w:rsidRPr="008C7FCA">
        <w:rPr>
          <w:rFonts w:ascii="Arial" w:hAnsi="Arial" w:cs="Arial"/>
          <w:sz w:val="22"/>
          <w:szCs w:val="22"/>
          <w:lang w:val="en-US"/>
        </w:rPr>
        <w:t xml:space="preserve">were collected pre-dose on </w:t>
      </w:r>
      <w:r w:rsidR="0005666D" w:rsidRPr="008C7FCA">
        <w:rPr>
          <w:rFonts w:ascii="Arial" w:hAnsi="Arial" w:cs="Arial"/>
          <w:sz w:val="22"/>
          <w:szCs w:val="22"/>
          <w:lang w:val="en-US"/>
        </w:rPr>
        <w:t xml:space="preserve">Cycles </w:t>
      </w:r>
      <w:r w:rsidR="008A0987" w:rsidRPr="008C7FCA">
        <w:rPr>
          <w:rFonts w:ascii="Arial" w:hAnsi="Arial" w:cs="Arial"/>
          <w:sz w:val="22"/>
          <w:szCs w:val="22"/>
          <w:lang w:val="en-US"/>
        </w:rPr>
        <w:t>2</w:t>
      </w:r>
      <w:r w:rsidR="009C0AB4" w:rsidRPr="008C7FCA">
        <w:rPr>
          <w:rFonts w:ascii="Arial" w:hAnsi="Arial" w:cs="Arial"/>
          <w:sz w:val="22"/>
          <w:szCs w:val="22"/>
          <w:lang w:val="en-US"/>
        </w:rPr>
        <w:t>-</w:t>
      </w:r>
      <w:r w:rsidR="008A0987" w:rsidRPr="008C7FCA">
        <w:rPr>
          <w:rFonts w:ascii="Arial" w:hAnsi="Arial" w:cs="Arial"/>
          <w:sz w:val="22"/>
          <w:szCs w:val="22"/>
          <w:lang w:val="en-US"/>
        </w:rPr>
        <w:t xml:space="preserve">4 and compared to a historical </w:t>
      </w:r>
      <w:r w:rsidR="005F0C80">
        <w:rPr>
          <w:rFonts w:ascii="Arial" w:hAnsi="Arial" w:cs="Arial"/>
          <w:sz w:val="22"/>
          <w:szCs w:val="22"/>
          <w:lang w:val="en-US"/>
        </w:rPr>
        <w:t>population (</w:t>
      </w:r>
      <w:r w:rsidR="008A0987" w:rsidRPr="008C7FCA">
        <w:rPr>
          <w:rFonts w:ascii="Arial" w:hAnsi="Arial" w:cs="Arial"/>
          <w:sz w:val="22"/>
          <w:szCs w:val="22"/>
          <w:lang w:val="en-US"/>
        </w:rPr>
        <w:t>popPK</w:t>
      </w:r>
      <w:r w:rsidR="005F0C80">
        <w:rPr>
          <w:rFonts w:ascii="Arial" w:hAnsi="Arial" w:cs="Arial"/>
          <w:sz w:val="22"/>
          <w:szCs w:val="22"/>
          <w:lang w:val="en-US"/>
        </w:rPr>
        <w:t>)</w:t>
      </w:r>
      <w:r w:rsidR="008A0987" w:rsidRPr="008C7FCA">
        <w:rPr>
          <w:rFonts w:ascii="Arial" w:hAnsi="Arial" w:cs="Arial"/>
          <w:sz w:val="22"/>
          <w:szCs w:val="22"/>
          <w:lang w:val="en-US"/>
        </w:rPr>
        <w:t xml:space="preserve"> model for </w:t>
      </w:r>
      <w:r w:rsidR="00660E37" w:rsidRPr="008C7FCA">
        <w:rPr>
          <w:rFonts w:ascii="Arial" w:hAnsi="Arial" w:cs="Arial"/>
          <w:sz w:val="22"/>
          <w:szCs w:val="22"/>
          <w:lang w:val="en-US"/>
        </w:rPr>
        <w:t>standard</w:t>
      </w:r>
      <w:r w:rsidR="00660E37">
        <w:rPr>
          <w:rFonts w:ascii="Arial" w:hAnsi="Arial" w:cs="Arial"/>
          <w:sz w:val="22"/>
          <w:szCs w:val="22"/>
          <w:lang w:val="en-US"/>
        </w:rPr>
        <w:t>-</w:t>
      </w:r>
      <w:r w:rsidR="008A0987" w:rsidRPr="008C7FCA">
        <w:rPr>
          <w:rFonts w:ascii="Arial" w:hAnsi="Arial" w:cs="Arial"/>
          <w:sz w:val="22"/>
          <w:szCs w:val="22"/>
          <w:lang w:val="en-US"/>
        </w:rPr>
        <w:t>dose fulvestrant.</w:t>
      </w:r>
    </w:p>
    <w:p w14:paraId="48697B23" w14:textId="0FA46EC7" w:rsidR="0090310D" w:rsidRPr="008C7FCA" w:rsidRDefault="00E939B2" w:rsidP="00AE62E0">
      <w:pPr>
        <w:pStyle w:val="ListParagraph"/>
        <w:numPr>
          <w:ilvl w:val="0"/>
          <w:numId w:val="3"/>
        </w:numPr>
        <w:autoSpaceDE w:val="0"/>
        <w:autoSpaceDN w:val="0"/>
        <w:adjustRightInd w:val="0"/>
        <w:jc w:val="both"/>
        <w:rPr>
          <w:rFonts w:ascii="Arial" w:hAnsi="Arial" w:cs="Arial"/>
          <w:sz w:val="22"/>
          <w:szCs w:val="22"/>
          <w:lang w:val="en-US"/>
        </w:rPr>
      </w:pPr>
      <w:r w:rsidRPr="008C7FCA">
        <w:rPr>
          <w:rFonts w:ascii="Arial" w:hAnsi="Arial" w:cs="Arial"/>
          <w:sz w:val="22"/>
          <w:szCs w:val="22"/>
          <w:lang w:val="en-US"/>
        </w:rPr>
        <w:t xml:space="preserve">Cohort </w:t>
      </w:r>
      <w:r w:rsidR="00B469AE" w:rsidRPr="008C7FCA">
        <w:rPr>
          <w:rFonts w:ascii="Arial" w:hAnsi="Arial" w:cs="Arial"/>
          <w:sz w:val="22"/>
          <w:szCs w:val="22"/>
          <w:lang w:val="en-US"/>
        </w:rPr>
        <w:t xml:space="preserve">B: </w:t>
      </w:r>
      <w:r w:rsidR="00955D0E">
        <w:rPr>
          <w:rFonts w:ascii="Arial" w:hAnsi="Arial" w:cs="Arial"/>
          <w:i/>
          <w:sz w:val="22"/>
          <w:szCs w:val="22"/>
          <w:lang w:val="en-US"/>
        </w:rPr>
        <w:t>ERBB2</w:t>
      </w:r>
      <w:r w:rsidR="00955D0E" w:rsidRPr="008C7FCA">
        <w:rPr>
          <w:rFonts w:ascii="Arial" w:hAnsi="Arial" w:cs="Arial"/>
          <w:i/>
          <w:sz w:val="22"/>
          <w:szCs w:val="22"/>
          <w:lang w:val="en-US"/>
        </w:rPr>
        <w:t xml:space="preserve"> </w:t>
      </w:r>
      <w:r w:rsidR="00B469AE" w:rsidRPr="008C7FCA">
        <w:rPr>
          <w:rFonts w:ascii="Arial" w:hAnsi="Arial" w:cs="Arial"/>
          <w:sz w:val="22"/>
          <w:szCs w:val="22"/>
          <w:lang w:val="en-US"/>
        </w:rPr>
        <w:t xml:space="preserve">mutation – </w:t>
      </w:r>
      <w:r w:rsidR="0090310D" w:rsidRPr="008C7FCA">
        <w:rPr>
          <w:rFonts w:ascii="Arial" w:hAnsi="Arial" w:cs="Arial"/>
          <w:sz w:val="22"/>
          <w:szCs w:val="22"/>
          <w:lang w:val="en-US"/>
        </w:rPr>
        <w:t xml:space="preserve">240mg neratinib </w:t>
      </w:r>
      <w:r w:rsidR="0024539D" w:rsidRPr="008C7FCA">
        <w:rPr>
          <w:rFonts w:ascii="Arial" w:hAnsi="Arial" w:cs="Arial"/>
          <w:sz w:val="22"/>
          <w:szCs w:val="22"/>
          <w:lang w:val="en-US"/>
        </w:rPr>
        <w:t>(</w:t>
      </w:r>
      <w:r w:rsidR="007E0FF1">
        <w:rPr>
          <w:rFonts w:ascii="Arial" w:hAnsi="Arial" w:cs="Arial"/>
          <w:sz w:val="22"/>
          <w:szCs w:val="22"/>
          <w:lang w:val="en-US"/>
        </w:rPr>
        <w:t>irreversible pan-HER</w:t>
      </w:r>
      <w:r w:rsidR="007E0FF1" w:rsidRPr="008C7FCA">
        <w:rPr>
          <w:rFonts w:ascii="Arial" w:hAnsi="Arial" w:cs="Arial"/>
          <w:i/>
          <w:iCs/>
          <w:sz w:val="22"/>
          <w:szCs w:val="22"/>
          <w:lang w:val="en-US"/>
        </w:rPr>
        <w:t xml:space="preserve"> </w:t>
      </w:r>
      <w:r w:rsidR="0024539D" w:rsidRPr="008C7FCA">
        <w:rPr>
          <w:rFonts w:ascii="Arial" w:hAnsi="Arial" w:cs="Arial"/>
          <w:sz w:val="22"/>
          <w:szCs w:val="22"/>
          <w:lang w:val="en-US"/>
        </w:rPr>
        <w:t xml:space="preserve">tyrosine kinase inhibitor) </w:t>
      </w:r>
      <w:r w:rsidR="000061EC" w:rsidRPr="008C7FCA">
        <w:rPr>
          <w:rFonts w:ascii="Arial" w:hAnsi="Arial" w:cs="Arial"/>
          <w:sz w:val="22"/>
          <w:szCs w:val="22"/>
          <w:lang w:val="en-US"/>
        </w:rPr>
        <w:t>orally</w:t>
      </w:r>
      <w:r w:rsidR="0090310D" w:rsidRPr="008C7FCA">
        <w:rPr>
          <w:rFonts w:ascii="Arial" w:hAnsi="Arial" w:cs="Arial"/>
          <w:sz w:val="22"/>
          <w:szCs w:val="22"/>
          <w:lang w:val="en-US"/>
        </w:rPr>
        <w:t xml:space="preserve"> once daily on a continuous schedul</w:t>
      </w:r>
      <w:r w:rsidR="00415458" w:rsidRPr="008C7FCA">
        <w:rPr>
          <w:rFonts w:ascii="Arial" w:hAnsi="Arial" w:cs="Arial"/>
          <w:sz w:val="22"/>
          <w:szCs w:val="22"/>
          <w:lang w:val="en-US"/>
        </w:rPr>
        <w:t xml:space="preserve">e. In </w:t>
      </w:r>
      <w:r w:rsidR="00F83FE8" w:rsidRPr="008C7FCA">
        <w:rPr>
          <w:rFonts w:ascii="Arial" w:hAnsi="Arial" w:cs="Arial"/>
          <w:sz w:val="22"/>
          <w:szCs w:val="22"/>
          <w:lang w:val="en-US"/>
        </w:rPr>
        <w:t xml:space="preserve">patients with </w:t>
      </w:r>
      <w:r w:rsidR="00415458" w:rsidRPr="008C7FCA">
        <w:rPr>
          <w:rFonts w:ascii="Arial" w:hAnsi="Arial" w:cs="Arial"/>
          <w:sz w:val="22"/>
          <w:szCs w:val="22"/>
          <w:lang w:val="en-US"/>
        </w:rPr>
        <w:t>ER</w:t>
      </w:r>
      <w:r w:rsidR="002A7F98">
        <w:rPr>
          <w:rFonts w:ascii="Arial" w:hAnsi="Arial" w:cs="Arial"/>
          <w:sz w:val="22"/>
          <w:szCs w:val="22"/>
          <w:lang w:val="en-US"/>
        </w:rPr>
        <w:t>-</w:t>
      </w:r>
      <w:r w:rsidR="00415458" w:rsidRPr="008C7FCA">
        <w:rPr>
          <w:rFonts w:ascii="Arial" w:hAnsi="Arial" w:cs="Arial"/>
          <w:sz w:val="22"/>
          <w:szCs w:val="22"/>
          <w:lang w:val="en-US"/>
        </w:rPr>
        <w:t>positive breast cancer this was administered with</w:t>
      </w:r>
      <w:r w:rsidR="0090310D" w:rsidRPr="008C7FCA">
        <w:rPr>
          <w:rFonts w:ascii="Arial" w:hAnsi="Arial" w:cs="Arial"/>
          <w:sz w:val="22"/>
          <w:szCs w:val="22"/>
          <w:lang w:val="en-US"/>
        </w:rPr>
        <w:t xml:space="preserve"> fulvestrant</w:t>
      </w:r>
      <w:r w:rsidR="00415458" w:rsidRPr="008C7FCA">
        <w:rPr>
          <w:rFonts w:ascii="Arial" w:hAnsi="Arial" w:cs="Arial"/>
          <w:sz w:val="22"/>
          <w:szCs w:val="22"/>
          <w:lang w:val="en-US"/>
        </w:rPr>
        <w:t xml:space="preserve"> 500mg</w:t>
      </w:r>
      <w:r w:rsidR="0090310D" w:rsidRPr="008C7FCA">
        <w:rPr>
          <w:rFonts w:ascii="Arial" w:hAnsi="Arial" w:cs="Arial"/>
          <w:sz w:val="22"/>
          <w:szCs w:val="22"/>
          <w:lang w:val="en-US"/>
        </w:rPr>
        <w:t xml:space="preserve"> </w:t>
      </w:r>
      <w:r w:rsidR="001B3EF7" w:rsidRPr="008C7FCA">
        <w:rPr>
          <w:rFonts w:ascii="Arial" w:hAnsi="Arial" w:cs="Arial"/>
          <w:sz w:val="22"/>
          <w:szCs w:val="22"/>
          <w:lang w:val="en-US"/>
        </w:rPr>
        <w:t xml:space="preserve">IM </w:t>
      </w:r>
      <w:r w:rsidR="00F83FE8" w:rsidRPr="008C7FCA">
        <w:rPr>
          <w:rFonts w:ascii="Arial" w:hAnsi="Arial" w:cs="Arial"/>
          <w:sz w:val="22"/>
          <w:szCs w:val="22"/>
          <w:lang w:val="en-US"/>
        </w:rPr>
        <w:t xml:space="preserve">at </w:t>
      </w:r>
      <w:r w:rsidR="001B3EF7" w:rsidRPr="008C7FCA">
        <w:rPr>
          <w:rFonts w:ascii="Arial" w:hAnsi="Arial" w:cs="Arial"/>
          <w:sz w:val="22"/>
          <w:szCs w:val="22"/>
          <w:lang w:val="en-US"/>
        </w:rPr>
        <w:t>standard dosing (</w:t>
      </w:r>
      <w:r w:rsidR="0090310D" w:rsidRPr="008C7FCA">
        <w:rPr>
          <w:rFonts w:ascii="Arial" w:hAnsi="Arial" w:cs="Arial"/>
          <w:sz w:val="22"/>
          <w:szCs w:val="22"/>
          <w:lang w:val="en-US"/>
        </w:rPr>
        <w:t>Cycle 1 Days 1 and 15 and Cycle 2 onwards Day 1</w:t>
      </w:r>
      <w:r w:rsidRPr="008C7FCA">
        <w:rPr>
          <w:rFonts w:ascii="Arial" w:hAnsi="Arial" w:cs="Arial"/>
          <w:sz w:val="22"/>
          <w:szCs w:val="22"/>
          <w:lang w:val="en-US"/>
        </w:rPr>
        <w:t xml:space="preserve"> on a </w:t>
      </w:r>
      <w:r w:rsidR="00660E37" w:rsidRPr="008C7FCA">
        <w:rPr>
          <w:rFonts w:ascii="Arial" w:hAnsi="Arial" w:cs="Arial"/>
          <w:sz w:val="22"/>
          <w:szCs w:val="22"/>
          <w:lang w:val="en-US"/>
        </w:rPr>
        <w:t>28</w:t>
      </w:r>
      <w:r w:rsidR="00660E37">
        <w:rPr>
          <w:rFonts w:ascii="Arial" w:hAnsi="Arial" w:cs="Arial"/>
          <w:sz w:val="22"/>
          <w:szCs w:val="22"/>
          <w:lang w:val="en-US"/>
        </w:rPr>
        <w:t>-</w:t>
      </w:r>
      <w:r w:rsidRPr="008C7FCA">
        <w:rPr>
          <w:rFonts w:ascii="Arial" w:hAnsi="Arial" w:cs="Arial"/>
          <w:sz w:val="22"/>
          <w:szCs w:val="22"/>
          <w:lang w:val="en-US"/>
        </w:rPr>
        <w:t>day cycle</w:t>
      </w:r>
      <w:r w:rsidR="001B3EF7" w:rsidRPr="008C7FCA">
        <w:rPr>
          <w:rFonts w:ascii="Arial" w:hAnsi="Arial" w:cs="Arial"/>
          <w:sz w:val="22"/>
          <w:szCs w:val="22"/>
          <w:lang w:val="en-US"/>
        </w:rPr>
        <w:t>)</w:t>
      </w:r>
      <w:r w:rsidR="0090310D" w:rsidRPr="008C7FCA">
        <w:rPr>
          <w:rFonts w:ascii="Arial" w:hAnsi="Arial" w:cs="Arial"/>
          <w:sz w:val="22"/>
          <w:szCs w:val="22"/>
          <w:lang w:val="en-US"/>
        </w:rPr>
        <w:t>.</w:t>
      </w:r>
    </w:p>
    <w:p w14:paraId="2A4E403A" w14:textId="5823651E" w:rsidR="0093035B" w:rsidRPr="008C7FCA" w:rsidRDefault="00E939B2" w:rsidP="00AE62E0">
      <w:pPr>
        <w:pStyle w:val="ListParagraph"/>
        <w:numPr>
          <w:ilvl w:val="0"/>
          <w:numId w:val="3"/>
        </w:numPr>
        <w:autoSpaceDE w:val="0"/>
        <w:autoSpaceDN w:val="0"/>
        <w:adjustRightInd w:val="0"/>
        <w:jc w:val="both"/>
        <w:rPr>
          <w:rFonts w:ascii="Arial" w:hAnsi="Arial" w:cs="Arial"/>
          <w:sz w:val="22"/>
          <w:szCs w:val="22"/>
          <w:lang w:val="en-US"/>
        </w:rPr>
      </w:pPr>
      <w:r w:rsidRPr="008C7FCA">
        <w:rPr>
          <w:rFonts w:ascii="Arial" w:hAnsi="Arial" w:cs="Arial"/>
          <w:sz w:val="22"/>
          <w:szCs w:val="22"/>
          <w:lang w:val="en-US"/>
        </w:rPr>
        <w:lastRenderedPageBreak/>
        <w:t xml:space="preserve">Cohort </w:t>
      </w:r>
      <w:r w:rsidR="00B469AE" w:rsidRPr="008C7FCA">
        <w:rPr>
          <w:rFonts w:ascii="Arial" w:hAnsi="Arial" w:cs="Arial"/>
          <w:sz w:val="22"/>
          <w:szCs w:val="22"/>
          <w:lang w:val="en-US"/>
        </w:rPr>
        <w:t xml:space="preserve">C: </w:t>
      </w:r>
      <w:r w:rsidR="00B469AE" w:rsidRPr="008C7FCA">
        <w:rPr>
          <w:rFonts w:ascii="Arial" w:hAnsi="Arial" w:cs="Arial"/>
          <w:i/>
          <w:sz w:val="22"/>
          <w:szCs w:val="22"/>
          <w:lang w:val="en-US"/>
        </w:rPr>
        <w:t>AKT1</w:t>
      </w:r>
      <w:r w:rsidR="00415458" w:rsidRPr="008C7FCA">
        <w:rPr>
          <w:rFonts w:ascii="Arial" w:hAnsi="Arial" w:cs="Arial"/>
          <w:i/>
          <w:sz w:val="22"/>
          <w:szCs w:val="22"/>
          <w:lang w:val="en-US"/>
        </w:rPr>
        <w:t xml:space="preserve"> </w:t>
      </w:r>
      <w:r w:rsidR="00415458" w:rsidRPr="008C7FCA">
        <w:rPr>
          <w:rFonts w:ascii="Arial" w:hAnsi="Arial" w:cs="Arial"/>
          <w:sz w:val="22"/>
          <w:szCs w:val="22"/>
          <w:lang w:val="en-US"/>
        </w:rPr>
        <w:t>mutation</w:t>
      </w:r>
      <w:r w:rsidR="00B469AE" w:rsidRPr="008C7FCA">
        <w:rPr>
          <w:rFonts w:ascii="Arial" w:hAnsi="Arial" w:cs="Arial"/>
          <w:i/>
          <w:sz w:val="22"/>
          <w:szCs w:val="22"/>
          <w:lang w:val="en-US"/>
        </w:rPr>
        <w:t xml:space="preserve"> </w:t>
      </w:r>
      <w:r w:rsidR="00B469AE" w:rsidRPr="008C7FCA">
        <w:rPr>
          <w:rFonts w:ascii="Arial" w:hAnsi="Arial" w:cs="Arial"/>
          <w:sz w:val="22"/>
          <w:szCs w:val="22"/>
          <w:lang w:val="en-US"/>
        </w:rPr>
        <w:t xml:space="preserve">in </w:t>
      </w:r>
      <w:r w:rsidR="00F83FE8" w:rsidRPr="008C7FCA">
        <w:rPr>
          <w:rFonts w:ascii="Arial" w:hAnsi="Arial" w:cs="Arial"/>
          <w:sz w:val="22"/>
          <w:szCs w:val="22"/>
          <w:lang w:val="en-US"/>
        </w:rPr>
        <w:t>pat</w:t>
      </w:r>
      <w:r w:rsidR="000061EC" w:rsidRPr="008C7FCA">
        <w:rPr>
          <w:rFonts w:ascii="Arial" w:hAnsi="Arial" w:cs="Arial"/>
          <w:sz w:val="22"/>
          <w:szCs w:val="22"/>
          <w:lang w:val="en-US"/>
        </w:rPr>
        <w:t>i</w:t>
      </w:r>
      <w:r w:rsidR="00F83FE8" w:rsidRPr="008C7FCA">
        <w:rPr>
          <w:rFonts w:ascii="Arial" w:hAnsi="Arial" w:cs="Arial"/>
          <w:sz w:val="22"/>
          <w:szCs w:val="22"/>
          <w:lang w:val="en-US"/>
        </w:rPr>
        <w:t xml:space="preserve">ents with </w:t>
      </w:r>
      <w:r w:rsidR="00B469AE" w:rsidRPr="008C7FCA">
        <w:rPr>
          <w:rFonts w:ascii="Arial" w:hAnsi="Arial" w:cs="Arial"/>
          <w:sz w:val="22"/>
          <w:szCs w:val="22"/>
          <w:lang w:val="en-US"/>
        </w:rPr>
        <w:t>ER</w:t>
      </w:r>
      <w:r w:rsidR="00CE7DF4">
        <w:rPr>
          <w:rFonts w:ascii="Arial" w:hAnsi="Arial" w:cs="Arial"/>
          <w:sz w:val="22"/>
          <w:szCs w:val="22"/>
          <w:lang w:val="en-US"/>
        </w:rPr>
        <w:t>-</w:t>
      </w:r>
      <w:r w:rsidR="00B469AE" w:rsidRPr="008C7FCA">
        <w:rPr>
          <w:rFonts w:ascii="Arial" w:hAnsi="Arial" w:cs="Arial"/>
          <w:sz w:val="22"/>
          <w:szCs w:val="22"/>
          <w:lang w:val="en-US"/>
        </w:rPr>
        <w:t xml:space="preserve">positive </w:t>
      </w:r>
      <w:r w:rsidR="001B3EF7" w:rsidRPr="008C7FCA">
        <w:rPr>
          <w:rFonts w:ascii="Arial" w:hAnsi="Arial" w:cs="Arial"/>
          <w:sz w:val="22"/>
          <w:szCs w:val="22"/>
          <w:lang w:val="en-US"/>
        </w:rPr>
        <w:t>breast cancer</w:t>
      </w:r>
      <w:r w:rsidR="00CF726E" w:rsidRPr="008C7FCA">
        <w:rPr>
          <w:rFonts w:ascii="Arial" w:hAnsi="Arial" w:cs="Arial"/>
          <w:sz w:val="22"/>
          <w:szCs w:val="22"/>
          <w:lang w:val="en-US"/>
        </w:rPr>
        <w:t xml:space="preserve"> </w:t>
      </w:r>
      <w:r w:rsidR="00B469AE" w:rsidRPr="008C7FCA">
        <w:rPr>
          <w:rFonts w:ascii="Arial" w:hAnsi="Arial" w:cs="Arial"/>
          <w:sz w:val="22"/>
          <w:szCs w:val="22"/>
          <w:lang w:val="en-US"/>
        </w:rPr>
        <w:t>–</w:t>
      </w:r>
      <w:r w:rsidR="005B12CB" w:rsidRPr="008C7FCA">
        <w:rPr>
          <w:rFonts w:ascii="Arial" w:hAnsi="Arial" w:cs="Arial"/>
          <w:i/>
          <w:sz w:val="22"/>
          <w:szCs w:val="22"/>
          <w:lang w:val="en-US"/>
        </w:rPr>
        <w:t xml:space="preserve"> </w:t>
      </w:r>
      <w:r w:rsidR="0024539D" w:rsidRPr="008C7FCA">
        <w:rPr>
          <w:rFonts w:ascii="Arial" w:hAnsi="Arial" w:cs="Arial"/>
          <w:iCs/>
          <w:sz w:val="22"/>
          <w:szCs w:val="22"/>
          <w:lang w:val="en-US"/>
        </w:rPr>
        <w:t>400mg</w:t>
      </w:r>
      <w:r w:rsidR="0024539D" w:rsidRPr="008C7FCA">
        <w:rPr>
          <w:rFonts w:ascii="Arial" w:hAnsi="Arial" w:cs="Arial"/>
          <w:i/>
          <w:sz w:val="22"/>
          <w:szCs w:val="22"/>
          <w:lang w:val="en-US"/>
        </w:rPr>
        <w:t xml:space="preserve"> </w:t>
      </w:r>
      <w:r w:rsidR="00415458" w:rsidRPr="008C7FCA">
        <w:rPr>
          <w:rFonts w:ascii="Arial" w:hAnsi="Arial" w:cs="Arial"/>
          <w:sz w:val="22"/>
          <w:szCs w:val="22"/>
          <w:lang w:val="en-US"/>
        </w:rPr>
        <w:t xml:space="preserve">capivasertib </w:t>
      </w:r>
      <w:r w:rsidR="0024539D" w:rsidRPr="008C7FCA">
        <w:rPr>
          <w:rFonts w:ascii="Arial" w:hAnsi="Arial" w:cs="Arial"/>
          <w:sz w:val="22"/>
          <w:szCs w:val="22"/>
          <w:lang w:val="en-US"/>
        </w:rPr>
        <w:t>(</w:t>
      </w:r>
      <w:r w:rsidR="00C62961">
        <w:rPr>
          <w:rFonts w:ascii="Arial" w:hAnsi="Arial" w:cs="Arial"/>
          <w:sz w:val="22"/>
          <w:szCs w:val="22"/>
          <w:lang w:val="en-US"/>
        </w:rPr>
        <w:t xml:space="preserve">selective </w:t>
      </w:r>
      <w:r w:rsidR="0024539D" w:rsidRPr="00955D0E">
        <w:rPr>
          <w:rFonts w:ascii="Arial" w:hAnsi="Arial" w:cs="Arial"/>
          <w:i/>
          <w:sz w:val="22"/>
          <w:szCs w:val="22"/>
          <w:lang w:val="en-US"/>
        </w:rPr>
        <w:t>AKT</w:t>
      </w:r>
      <w:r w:rsidR="0024539D" w:rsidRPr="008C7FCA">
        <w:rPr>
          <w:rFonts w:ascii="Arial" w:hAnsi="Arial" w:cs="Arial"/>
          <w:sz w:val="22"/>
          <w:szCs w:val="22"/>
          <w:lang w:val="en-US"/>
        </w:rPr>
        <w:t xml:space="preserve"> inhibitor) </w:t>
      </w:r>
      <w:r w:rsidR="00317B83" w:rsidRPr="008C7FCA">
        <w:rPr>
          <w:rFonts w:ascii="Arial" w:hAnsi="Arial" w:cs="Arial"/>
          <w:sz w:val="22"/>
          <w:szCs w:val="22"/>
          <w:lang w:val="en-US"/>
        </w:rPr>
        <w:t xml:space="preserve">orally </w:t>
      </w:r>
      <w:r w:rsidR="001B3EF7" w:rsidRPr="008C7FCA">
        <w:rPr>
          <w:rFonts w:ascii="Arial" w:hAnsi="Arial" w:cs="Arial"/>
          <w:sz w:val="22"/>
          <w:szCs w:val="22"/>
          <w:lang w:val="en-US"/>
        </w:rPr>
        <w:t>twice daily 4 days on</w:t>
      </w:r>
      <w:r w:rsidR="00CC6CAB">
        <w:rPr>
          <w:rFonts w:ascii="Arial" w:hAnsi="Arial" w:cs="Arial"/>
          <w:sz w:val="22"/>
          <w:szCs w:val="22"/>
          <w:lang w:val="en-US"/>
        </w:rPr>
        <w:t>-</w:t>
      </w:r>
      <w:r w:rsidR="001B3EF7" w:rsidRPr="008C7FCA">
        <w:rPr>
          <w:rFonts w:ascii="Arial" w:hAnsi="Arial" w:cs="Arial"/>
          <w:sz w:val="22"/>
          <w:szCs w:val="22"/>
          <w:lang w:val="en-US"/>
        </w:rPr>
        <w:t>treatment followed by 3 days off</w:t>
      </w:r>
      <w:r w:rsidR="00CC6CAB">
        <w:rPr>
          <w:rFonts w:ascii="Arial" w:hAnsi="Arial" w:cs="Arial"/>
          <w:sz w:val="22"/>
          <w:szCs w:val="22"/>
          <w:lang w:val="en-US"/>
        </w:rPr>
        <w:t>-</w:t>
      </w:r>
      <w:r w:rsidR="001B3EF7" w:rsidRPr="008C7FCA">
        <w:rPr>
          <w:rFonts w:ascii="Arial" w:hAnsi="Arial" w:cs="Arial"/>
          <w:sz w:val="22"/>
          <w:szCs w:val="22"/>
          <w:lang w:val="en-US"/>
        </w:rPr>
        <w:t xml:space="preserve">treatment </w:t>
      </w:r>
      <w:r w:rsidR="001628A9">
        <w:rPr>
          <w:rFonts w:ascii="Arial" w:hAnsi="Arial" w:cs="Arial"/>
          <w:sz w:val="22"/>
          <w:szCs w:val="22"/>
          <w:lang w:val="en-US"/>
        </w:rPr>
        <w:t>on a 28-day cycle</w:t>
      </w:r>
      <w:r w:rsidR="001B3EF7" w:rsidRPr="008C7FCA">
        <w:rPr>
          <w:rFonts w:ascii="Arial" w:hAnsi="Arial" w:cs="Arial"/>
          <w:sz w:val="22"/>
          <w:szCs w:val="22"/>
          <w:lang w:val="en-US"/>
        </w:rPr>
        <w:t xml:space="preserve"> with</w:t>
      </w:r>
      <w:r w:rsidR="008405AC">
        <w:rPr>
          <w:rFonts w:ascii="Arial" w:hAnsi="Arial" w:cs="Arial"/>
          <w:sz w:val="22"/>
          <w:szCs w:val="22"/>
          <w:lang w:val="en-US"/>
        </w:rPr>
        <w:t xml:space="preserve"> standard</w:t>
      </w:r>
      <w:r w:rsidR="001B3EF7" w:rsidRPr="008C7FCA">
        <w:rPr>
          <w:rFonts w:ascii="Arial" w:hAnsi="Arial" w:cs="Arial"/>
          <w:sz w:val="22"/>
          <w:szCs w:val="22"/>
          <w:lang w:val="en-US"/>
        </w:rPr>
        <w:t xml:space="preserve"> </w:t>
      </w:r>
      <w:r w:rsidR="006A1FC2">
        <w:rPr>
          <w:rFonts w:ascii="Arial" w:hAnsi="Arial" w:cs="Arial"/>
          <w:sz w:val="22"/>
          <w:szCs w:val="22"/>
          <w:lang w:val="en-US"/>
        </w:rPr>
        <w:t xml:space="preserve">dosing </w:t>
      </w:r>
      <w:r w:rsidR="001B3EF7" w:rsidRPr="008C7FCA">
        <w:rPr>
          <w:rFonts w:ascii="Arial" w:hAnsi="Arial" w:cs="Arial"/>
          <w:sz w:val="22"/>
          <w:szCs w:val="22"/>
          <w:lang w:val="en-US"/>
        </w:rPr>
        <w:t>fulvestrant</w:t>
      </w:r>
      <w:r w:rsidR="008405AC">
        <w:rPr>
          <w:rFonts w:ascii="Arial" w:hAnsi="Arial" w:cs="Arial"/>
          <w:sz w:val="22"/>
          <w:szCs w:val="22"/>
          <w:lang w:val="en-US"/>
        </w:rPr>
        <w:t>.</w:t>
      </w:r>
    </w:p>
    <w:p w14:paraId="70CB545C" w14:textId="06CA8241" w:rsidR="00C82715" w:rsidRPr="00393524" w:rsidRDefault="00E939B2" w:rsidP="00C82715">
      <w:pPr>
        <w:pStyle w:val="ListParagraph"/>
        <w:numPr>
          <w:ilvl w:val="0"/>
          <w:numId w:val="3"/>
        </w:numPr>
        <w:autoSpaceDE w:val="0"/>
        <w:autoSpaceDN w:val="0"/>
        <w:adjustRightInd w:val="0"/>
        <w:jc w:val="both"/>
        <w:rPr>
          <w:rFonts w:ascii="Arial" w:hAnsi="Arial" w:cs="Arial"/>
          <w:sz w:val="22"/>
          <w:szCs w:val="22"/>
          <w:lang w:val="en-US"/>
        </w:rPr>
      </w:pPr>
      <w:r w:rsidRPr="008C7FCA">
        <w:rPr>
          <w:rFonts w:ascii="Arial" w:hAnsi="Arial" w:cs="Arial"/>
          <w:sz w:val="22"/>
          <w:szCs w:val="22"/>
          <w:lang w:val="en-US"/>
        </w:rPr>
        <w:t xml:space="preserve">Cohort </w:t>
      </w:r>
      <w:r w:rsidR="00B469AE" w:rsidRPr="008C7FCA">
        <w:rPr>
          <w:rFonts w:ascii="Arial" w:hAnsi="Arial" w:cs="Arial"/>
          <w:sz w:val="22"/>
          <w:szCs w:val="22"/>
          <w:lang w:val="en-US"/>
        </w:rPr>
        <w:t xml:space="preserve">D: </w:t>
      </w:r>
      <w:r w:rsidR="00415458" w:rsidRPr="00955D0E">
        <w:rPr>
          <w:rFonts w:ascii="Arial" w:hAnsi="Arial" w:cs="Arial"/>
          <w:i/>
          <w:sz w:val="22"/>
          <w:szCs w:val="22"/>
          <w:lang w:val="en-US"/>
        </w:rPr>
        <w:t>AKT</w:t>
      </w:r>
      <w:r w:rsidR="00415458" w:rsidRPr="008C7FCA">
        <w:rPr>
          <w:rFonts w:ascii="Arial" w:hAnsi="Arial" w:cs="Arial"/>
          <w:sz w:val="22"/>
          <w:szCs w:val="22"/>
          <w:lang w:val="en-US"/>
        </w:rPr>
        <w:t xml:space="preserve"> activation basket: </w:t>
      </w:r>
      <w:r w:rsidR="0090310D" w:rsidRPr="008C7FCA">
        <w:rPr>
          <w:rFonts w:ascii="Arial" w:hAnsi="Arial" w:cs="Arial"/>
          <w:sz w:val="22"/>
          <w:szCs w:val="22"/>
          <w:lang w:val="en-US"/>
        </w:rPr>
        <w:t xml:space="preserve">mutations </w:t>
      </w:r>
      <w:r w:rsidR="00415458" w:rsidRPr="008C7FCA">
        <w:rPr>
          <w:rFonts w:ascii="Arial" w:hAnsi="Arial" w:cs="Arial"/>
          <w:sz w:val="22"/>
          <w:szCs w:val="22"/>
          <w:lang w:val="en-US"/>
        </w:rPr>
        <w:t>in</w:t>
      </w:r>
      <w:r w:rsidR="0090310D" w:rsidRPr="008C7FCA">
        <w:rPr>
          <w:rFonts w:ascii="Arial" w:hAnsi="Arial" w:cs="Arial"/>
          <w:sz w:val="22"/>
          <w:szCs w:val="22"/>
          <w:lang w:val="en-US"/>
        </w:rPr>
        <w:t xml:space="preserve"> </w:t>
      </w:r>
      <w:r w:rsidR="0090310D" w:rsidRPr="008C7FCA">
        <w:rPr>
          <w:rFonts w:ascii="Arial" w:hAnsi="Arial" w:cs="Arial"/>
          <w:i/>
          <w:iCs/>
          <w:sz w:val="22"/>
          <w:szCs w:val="22"/>
          <w:lang w:val="en-US"/>
        </w:rPr>
        <w:t>AKT1</w:t>
      </w:r>
      <w:r w:rsidR="0090310D" w:rsidRPr="0093035B">
        <w:rPr>
          <w:rFonts w:ascii="Arial" w:hAnsi="Arial" w:cs="Arial"/>
          <w:iCs/>
          <w:sz w:val="22"/>
          <w:szCs w:val="22"/>
          <w:lang w:val="en-US"/>
        </w:rPr>
        <w:t xml:space="preserve"> </w:t>
      </w:r>
      <w:r w:rsidR="0090310D" w:rsidRPr="008C7FCA">
        <w:rPr>
          <w:rFonts w:ascii="Arial" w:hAnsi="Arial" w:cs="Arial"/>
          <w:sz w:val="22"/>
          <w:szCs w:val="22"/>
          <w:lang w:val="en-US"/>
        </w:rPr>
        <w:t>wit</w:t>
      </w:r>
      <w:r w:rsidR="001B3EF7" w:rsidRPr="008C7FCA">
        <w:rPr>
          <w:rFonts w:ascii="Arial" w:hAnsi="Arial" w:cs="Arial"/>
          <w:sz w:val="22"/>
          <w:szCs w:val="22"/>
          <w:lang w:val="en-US"/>
        </w:rPr>
        <w:t>h ER</w:t>
      </w:r>
      <w:r w:rsidR="00CE7DF4">
        <w:rPr>
          <w:rFonts w:ascii="Arial" w:hAnsi="Arial" w:cs="Arial"/>
          <w:sz w:val="22"/>
          <w:szCs w:val="22"/>
          <w:lang w:val="en-US"/>
        </w:rPr>
        <w:t>-</w:t>
      </w:r>
      <w:r w:rsidR="001B3EF7" w:rsidRPr="008C7FCA">
        <w:rPr>
          <w:rFonts w:ascii="Arial" w:hAnsi="Arial" w:cs="Arial"/>
          <w:sz w:val="22"/>
          <w:szCs w:val="22"/>
          <w:lang w:val="en-US"/>
        </w:rPr>
        <w:t xml:space="preserve">negative breast cancer, </w:t>
      </w:r>
      <w:r w:rsidR="00EB1D83" w:rsidRPr="008C7FCA">
        <w:rPr>
          <w:rFonts w:ascii="Arial" w:hAnsi="Arial" w:cs="Arial"/>
          <w:sz w:val="22"/>
          <w:szCs w:val="22"/>
          <w:lang w:val="en-US"/>
        </w:rPr>
        <w:t xml:space="preserve">or </w:t>
      </w:r>
      <w:r w:rsidR="00EB1D83" w:rsidRPr="008C7FCA">
        <w:rPr>
          <w:rFonts w:ascii="Arial" w:hAnsi="Arial" w:cs="Arial"/>
          <w:i/>
          <w:iCs/>
          <w:sz w:val="22"/>
          <w:szCs w:val="22"/>
          <w:lang w:val="en-US"/>
        </w:rPr>
        <w:t xml:space="preserve">PTEN </w:t>
      </w:r>
      <w:r w:rsidR="00CE7DF4" w:rsidRPr="008C7FCA">
        <w:rPr>
          <w:rFonts w:ascii="Arial" w:hAnsi="Arial" w:cs="Arial"/>
          <w:sz w:val="22"/>
          <w:szCs w:val="22"/>
          <w:lang w:val="en-US"/>
        </w:rPr>
        <w:t xml:space="preserve">inactivating </w:t>
      </w:r>
      <w:r w:rsidR="00EB1D83" w:rsidRPr="008C7FCA">
        <w:rPr>
          <w:rFonts w:ascii="Arial" w:hAnsi="Arial" w:cs="Arial"/>
          <w:sz w:val="22"/>
          <w:szCs w:val="22"/>
          <w:lang w:val="en-US"/>
        </w:rPr>
        <w:t>mutations or homozygous deletion (</w:t>
      </w:r>
      <w:r w:rsidR="00CC6CAB">
        <w:rPr>
          <w:rFonts w:ascii="Arial" w:hAnsi="Arial" w:cs="Arial"/>
          <w:sz w:val="22"/>
          <w:szCs w:val="22"/>
          <w:lang w:val="en-US"/>
        </w:rPr>
        <w:t xml:space="preserve">irrespective of </w:t>
      </w:r>
      <w:r w:rsidR="00EB1D83" w:rsidRPr="008C7FCA">
        <w:rPr>
          <w:rFonts w:ascii="Arial" w:hAnsi="Arial" w:cs="Arial"/>
          <w:sz w:val="22"/>
          <w:szCs w:val="22"/>
          <w:lang w:val="en-US"/>
        </w:rPr>
        <w:t xml:space="preserve">ER </w:t>
      </w:r>
      <w:r w:rsidR="00CC6CAB">
        <w:rPr>
          <w:rFonts w:ascii="Arial" w:hAnsi="Arial" w:cs="Arial"/>
          <w:sz w:val="22"/>
          <w:szCs w:val="22"/>
          <w:lang w:val="en-US"/>
        </w:rPr>
        <w:t>status</w:t>
      </w:r>
      <w:r w:rsidR="00EB1D83" w:rsidRPr="008C7FCA">
        <w:rPr>
          <w:rFonts w:ascii="Arial" w:hAnsi="Arial" w:cs="Arial"/>
          <w:sz w:val="22"/>
          <w:szCs w:val="22"/>
          <w:lang w:val="en-US"/>
        </w:rPr>
        <w:t>)</w:t>
      </w:r>
      <w:r w:rsidR="00CC6CAB">
        <w:rPr>
          <w:rFonts w:ascii="Arial" w:hAnsi="Arial" w:cs="Arial"/>
          <w:sz w:val="22"/>
          <w:szCs w:val="22"/>
          <w:lang w:val="en-US"/>
        </w:rPr>
        <w:t>;</w:t>
      </w:r>
      <w:r w:rsidR="00683255">
        <w:rPr>
          <w:rFonts w:ascii="Arial" w:hAnsi="Arial" w:cs="Arial"/>
          <w:sz w:val="22"/>
          <w:szCs w:val="22"/>
          <w:lang w:val="en-US"/>
        </w:rPr>
        <w:t xml:space="preserve"> full criteria </w:t>
      </w:r>
      <w:r w:rsidR="0066392C">
        <w:rPr>
          <w:rFonts w:ascii="Arial" w:hAnsi="Arial" w:cs="Arial"/>
          <w:sz w:val="22"/>
          <w:szCs w:val="22"/>
          <w:lang w:val="en-US"/>
        </w:rPr>
        <w:t xml:space="preserve">described </w:t>
      </w:r>
      <w:r w:rsidR="00683255">
        <w:rPr>
          <w:rFonts w:ascii="Arial" w:hAnsi="Arial" w:cs="Arial"/>
          <w:sz w:val="22"/>
          <w:szCs w:val="22"/>
          <w:lang w:val="en-US"/>
        </w:rPr>
        <w:t xml:space="preserve">in </w:t>
      </w:r>
      <w:r w:rsidR="0066392C">
        <w:rPr>
          <w:rFonts w:ascii="Arial" w:hAnsi="Arial" w:cs="Arial"/>
          <w:sz w:val="22"/>
          <w:szCs w:val="22"/>
          <w:lang w:val="en-US"/>
        </w:rPr>
        <w:t>S</w:t>
      </w:r>
      <w:r w:rsidR="00683255">
        <w:rPr>
          <w:rFonts w:ascii="Arial" w:hAnsi="Arial" w:cs="Arial"/>
          <w:sz w:val="22"/>
          <w:szCs w:val="22"/>
          <w:lang w:val="en-US"/>
        </w:rPr>
        <w:t xml:space="preserve">upplementary </w:t>
      </w:r>
      <w:r w:rsidR="001E0536">
        <w:rPr>
          <w:rFonts w:ascii="Arial" w:hAnsi="Arial" w:cs="Arial"/>
          <w:sz w:val="22"/>
          <w:szCs w:val="22"/>
          <w:lang w:val="en-US"/>
        </w:rPr>
        <w:t>Methods</w:t>
      </w:r>
      <w:r w:rsidR="00C31292">
        <w:rPr>
          <w:rFonts w:ascii="Arial" w:hAnsi="Arial" w:cs="Arial"/>
          <w:sz w:val="22"/>
          <w:szCs w:val="22"/>
          <w:lang w:val="en-US"/>
        </w:rPr>
        <w:t>, appendix p</w:t>
      </w:r>
      <w:r w:rsidR="00742DE9">
        <w:rPr>
          <w:rFonts w:ascii="Arial" w:hAnsi="Arial" w:cs="Arial"/>
          <w:sz w:val="22"/>
          <w:szCs w:val="22"/>
          <w:lang w:val="en-US"/>
        </w:rPr>
        <w:t>6</w:t>
      </w:r>
      <w:r w:rsidR="00EB1D83" w:rsidRPr="008C7FCA">
        <w:rPr>
          <w:rFonts w:ascii="Arial" w:hAnsi="Arial" w:cs="Arial"/>
          <w:sz w:val="22"/>
          <w:szCs w:val="22"/>
          <w:lang w:val="en-US"/>
        </w:rPr>
        <w:t xml:space="preserve">. Patients with mutations </w:t>
      </w:r>
      <w:r w:rsidR="0090310D" w:rsidRPr="008C7FCA">
        <w:rPr>
          <w:rFonts w:ascii="Arial" w:hAnsi="Arial" w:cs="Arial"/>
          <w:sz w:val="22"/>
          <w:szCs w:val="22"/>
          <w:lang w:val="en-US"/>
        </w:rPr>
        <w:t xml:space="preserve">identified in prior </w:t>
      </w:r>
      <w:r w:rsidR="00C4772B">
        <w:rPr>
          <w:rFonts w:ascii="Arial" w:hAnsi="Arial" w:cs="Arial"/>
          <w:sz w:val="22"/>
          <w:szCs w:val="22"/>
          <w:lang w:val="en-US"/>
        </w:rPr>
        <w:t>tumour</w:t>
      </w:r>
      <w:r w:rsidR="0090310D" w:rsidRPr="008C7FCA">
        <w:rPr>
          <w:rFonts w:ascii="Arial" w:hAnsi="Arial" w:cs="Arial"/>
          <w:sz w:val="22"/>
          <w:szCs w:val="22"/>
          <w:lang w:val="en-US"/>
        </w:rPr>
        <w:t xml:space="preserve"> </w:t>
      </w:r>
      <w:r w:rsidR="001B3EF7" w:rsidRPr="008C7FCA">
        <w:rPr>
          <w:rFonts w:ascii="Arial" w:hAnsi="Arial" w:cs="Arial"/>
          <w:sz w:val="22"/>
          <w:szCs w:val="22"/>
          <w:lang w:val="en-US"/>
        </w:rPr>
        <w:t xml:space="preserve">sequencing conducted outside of </w:t>
      </w:r>
      <w:r w:rsidR="0090310D" w:rsidRPr="008C7FCA">
        <w:rPr>
          <w:rFonts w:ascii="Arial" w:hAnsi="Arial" w:cs="Arial"/>
          <w:sz w:val="22"/>
          <w:szCs w:val="22"/>
          <w:lang w:val="en-US"/>
        </w:rPr>
        <w:t>plasmaMATCH</w:t>
      </w:r>
      <w:r w:rsidR="00415458" w:rsidRPr="008C7FCA">
        <w:rPr>
          <w:rFonts w:ascii="Arial" w:hAnsi="Arial" w:cs="Arial"/>
          <w:sz w:val="22"/>
          <w:szCs w:val="22"/>
          <w:lang w:val="en-US"/>
        </w:rPr>
        <w:t xml:space="preserve"> </w:t>
      </w:r>
      <w:r w:rsidR="00EB1D83" w:rsidRPr="008C7FCA">
        <w:rPr>
          <w:rFonts w:ascii="Arial" w:hAnsi="Arial" w:cs="Arial"/>
          <w:sz w:val="22"/>
          <w:szCs w:val="22"/>
          <w:lang w:val="en-US"/>
        </w:rPr>
        <w:t xml:space="preserve">were </w:t>
      </w:r>
      <w:r w:rsidR="00CF726E" w:rsidRPr="008C7FCA">
        <w:rPr>
          <w:rFonts w:ascii="Arial" w:hAnsi="Arial" w:cs="Arial"/>
          <w:sz w:val="22"/>
          <w:szCs w:val="22"/>
          <w:lang w:val="en-US"/>
        </w:rPr>
        <w:t xml:space="preserve">eligible </w:t>
      </w:r>
      <w:r w:rsidR="00197F11" w:rsidRPr="008C7FCA">
        <w:rPr>
          <w:rFonts w:ascii="Arial" w:hAnsi="Arial" w:cs="Arial"/>
          <w:sz w:val="22"/>
          <w:szCs w:val="22"/>
          <w:lang w:val="en-US"/>
        </w:rPr>
        <w:t xml:space="preserve">for </w:t>
      </w:r>
      <w:r w:rsidR="00EB1D83" w:rsidRPr="008C7FCA">
        <w:rPr>
          <w:rFonts w:ascii="Arial" w:hAnsi="Arial" w:cs="Arial"/>
          <w:sz w:val="22"/>
          <w:szCs w:val="22"/>
          <w:lang w:val="en-US"/>
        </w:rPr>
        <w:t>this cohort</w:t>
      </w:r>
      <w:r w:rsidR="00CF726E" w:rsidRPr="008C7FCA">
        <w:rPr>
          <w:rFonts w:ascii="Arial" w:hAnsi="Arial" w:cs="Arial"/>
          <w:sz w:val="22"/>
          <w:szCs w:val="22"/>
          <w:lang w:val="en-US"/>
        </w:rPr>
        <w:t xml:space="preserve"> -</w:t>
      </w:r>
      <w:r w:rsidRPr="008C7FCA">
        <w:rPr>
          <w:rFonts w:ascii="Arial" w:hAnsi="Arial" w:cs="Arial"/>
          <w:sz w:val="22"/>
          <w:szCs w:val="22"/>
          <w:lang w:val="en-US"/>
        </w:rPr>
        <w:t xml:space="preserve"> </w:t>
      </w:r>
      <w:r w:rsidR="00CF726E" w:rsidRPr="008C7FCA">
        <w:rPr>
          <w:rFonts w:ascii="Arial" w:hAnsi="Arial" w:cs="Arial"/>
          <w:sz w:val="22"/>
          <w:szCs w:val="22"/>
          <w:lang w:val="en-US"/>
        </w:rPr>
        <w:t>480mg</w:t>
      </w:r>
      <w:r w:rsidR="00CF726E" w:rsidRPr="008C7FCA" w:rsidDel="00CF726E">
        <w:rPr>
          <w:rFonts w:ascii="Arial" w:hAnsi="Arial" w:cs="Arial"/>
          <w:sz w:val="22"/>
          <w:szCs w:val="22"/>
          <w:lang w:val="en-US"/>
        </w:rPr>
        <w:t xml:space="preserve"> </w:t>
      </w:r>
      <w:r w:rsidR="00B469AE" w:rsidRPr="008C7FCA">
        <w:rPr>
          <w:rFonts w:ascii="Arial" w:hAnsi="Arial" w:cs="Arial"/>
          <w:sz w:val="22"/>
          <w:szCs w:val="22"/>
          <w:lang w:val="en-US"/>
        </w:rPr>
        <w:t>capivasertib</w:t>
      </w:r>
      <w:r w:rsidR="00C4425F" w:rsidRPr="008C7FCA">
        <w:rPr>
          <w:rFonts w:ascii="Arial" w:hAnsi="Arial" w:cs="Arial"/>
          <w:sz w:val="22"/>
          <w:szCs w:val="22"/>
          <w:lang w:val="en-US"/>
        </w:rPr>
        <w:t xml:space="preserve"> monotherapy</w:t>
      </w:r>
      <w:r w:rsidR="001B3EF7" w:rsidRPr="008C7FCA">
        <w:rPr>
          <w:rFonts w:ascii="Arial" w:hAnsi="Arial" w:cs="Arial"/>
          <w:sz w:val="22"/>
          <w:szCs w:val="22"/>
          <w:lang w:val="en-US"/>
        </w:rPr>
        <w:t xml:space="preserve"> administered </w:t>
      </w:r>
      <w:r w:rsidR="00845DE6">
        <w:rPr>
          <w:rFonts w:ascii="Arial" w:hAnsi="Arial" w:cs="Arial"/>
          <w:sz w:val="22"/>
          <w:szCs w:val="22"/>
          <w:lang w:val="en-US"/>
        </w:rPr>
        <w:t xml:space="preserve">orally </w:t>
      </w:r>
      <w:r w:rsidR="001B3EF7" w:rsidRPr="008C7FCA">
        <w:rPr>
          <w:rFonts w:ascii="Arial" w:hAnsi="Arial" w:cs="Arial"/>
          <w:sz w:val="22"/>
          <w:szCs w:val="22"/>
          <w:lang w:val="en-US"/>
        </w:rPr>
        <w:t>twice daily on a 7 day schedule of 4 days on</w:t>
      </w:r>
      <w:r w:rsidR="00CC6CAB">
        <w:rPr>
          <w:rFonts w:ascii="Arial" w:hAnsi="Arial" w:cs="Arial"/>
          <w:sz w:val="22"/>
          <w:szCs w:val="22"/>
          <w:lang w:val="en-US"/>
        </w:rPr>
        <w:t>-</w:t>
      </w:r>
      <w:r w:rsidR="001B3EF7" w:rsidRPr="008C7FCA">
        <w:rPr>
          <w:rFonts w:ascii="Arial" w:hAnsi="Arial" w:cs="Arial"/>
          <w:sz w:val="22"/>
          <w:szCs w:val="22"/>
          <w:lang w:val="en-US"/>
        </w:rPr>
        <w:t>treatment followed by 3 days off</w:t>
      </w:r>
      <w:r w:rsidR="00CC6CAB">
        <w:rPr>
          <w:rFonts w:ascii="Arial" w:hAnsi="Arial" w:cs="Arial"/>
          <w:sz w:val="22"/>
          <w:szCs w:val="22"/>
          <w:lang w:val="en-US"/>
        </w:rPr>
        <w:t>-</w:t>
      </w:r>
      <w:r w:rsidR="001B3EF7" w:rsidRPr="008C7FCA">
        <w:rPr>
          <w:rFonts w:ascii="Arial" w:hAnsi="Arial" w:cs="Arial"/>
          <w:sz w:val="22"/>
          <w:szCs w:val="22"/>
          <w:lang w:val="en-US"/>
        </w:rPr>
        <w:t>treatment</w:t>
      </w:r>
      <w:r w:rsidR="001628A9">
        <w:rPr>
          <w:rFonts w:ascii="Arial" w:hAnsi="Arial" w:cs="Arial"/>
          <w:sz w:val="22"/>
          <w:szCs w:val="22"/>
          <w:lang w:val="en-US"/>
        </w:rPr>
        <w:t xml:space="preserve"> on a 28-day cycle</w:t>
      </w:r>
      <w:r w:rsidR="001B3EF7" w:rsidRPr="008C7FCA">
        <w:rPr>
          <w:rFonts w:ascii="Arial" w:hAnsi="Arial" w:cs="Arial"/>
          <w:sz w:val="22"/>
          <w:szCs w:val="22"/>
          <w:lang w:val="en-US"/>
        </w:rPr>
        <w:t>.</w:t>
      </w:r>
    </w:p>
    <w:p w14:paraId="2E2FF132" w14:textId="66D753A0" w:rsidR="00BD7B4A" w:rsidRDefault="00BD7B4A" w:rsidP="00C82715">
      <w:pPr>
        <w:autoSpaceDE w:val="0"/>
        <w:autoSpaceDN w:val="0"/>
        <w:adjustRightInd w:val="0"/>
        <w:jc w:val="both"/>
        <w:rPr>
          <w:rFonts w:ascii="Arial" w:eastAsia="OTNEJMQuadraat" w:hAnsi="Arial" w:cs="Arial"/>
          <w:sz w:val="22"/>
          <w:szCs w:val="22"/>
        </w:rPr>
      </w:pPr>
    </w:p>
    <w:p w14:paraId="6DB0065A" w14:textId="28D4BF9A" w:rsidR="00F72DA5" w:rsidRDefault="00A15874" w:rsidP="002A240D">
      <w:pPr>
        <w:autoSpaceDE w:val="0"/>
        <w:autoSpaceDN w:val="0"/>
        <w:adjustRightInd w:val="0"/>
        <w:jc w:val="both"/>
        <w:rPr>
          <w:rFonts w:ascii="Arial" w:eastAsia="OTNEJMQuadraat" w:hAnsi="Arial" w:cs="Arial"/>
          <w:sz w:val="22"/>
          <w:szCs w:val="22"/>
        </w:rPr>
      </w:pPr>
      <w:r>
        <w:rPr>
          <w:rFonts w:ascii="Arial" w:eastAsia="OTNEJMQuadraat" w:hAnsi="Arial" w:cs="Arial"/>
          <w:sz w:val="22"/>
          <w:szCs w:val="22"/>
        </w:rPr>
        <w:t xml:space="preserve">In addition to the eligibility criteria for ctDNA testing, and if patients had a relevant actionable mutation, patients would not be eligible </w:t>
      </w:r>
      <w:r w:rsidR="001F5659">
        <w:rPr>
          <w:rFonts w:ascii="Arial" w:eastAsia="OTNEJMQuadraat" w:hAnsi="Arial" w:cs="Arial"/>
          <w:sz w:val="22"/>
          <w:szCs w:val="22"/>
        </w:rPr>
        <w:t xml:space="preserve">without adequate </w:t>
      </w:r>
      <w:r w:rsidR="002A240D" w:rsidRPr="002A240D">
        <w:rPr>
          <w:rFonts w:ascii="Arial" w:eastAsia="OTNEJMQuadraat" w:hAnsi="Arial" w:cs="Arial"/>
          <w:sz w:val="22"/>
          <w:szCs w:val="22"/>
        </w:rPr>
        <w:t xml:space="preserve">haematological, renal and hepatic function </w:t>
      </w:r>
      <w:r w:rsidR="002A240D">
        <w:rPr>
          <w:rFonts w:ascii="Arial" w:eastAsia="OTNEJMQuadraat" w:hAnsi="Arial" w:cs="Arial"/>
          <w:sz w:val="22"/>
          <w:szCs w:val="22"/>
        </w:rPr>
        <w:t>(</w:t>
      </w:r>
      <w:r w:rsidR="000B36BC">
        <w:rPr>
          <w:rFonts w:ascii="Arial" w:eastAsia="OTNEJMQuadraat" w:hAnsi="Arial" w:cs="Arial"/>
          <w:sz w:val="22"/>
          <w:szCs w:val="22"/>
        </w:rPr>
        <w:t xml:space="preserve">adequate defined as </w:t>
      </w:r>
      <w:r w:rsidR="00F71FF4">
        <w:rPr>
          <w:rFonts w:ascii="Arial" w:eastAsia="OTNEJMQuadraat" w:hAnsi="Arial" w:cs="Arial"/>
          <w:sz w:val="22"/>
          <w:szCs w:val="22"/>
        </w:rPr>
        <w:t>ANC</w:t>
      </w:r>
      <w:r w:rsidR="002A240D" w:rsidRPr="002A240D">
        <w:rPr>
          <w:rFonts w:ascii="Arial" w:eastAsia="OTNEJMQuadraat" w:hAnsi="Arial" w:cs="Arial"/>
          <w:sz w:val="22"/>
          <w:szCs w:val="22"/>
        </w:rPr>
        <w:t>≥1000/mm</w:t>
      </w:r>
      <w:r w:rsidR="002A240D" w:rsidRPr="002A240D">
        <w:rPr>
          <w:rFonts w:ascii="Arial" w:eastAsia="OTNEJMQuadraat" w:hAnsi="Arial" w:cs="Arial"/>
          <w:sz w:val="22"/>
          <w:szCs w:val="22"/>
          <w:vertAlign w:val="superscript"/>
        </w:rPr>
        <w:t>3</w:t>
      </w:r>
      <w:r w:rsidR="002A240D" w:rsidRPr="002A240D">
        <w:rPr>
          <w:rFonts w:ascii="Arial" w:eastAsia="OTNEJMQuadraat" w:hAnsi="Arial" w:cs="Arial"/>
          <w:sz w:val="22"/>
          <w:szCs w:val="22"/>
        </w:rPr>
        <w:t xml:space="preserve"> (≥1.0x10</w:t>
      </w:r>
      <w:r w:rsidR="002A240D" w:rsidRPr="002A240D">
        <w:rPr>
          <w:rFonts w:ascii="Arial" w:eastAsia="OTNEJMQuadraat" w:hAnsi="Arial" w:cs="Arial"/>
          <w:sz w:val="22"/>
          <w:szCs w:val="22"/>
          <w:vertAlign w:val="superscript"/>
        </w:rPr>
        <w:t>9</w:t>
      </w:r>
      <w:r w:rsidR="002A240D" w:rsidRPr="002A240D">
        <w:rPr>
          <w:rFonts w:ascii="Arial" w:eastAsia="OTNEJMQuadraat" w:hAnsi="Arial" w:cs="Arial"/>
          <w:sz w:val="22"/>
          <w:szCs w:val="22"/>
        </w:rPr>
        <w:t>/L)</w:t>
      </w:r>
      <w:r w:rsidR="002A240D">
        <w:rPr>
          <w:rFonts w:ascii="Arial" w:eastAsia="OTNEJMQuadraat" w:hAnsi="Arial" w:cs="Arial"/>
          <w:sz w:val="22"/>
          <w:szCs w:val="22"/>
        </w:rPr>
        <w:t>, p</w:t>
      </w:r>
      <w:r w:rsidR="002A240D" w:rsidRPr="002A240D">
        <w:rPr>
          <w:rFonts w:ascii="Arial" w:eastAsia="OTNEJMQuadraat" w:hAnsi="Arial" w:cs="Arial"/>
          <w:sz w:val="22"/>
          <w:szCs w:val="22"/>
        </w:rPr>
        <w:t>latelet co</w:t>
      </w:r>
      <w:r w:rsidR="002A240D">
        <w:rPr>
          <w:rFonts w:ascii="Arial" w:eastAsia="OTNEJMQuadraat" w:hAnsi="Arial" w:cs="Arial"/>
          <w:sz w:val="22"/>
          <w:szCs w:val="22"/>
        </w:rPr>
        <w:t>unt ≥100,000/mm</w:t>
      </w:r>
      <w:r w:rsidR="002A240D" w:rsidRPr="002A240D">
        <w:rPr>
          <w:rFonts w:ascii="Arial" w:eastAsia="OTNEJMQuadraat" w:hAnsi="Arial" w:cs="Arial"/>
          <w:sz w:val="22"/>
          <w:szCs w:val="22"/>
          <w:vertAlign w:val="superscript"/>
        </w:rPr>
        <w:t>3</w:t>
      </w:r>
      <w:r w:rsidR="002A240D">
        <w:rPr>
          <w:rFonts w:ascii="Arial" w:eastAsia="OTNEJMQuadraat" w:hAnsi="Arial" w:cs="Arial"/>
          <w:sz w:val="22"/>
          <w:szCs w:val="22"/>
        </w:rPr>
        <w:t xml:space="preserve"> (≥100x10</w:t>
      </w:r>
      <w:r w:rsidR="002A240D" w:rsidRPr="002A240D">
        <w:rPr>
          <w:rFonts w:ascii="Arial" w:eastAsia="OTNEJMQuadraat" w:hAnsi="Arial" w:cs="Arial"/>
          <w:sz w:val="22"/>
          <w:szCs w:val="22"/>
          <w:vertAlign w:val="superscript"/>
        </w:rPr>
        <w:t>9</w:t>
      </w:r>
      <w:r w:rsidR="002A240D">
        <w:rPr>
          <w:rFonts w:ascii="Arial" w:eastAsia="OTNEJMQuadraat" w:hAnsi="Arial" w:cs="Arial"/>
          <w:sz w:val="22"/>
          <w:szCs w:val="22"/>
        </w:rPr>
        <w:t>/L), haemoglobin ≥9g/dL (≥90g/L), s</w:t>
      </w:r>
      <w:r w:rsidR="00F71FF4">
        <w:rPr>
          <w:rFonts w:ascii="Arial" w:eastAsia="OTNEJMQuadraat" w:hAnsi="Arial" w:cs="Arial"/>
          <w:sz w:val="22"/>
          <w:szCs w:val="22"/>
        </w:rPr>
        <w:t>erum creatinine ≤1.5x</w:t>
      </w:r>
      <w:r w:rsidR="002A240D">
        <w:rPr>
          <w:rFonts w:ascii="Arial" w:eastAsia="OTNEJMQuadraat" w:hAnsi="Arial" w:cs="Arial"/>
          <w:sz w:val="22"/>
          <w:szCs w:val="22"/>
        </w:rPr>
        <w:t>ULN, t</w:t>
      </w:r>
      <w:r w:rsidR="00F71FF4">
        <w:rPr>
          <w:rFonts w:ascii="Arial" w:eastAsia="OTNEJMQuadraat" w:hAnsi="Arial" w:cs="Arial"/>
          <w:sz w:val="22"/>
          <w:szCs w:val="22"/>
        </w:rPr>
        <w:t>otal bilirubin ≤1.5x</w:t>
      </w:r>
      <w:r w:rsidR="002A240D" w:rsidRPr="002A240D">
        <w:rPr>
          <w:rFonts w:ascii="Arial" w:eastAsia="OTNEJMQuadraat" w:hAnsi="Arial" w:cs="Arial"/>
          <w:sz w:val="22"/>
          <w:szCs w:val="22"/>
        </w:rPr>
        <w:t>ULN</w:t>
      </w:r>
      <w:r w:rsidR="002A240D">
        <w:rPr>
          <w:rFonts w:ascii="Arial" w:eastAsia="OTNEJMQuadraat" w:hAnsi="Arial" w:cs="Arial"/>
          <w:sz w:val="22"/>
          <w:szCs w:val="22"/>
        </w:rPr>
        <w:t xml:space="preserve">, </w:t>
      </w:r>
      <w:r w:rsidR="00F71FF4">
        <w:rPr>
          <w:rFonts w:ascii="Arial" w:eastAsia="OTNEJMQuadraat" w:hAnsi="Arial" w:cs="Arial"/>
          <w:sz w:val="22"/>
          <w:szCs w:val="22"/>
        </w:rPr>
        <w:t>ALT and AST ≤3x</w:t>
      </w:r>
      <w:r w:rsidR="002A240D" w:rsidRPr="002A240D">
        <w:rPr>
          <w:rFonts w:ascii="Arial" w:eastAsia="OTNEJMQuadraat" w:hAnsi="Arial" w:cs="Arial"/>
          <w:sz w:val="22"/>
          <w:szCs w:val="22"/>
        </w:rPr>
        <w:t>ULN</w:t>
      </w:r>
      <w:r w:rsidR="002A240D">
        <w:rPr>
          <w:rFonts w:ascii="Arial" w:eastAsia="OTNEJMQuadraat" w:hAnsi="Arial" w:cs="Arial"/>
          <w:sz w:val="22"/>
          <w:szCs w:val="22"/>
        </w:rPr>
        <w:t xml:space="preserve"> or </w:t>
      </w:r>
      <w:r w:rsidR="00F71FF4">
        <w:rPr>
          <w:rFonts w:ascii="Arial" w:eastAsia="OTNEJMQuadraat" w:hAnsi="Arial" w:cs="Arial"/>
          <w:sz w:val="22"/>
          <w:szCs w:val="22"/>
        </w:rPr>
        <w:t>≤5x</w:t>
      </w:r>
      <w:r w:rsidR="002A240D" w:rsidRPr="002A240D">
        <w:rPr>
          <w:rFonts w:ascii="Arial" w:eastAsia="OTNEJMQuadraat" w:hAnsi="Arial" w:cs="Arial"/>
          <w:sz w:val="22"/>
          <w:szCs w:val="22"/>
        </w:rPr>
        <w:t>ULN</w:t>
      </w:r>
      <w:r w:rsidR="002A240D">
        <w:rPr>
          <w:rFonts w:ascii="Arial" w:eastAsia="OTNEJMQuadraat" w:hAnsi="Arial" w:cs="Arial"/>
          <w:sz w:val="22"/>
          <w:szCs w:val="22"/>
        </w:rPr>
        <w:t xml:space="preserve"> i</w:t>
      </w:r>
      <w:r w:rsidR="002A240D" w:rsidRPr="002A240D">
        <w:rPr>
          <w:rFonts w:ascii="Arial" w:eastAsia="OTNEJMQuadraat" w:hAnsi="Arial" w:cs="Arial"/>
          <w:sz w:val="22"/>
          <w:szCs w:val="22"/>
        </w:rPr>
        <w:t>n the presence of liver metastases</w:t>
      </w:r>
      <w:r w:rsidR="002A240D">
        <w:rPr>
          <w:rFonts w:ascii="Arial" w:eastAsia="OTNEJMQuadraat" w:hAnsi="Arial" w:cs="Arial"/>
          <w:sz w:val="22"/>
          <w:szCs w:val="22"/>
        </w:rPr>
        <w:t xml:space="preserve">) </w:t>
      </w:r>
      <w:r w:rsidR="000B36BC">
        <w:rPr>
          <w:rFonts w:ascii="Arial" w:eastAsia="OTNEJMQuadraat" w:hAnsi="Arial" w:cs="Arial"/>
          <w:sz w:val="22"/>
          <w:szCs w:val="22"/>
        </w:rPr>
        <w:t xml:space="preserve">and </w:t>
      </w:r>
      <w:r>
        <w:rPr>
          <w:rFonts w:ascii="Arial" w:eastAsia="OTNEJMQuadraat" w:hAnsi="Arial" w:cs="Arial"/>
          <w:sz w:val="22"/>
          <w:szCs w:val="22"/>
        </w:rPr>
        <w:t xml:space="preserve">for </w:t>
      </w:r>
      <w:r w:rsidR="00F72DA5">
        <w:rPr>
          <w:rFonts w:ascii="Arial" w:eastAsia="OTNEJMQuadraat" w:hAnsi="Arial" w:cs="Arial"/>
          <w:sz w:val="22"/>
          <w:szCs w:val="22"/>
        </w:rPr>
        <w:t xml:space="preserve">cohorts C and D if baseline </w:t>
      </w:r>
      <w:r w:rsidR="00F72DA5" w:rsidRPr="00F72DA5">
        <w:rPr>
          <w:rFonts w:ascii="Arial" w:eastAsia="OTNEJMQuadraat" w:hAnsi="Arial" w:cs="Arial"/>
          <w:sz w:val="22"/>
          <w:szCs w:val="22"/>
        </w:rPr>
        <w:t xml:space="preserve">glycosylated haemoglobin (HbA1c) </w:t>
      </w:r>
      <w:r w:rsidR="00D63E7D">
        <w:rPr>
          <w:rFonts w:ascii="Arial" w:eastAsia="OTNEJMQuadraat" w:hAnsi="Arial" w:cs="Arial"/>
          <w:sz w:val="22"/>
          <w:szCs w:val="22"/>
        </w:rPr>
        <w:t xml:space="preserve">was </w:t>
      </w:r>
      <w:r w:rsidR="00F72DA5" w:rsidRPr="00F72DA5">
        <w:rPr>
          <w:rFonts w:ascii="Arial" w:eastAsia="OTNEJMQuadraat" w:hAnsi="Arial" w:cs="Arial"/>
          <w:sz w:val="22"/>
          <w:szCs w:val="22"/>
        </w:rPr>
        <w:t>≥8.0% (64mmol/mol)</w:t>
      </w:r>
      <w:r w:rsidR="00F72DA5">
        <w:rPr>
          <w:rFonts w:ascii="Arial" w:eastAsia="OTNEJMQuadraat" w:hAnsi="Arial" w:cs="Arial"/>
          <w:sz w:val="22"/>
          <w:szCs w:val="22"/>
        </w:rPr>
        <w:t>,</w:t>
      </w:r>
      <w:r w:rsidR="00F72DA5" w:rsidRPr="00F72DA5">
        <w:rPr>
          <w:rFonts w:ascii="Arial" w:eastAsia="OTNEJMQuadraat" w:hAnsi="Arial" w:cs="Arial"/>
          <w:sz w:val="22"/>
          <w:szCs w:val="22"/>
        </w:rPr>
        <w:t xml:space="preserve"> or fasting plasma</w:t>
      </w:r>
      <w:r w:rsidR="00F72DA5">
        <w:rPr>
          <w:rFonts w:ascii="Arial" w:eastAsia="OTNEJMQuadraat" w:hAnsi="Arial" w:cs="Arial"/>
          <w:sz w:val="22"/>
          <w:szCs w:val="22"/>
        </w:rPr>
        <w:t xml:space="preserve"> </w:t>
      </w:r>
      <w:r w:rsidR="00F72DA5" w:rsidRPr="00F72DA5">
        <w:rPr>
          <w:rFonts w:ascii="Arial" w:eastAsia="OTNEJMQuadraat" w:hAnsi="Arial" w:cs="Arial"/>
          <w:sz w:val="22"/>
          <w:szCs w:val="22"/>
        </w:rPr>
        <w:t>glucose ≥7.0mmol/L (126mg/dL)</w:t>
      </w:r>
      <w:r w:rsidR="00F72DA5">
        <w:rPr>
          <w:rFonts w:ascii="Arial" w:eastAsia="OTNEJMQuadraat" w:hAnsi="Arial" w:cs="Arial"/>
          <w:sz w:val="22"/>
          <w:szCs w:val="22"/>
        </w:rPr>
        <w:t>, or</w:t>
      </w:r>
      <w:r w:rsidR="00BF18A0">
        <w:rPr>
          <w:rFonts w:ascii="Arial" w:eastAsia="OTNEJMQuadraat" w:hAnsi="Arial" w:cs="Arial"/>
          <w:sz w:val="22"/>
          <w:szCs w:val="22"/>
        </w:rPr>
        <w:t xml:space="preserve"> if a patient </w:t>
      </w:r>
      <w:r w:rsidR="00F72DA5">
        <w:rPr>
          <w:rFonts w:ascii="Arial" w:eastAsia="OTNEJMQuadraat" w:hAnsi="Arial" w:cs="Arial"/>
          <w:sz w:val="22"/>
          <w:szCs w:val="22"/>
        </w:rPr>
        <w:t>had</w:t>
      </w:r>
      <w:r w:rsidR="00F72DA5" w:rsidRPr="00F72DA5">
        <w:rPr>
          <w:rFonts w:ascii="Arial" w:eastAsia="OTNEJMQuadraat" w:hAnsi="Arial" w:cs="Arial"/>
          <w:sz w:val="22"/>
          <w:szCs w:val="22"/>
        </w:rPr>
        <w:t xml:space="preserve"> </w:t>
      </w:r>
      <w:r w:rsidR="00F72DA5">
        <w:rPr>
          <w:rFonts w:ascii="Arial" w:eastAsia="OTNEJMQuadraat" w:hAnsi="Arial" w:cs="Arial"/>
          <w:sz w:val="22"/>
          <w:szCs w:val="22"/>
        </w:rPr>
        <w:t>poorly</w:t>
      </w:r>
      <w:r w:rsidR="00F72DA5" w:rsidRPr="00F72DA5">
        <w:rPr>
          <w:rFonts w:ascii="Arial" w:eastAsia="OTNEJMQuadraat" w:hAnsi="Arial" w:cs="Arial"/>
          <w:sz w:val="22"/>
          <w:szCs w:val="22"/>
        </w:rPr>
        <w:t xml:space="preserve"> controlled diabetes mellitus</w:t>
      </w:r>
      <w:r w:rsidR="00F72DA5">
        <w:rPr>
          <w:rFonts w:ascii="Arial" w:eastAsia="OTNEJMQuadraat" w:hAnsi="Arial" w:cs="Arial"/>
          <w:sz w:val="22"/>
          <w:szCs w:val="22"/>
        </w:rPr>
        <w:t>.</w:t>
      </w:r>
      <w:r w:rsidR="004C7F86">
        <w:rPr>
          <w:rFonts w:ascii="Arial" w:eastAsia="OTNEJMQuadraat" w:hAnsi="Arial" w:cs="Arial"/>
          <w:sz w:val="22"/>
          <w:szCs w:val="22"/>
        </w:rPr>
        <w:t xml:space="preserve"> </w:t>
      </w:r>
      <w:r w:rsidR="00846BBC">
        <w:rPr>
          <w:rFonts w:ascii="Arial" w:eastAsia="OTNEJMQuadraat" w:hAnsi="Arial" w:cs="Arial"/>
          <w:sz w:val="22"/>
          <w:szCs w:val="22"/>
        </w:rPr>
        <w:t xml:space="preserve">Clinically significant or uncontrolled cardiac disease and QTc prolongation (&gt;470ms) were exclusion criteria for Cohort B. </w:t>
      </w:r>
    </w:p>
    <w:p w14:paraId="48E9C2DE" w14:textId="77777777" w:rsidR="00A15874" w:rsidRDefault="00A15874" w:rsidP="00F72DA5">
      <w:pPr>
        <w:autoSpaceDE w:val="0"/>
        <w:autoSpaceDN w:val="0"/>
        <w:adjustRightInd w:val="0"/>
        <w:jc w:val="both"/>
        <w:rPr>
          <w:rFonts w:ascii="Arial" w:eastAsia="OTNEJMQuadraat" w:hAnsi="Arial" w:cs="Arial"/>
          <w:sz w:val="22"/>
          <w:szCs w:val="22"/>
        </w:rPr>
      </w:pPr>
    </w:p>
    <w:p w14:paraId="354B99F7" w14:textId="21F39C41" w:rsidR="00361AB0" w:rsidRDefault="00C82715" w:rsidP="00361AB0">
      <w:pPr>
        <w:autoSpaceDE w:val="0"/>
        <w:autoSpaceDN w:val="0"/>
        <w:adjustRightInd w:val="0"/>
        <w:jc w:val="both"/>
        <w:rPr>
          <w:rFonts w:ascii="Arial" w:eastAsia="OTNEJMQuadraat" w:hAnsi="Arial" w:cs="Arial"/>
          <w:sz w:val="22"/>
          <w:szCs w:val="22"/>
        </w:rPr>
      </w:pPr>
      <w:r>
        <w:rPr>
          <w:rFonts w:ascii="Arial" w:eastAsia="OTNEJMQuadraat" w:hAnsi="Arial" w:cs="Arial"/>
          <w:sz w:val="22"/>
          <w:szCs w:val="22"/>
        </w:rPr>
        <w:t xml:space="preserve">Once enrolled into a cohort, </w:t>
      </w:r>
      <w:r w:rsidR="00D861A0">
        <w:rPr>
          <w:rFonts w:ascii="Arial" w:eastAsia="OTNEJMQuadraat" w:hAnsi="Arial" w:cs="Arial"/>
          <w:sz w:val="22"/>
          <w:szCs w:val="22"/>
        </w:rPr>
        <w:t>treatment was given until progression</w:t>
      </w:r>
      <w:r w:rsidR="00361AB0">
        <w:rPr>
          <w:rFonts w:ascii="Arial" w:eastAsia="OTNEJMQuadraat" w:hAnsi="Arial" w:cs="Arial"/>
          <w:sz w:val="22"/>
          <w:szCs w:val="22"/>
        </w:rPr>
        <w:t>, unacceptable toxicity, or pregnancy</w:t>
      </w:r>
      <w:r w:rsidR="00D861A0">
        <w:rPr>
          <w:rFonts w:ascii="Arial" w:eastAsia="OTNEJMQuadraat" w:hAnsi="Arial" w:cs="Arial"/>
          <w:sz w:val="22"/>
          <w:szCs w:val="22"/>
        </w:rPr>
        <w:t xml:space="preserve">.  </w:t>
      </w:r>
      <w:r w:rsidR="00361AB0" w:rsidRPr="00361AB0">
        <w:rPr>
          <w:rFonts w:ascii="Arial" w:eastAsia="OTNEJMQuadraat" w:hAnsi="Arial" w:cs="Arial"/>
          <w:sz w:val="22"/>
          <w:szCs w:val="22"/>
        </w:rPr>
        <w:t xml:space="preserve">Participants </w:t>
      </w:r>
      <w:r w:rsidR="00361AB0">
        <w:rPr>
          <w:rFonts w:ascii="Arial" w:eastAsia="OTNEJMQuadraat" w:hAnsi="Arial" w:cs="Arial"/>
          <w:sz w:val="22"/>
          <w:szCs w:val="22"/>
        </w:rPr>
        <w:t xml:space="preserve">could </w:t>
      </w:r>
      <w:r w:rsidR="00262D81">
        <w:rPr>
          <w:rFonts w:ascii="Arial" w:eastAsia="OTNEJMQuadraat" w:hAnsi="Arial" w:cs="Arial"/>
          <w:sz w:val="22"/>
          <w:szCs w:val="22"/>
        </w:rPr>
        <w:t xml:space="preserve">also </w:t>
      </w:r>
      <w:r w:rsidR="00361AB0" w:rsidRPr="00361AB0">
        <w:rPr>
          <w:rFonts w:ascii="Arial" w:eastAsia="OTNEJMQuadraat" w:hAnsi="Arial" w:cs="Arial"/>
          <w:sz w:val="22"/>
          <w:szCs w:val="22"/>
        </w:rPr>
        <w:t>discontinue from trial treatment a</w:t>
      </w:r>
      <w:r w:rsidR="00361AB0">
        <w:rPr>
          <w:rFonts w:ascii="Arial" w:eastAsia="OTNEJMQuadraat" w:hAnsi="Arial" w:cs="Arial"/>
          <w:sz w:val="22"/>
          <w:szCs w:val="22"/>
        </w:rPr>
        <w:t>t any time at their own request</w:t>
      </w:r>
      <w:r w:rsidR="00361AB0" w:rsidRPr="00361AB0">
        <w:rPr>
          <w:rFonts w:ascii="Arial" w:eastAsia="OTNEJMQuadraat" w:hAnsi="Arial" w:cs="Arial"/>
          <w:sz w:val="22"/>
          <w:szCs w:val="22"/>
        </w:rPr>
        <w:t xml:space="preserve"> or discontinued at the discretion of the </w:t>
      </w:r>
      <w:r w:rsidR="00361AB0">
        <w:rPr>
          <w:rFonts w:ascii="Arial" w:eastAsia="OTNEJMQuadraat" w:hAnsi="Arial" w:cs="Arial"/>
          <w:sz w:val="22"/>
          <w:szCs w:val="22"/>
        </w:rPr>
        <w:t>treating clinician</w:t>
      </w:r>
      <w:r w:rsidR="00361AB0" w:rsidRPr="00361AB0">
        <w:rPr>
          <w:rFonts w:ascii="Arial" w:eastAsia="OTNEJMQuadraat" w:hAnsi="Arial" w:cs="Arial"/>
          <w:sz w:val="22"/>
          <w:szCs w:val="22"/>
        </w:rPr>
        <w:t xml:space="preserve">. </w:t>
      </w:r>
      <w:r w:rsidR="00BC6719">
        <w:rPr>
          <w:rFonts w:ascii="Arial" w:eastAsia="OTNEJMQuadraat" w:hAnsi="Arial" w:cs="Arial"/>
          <w:sz w:val="22"/>
          <w:szCs w:val="22"/>
        </w:rPr>
        <w:t xml:space="preserve">Within each </w:t>
      </w:r>
      <w:r w:rsidR="00141971">
        <w:rPr>
          <w:rFonts w:ascii="Arial" w:eastAsia="OTNEJMQuadraat" w:hAnsi="Arial" w:cs="Arial"/>
          <w:sz w:val="22"/>
          <w:szCs w:val="22"/>
        </w:rPr>
        <w:t xml:space="preserve">cohort, dose </w:t>
      </w:r>
      <w:r w:rsidR="00BC6719">
        <w:rPr>
          <w:rFonts w:ascii="Arial" w:eastAsia="OTNEJMQuadraat" w:hAnsi="Arial" w:cs="Arial"/>
          <w:sz w:val="22"/>
          <w:szCs w:val="22"/>
        </w:rPr>
        <w:t>modifications were permitted for patients experiencing toxicities related to treatment (appendix p</w:t>
      </w:r>
      <w:r w:rsidR="00742DE9">
        <w:rPr>
          <w:rFonts w:ascii="Arial" w:eastAsia="OTNEJMQuadraat" w:hAnsi="Arial" w:cs="Arial"/>
          <w:sz w:val="22"/>
          <w:szCs w:val="22"/>
        </w:rPr>
        <w:t>8</w:t>
      </w:r>
      <w:r w:rsidR="00BC6719">
        <w:rPr>
          <w:rFonts w:ascii="Arial" w:eastAsia="OTNEJMQuadraat" w:hAnsi="Arial" w:cs="Arial"/>
          <w:sz w:val="22"/>
          <w:szCs w:val="22"/>
        </w:rPr>
        <w:t>)</w:t>
      </w:r>
      <w:r w:rsidR="00141971">
        <w:rPr>
          <w:rFonts w:ascii="Arial" w:eastAsia="OTNEJMQuadraat" w:hAnsi="Arial" w:cs="Arial"/>
          <w:sz w:val="22"/>
          <w:szCs w:val="22"/>
        </w:rPr>
        <w:t xml:space="preserve">  </w:t>
      </w:r>
    </w:p>
    <w:p w14:paraId="4DEEA647" w14:textId="77777777" w:rsidR="006D7D88" w:rsidRPr="00361AB0" w:rsidRDefault="006D7D88" w:rsidP="00361AB0">
      <w:pPr>
        <w:autoSpaceDE w:val="0"/>
        <w:autoSpaceDN w:val="0"/>
        <w:adjustRightInd w:val="0"/>
        <w:jc w:val="both"/>
        <w:rPr>
          <w:rFonts w:ascii="Arial" w:eastAsia="OTNEJMQuadraat" w:hAnsi="Arial" w:cs="Arial"/>
          <w:sz w:val="22"/>
          <w:szCs w:val="22"/>
        </w:rPr>
      </w:pPr>
    </w:p>
    <w:p w14:paraId="4E51AA7B" w14:textId="688882E6" w:rsidR="00683255" w:rsidRPr="00742DE9" w:rsidRDefault="00D861A0" w:rsidP="00361AB0">
      <w:pPr>
        <w:autoSpaceDE w:val="0"/>
        <w:autoSpaceDN w:val="0"/>
        <w:adjustRightInd w:val="0"/>
        <w:jc w:val="both"/>
        <w:rPr>
          <w:rFonts w:ascii="Arial" w:eastAsia="OTNEJMQuadraat" w:hAnsi="Arial" w:cs="Arial"/>
          <w:sz w:val="22"/>
          <w:szCs w:val="22"/>
        </w:rPr>
      </w:pPr>
      <w:r>
        <w:rPr>
          <w:rFonts w:ascii="Arial" w:eastAsia="OTNEJMQuadraat" w:hAnsi="Arial" w:cs="Arial"/>
          <w:sz w:val="22"/>
          <w:szCs w:val="22"/>
        </w:rPr>
        <w:t>P</w:t>
      </w:r>
      <w:r w:rsidR="00C82715">
        <w:rPr>
          <w:rFonts w:ascii="Arial" w:eastAsia="OTNEJMQuadraat" w:hAnsi="Arial" w:cs="Arial"/>
          <w:sz w:val="22"/>
          <w:szCs w:val="22"/>
        </w:rPr>
        <w:t>a</w:t>
      </w:r>
      <w:r w:rsidR="00E014D8">
        <w:rPr>
          <w:rFonts w:ascii="Arial" w:eastAsia="OTNEJMQuadraat" w:hAnsi="Arial" w:cs="Arial"/>
          <w:sz w:val="22"/>
          <w:szCs w:val="22"/>
        </w:rPr>
        <w:t>tie</w:t>
      </w:r>
      <w:r w:rsidR="00C82715">
        <w:rPr>
          <w:rFonts w:ascii="Arial" w:eastAsia="OTNEJMQuadraat" w:hAnsi="Arial" w:cs="Arial"/>
          <w:sz w:val="22"/>
          <w:szCs w:val="22"/>
        </w:rPr>
        <w:t xml:space="preserve">nts underwent </w:t>
      </w:r>
      <w:r w:rsidR="00C82715" w:rsidRPr="00734159">
        <w:rPr>
          <w:rFonts w:ascii="Arial" w:eastAsia="OTNEJMQuadraat" w:hAnsi="Arial" w:cs="Arial"/>
          <w:sz w:val="22"/>
          <w:szCs w:val="22"/>
        </w:rPr>
        <w:t xml:space="preserve">CT or MRI </w:t>
      </w:r>
      <w:r w:rsidR="00C82715">
        <w:rPr>
          <w:rFonts w:ascii="Arial" w:eastAsia="OTNEJMQuadraat" w:hAnsi="Arial" w:cs="Arial"/>
          <w:sz w:val="22"/>
          <w:szCs w:val="22"/>
        </w:rPr>
        <w:t>scan</w:t>
      </w:r>
      <w:r w:rsidR="00C82715" w:rsidRPr="00734159">
        <w:rPr>
          <w:rFonts w:ascii="Arial" w:eastAsia="OTNEJMQuadraat" w:hAnsi="Arial" w:cs="Arial"/>
          <w:sz w:val="22"/>
          <w:szCs w:val="22"/>
        </w:rPr>
        <w:t xml:space="preserve"> and bone scan at baseline, </w:t>
      </w:r>
      <w:r w:rsidR="00C82715">
        <w:rPr>
          <w:rFonts w:ascii="Arial" w:eastAsia="OTNEJMQuadraat" w:hAnsi="Arial" w:cs="Arial"/>
          <w:sz w:val="22"/>
          <w:szCs w:val="22"/>
        </w:rPr>
        <w:t xml:space="preserve">with </w:t>
      </w:r>
      <w:r w:rsidR="00C82715" w:rsidRPr="00734159">
        <w:rPr>
          <w:rFonts w:ascii="Arial" w:eastAsia="OTNEJMQuadraat" w:hAnsi="Arial" w:cs="Arial"/>
          <w:sz w:val="22"/>
          <w:szCs w:val="22"/>
        </w:rPr>
        <w:t xml:space="preserve">CT or MRI </w:t>
      </w:r>
      <w:r w:rsidR="00C82715">
        <w:rPr>
          <w:rFonts w:ascii="Arial" w:eastAsia="OTNEJMQuadraat" w:hAnsi="Arial" w:cs="Arial"/>
          <w:sz w:val="22"/>
          <w:szCs w:val="22"/>
        </w:rPr>
        <w:t>scan</w:t>
      </w:r>
      <w:r w:rsidR="00C82715" w:rsidRPr="00734159">
        <w:rPr>
          <w:rFonts w:ascii="Arial" w:eastAsia="OTNEJMQuadraat" w:hAnsi="Arial" w:cs="Arial"/>
          <w:sz w:val="22"/>
          <w:szCs w:val="22"/>
        </w:rPr>
        <w:t xml:space="preserve"> </w:t>
      </w:r>
      <w:r w:rsidR="00C82715">
        <w:rPr>
          <w:rFonts w:ascii="Arial" w:eastAsia="OTNEJMQuadraat" w:hAnsi="Arial" w:cs="Arial"/>
          <w:sz w:val="22"/>
          <w:szCs w:val="22"/>
        </w:rPr>
        <w:t xml:space="preserve">repeated </w:t>
      </w:r>
      <w:r w:rsidR="00C82715" w:rsidRPr="00734159">
        <w:rPr>
          <w:rFonts w:ascii="Arial" w:eastAsia="OTNEJMQuadraat" w:hAnsi="Arial" w:cs="Arial"/>
          <w:sz w:val="22"/>
          <w:szCs w:val="22"/>
        </w:rPr>
        <w:t>8 week</w:t>
      </w:r>
      <w:r w:rsidR="00B41ADF">
        <w:rPr>
          <w:rFonts w:ascii="Arial" w:eastAsia="OTNEJMQuadraat" w:hAnsi="Arial" w:cs="Arial"/>
          <w:sz w:val="22"/>
          <w:szCs w:val="22"/>
        </w:rPr>
        <w:t>ly</w:t>
      </w:r>
      <w:r w:rsidR="00C82715" w:rsidRPr="00734159">
        <w:rPr>
          <w:rFonts w:ascii="Arial" w:eastAsia="OTNEJMQuadraat" w:hAnsi="Arial" w:cs="Arial"/>
          <w:sz w:val="22"/>
          <w:szCs w:val="22"/>
        </w:rPr>
        <w:t xml:space="preserve"> until 32 weeks, 12 week</w:t>
      </w:r>
      <w:r w:rsidR="00B41ADF">
        <w:rPr>
          <w:rFonts w:ascii="Arial" w:eastAsia="OTNEJMQuadraat" w:hAnsi="Arial" w:cs="Arial"/>
          <w:sz w:val="22"/>
          <w:szCs w:val="22"/>
        </w:rPr>
        <w:t>ly</w:t>
      </w:r>
      <w:r w:rsidR="00C82715" w:rsidRPr="00734159">
        <w:rPr>
          <w:rFonts w:ascii="Arial" w:eastAsia="OTNEJMQuadraat" w:hAnsi="Arial" w:cs="Arial"/>
          <w:sz w:val="22"/>
          <w:szCs w:val="22"/>
        </w:rPr>
        <w:t xml:space="preserve"> thereafter</w:t>
      </w:r>
      <w:r w:rsidR="00E66240">
        <w:rPr>
          <w:rFonts w:ascii="Arial" w:eastAsia="OTNEJMQuadraat" w:hAnsi="Arial" w:cs="Arial"/>
          <w:sz w:val="22"/>
          <w:szCs w:val="22"/>
        </w:rPr>
        <w:t xml:space="preserve"> for disease evaluation using RECIST v1.1</w:t>
      </w:r>
      <w:r w:rsidR="00C82715" w:rsidRPr="00734159">
        <w:rPr>
          <w:rFonts w:ascii="Arial" w:eastAsia="OTNEJMQuadraat" w:hAnsi="Arial" w:cs="Arial"/>
          <w:sz w:val="22"/>
          <w:szCs w:val="22"/>
        </w:rPr>
        <w:t>.</w:t>
      </w:r>
      <w:r w:rsidR="00AB18F1">
        <w:rPr>
          <w:rFonts w:ascii="Arial" w:eastAsia="OTNEJMQuadraat" w:hAnsi="Arial" w:cs="Arial"/>
          <w:sz w:val="22"/>
          <w:szCs w:val="22"/>
        </w:rPr>
        <w:t xml:space="preserve"> There was no independent central review of disease </w:t>
      </w:r>
      <w:r w:rsidR="00C35766">
        <w:rPr>
          <w:rFonts w:ascii="Arial" w:eastAsia="OTNEJMQuadraat" w:hAnsi="Arial" w:cs="Arial"/>
          <w:sz w:val="22"/>
          <w:szCs w:val="22"/>
        </w:rPr>
        <w:t>outcome</w:t>
      </w:r>
      <w:r w:rsidR="00AB18F1">
        <w:rPr>
          <w:rFonts w:ascii="Arial" w:eastAsia="OTNEJMQuadraat" w:hAnsi="Arial" w:cs="Arial"/>
          <w:sz w:val="22"/>
          <w:szCs w:val="22"/>
        </w:rPr>
        <w:t>.</w:t>
      </w:r>
      <w:r w:rsidR="00C82715" w:rsidRPr="00C82715">
        <w:rPr>
          <w:rFonts w:ascii="Arial" w:eastAsia="OTNEJMQuadraat" w:hAnsi="Arial" w:cs="Arial"/>
          <w:sz w:val="22"/>
          <w:szCs w:val="22"/>
        </w:rPr>
        <w:t xml:space="preserve"> </w:t>
      </w:r>
      <w:r w:rsidR="00C82715" w:rsidRPr="00734159">
        <w:rPr>
          <w:rFonts w:ascii="Arial" w:eastAsia="OTNEJMQuadraat" w:hAnsi="Arial" w:cs="Arial"/>
          <w:sz w:val="22"/>
          <w:szCs w:val="22"/>
        </w:rPr>
        <w:t>Laboratory asse</w:t>
      </w:r>
      <w:r w:rsidR="00C82715">
        <w:rPr>
          <w:rFonts w:ascii="Arial" w:eastAsia="OTNEJMQuadraat" w:hAnsi="Arial" w:cs="Arial"/>
          <w:sz w:val="22"/>
          <w:szCs w:val="22"/>
        </w:rPr>
        <w:t xml:space="preserve">ssments, </w:t>
      </w:r>
      <w:r w:rsidR="00C82715" w:rsidRPr="00B14BFD">
        <w:rPr>
          <w:rFonts w:ascii="Arial" w:eastAsia="OTNEJMQuadraat" w:hAnsi="Arial" w:cs="Arial"/>
          <w:sz w:val="22"/>
          <w:szCs w:val="22"/>
        </w:rPr>
        <w:t>adverse event recording and vital signs were performed at least every 4 weeks.</w:t>
      </w:r>
      <w:r w:rsidR="001E0536">
        <w:rPr>
          <w:rFonts w:ascii="Arial" w:eastAsia="OTNEJMQuadraat" w:hAnsi="Arial" w:cs="Arial"/>
          <w:sz w:val="22"/>
          <w:szCs w:val="22"/>
        </w:rPr>
        <w:t xml:space="preserve"> </w:t>
      </w:r>
      <w:r w:rsidR="00605625" w:rsidRPr="00605625">
        <w:rPr>
          <w:rFonts w:ascii="Arial" w:eastAsia="OTNEJMQuadraat" w:hAnsi="Arial" w:cs="Arial"/>
          <w:sz w:val="22"/>
          <w:szCs w:val="22"/>
        </w:rPr>
        <w:t>Toxicity was assessed using National Cancer Institute Common Terminology Criteria for Adverse Events (CTCAE) version 4. Coding was done by use of the Medical Dictionary for R</w:t>
      </w:r>
      <w:r w:rsidR="00605625">
        <w:rPr>
          <w:rFonts w:ascii="Arial" w:eastAsia="OTNEJMQuadraat" w:hAnsi="Arial" w:cs="Arial"/>
          <w:sz w:val="22"/>
          <w:szCs w:val="22"/>
        </w:rPr>
        <w:t>egulatory Activities (version 22</w:t>
      </w:r>
      <w:r w:rsidR="00605625" w:rsidRPr="00605625">
        <w:rPr>
          <w:rFonts w:ascii="Arial" w:eastAsia="OTNEJMQuadraat" w:hAnsi="Arial" w:cs="Arial"/>
          <w:sz w:val="22"/>
          <w:szCs w:val="22"/>
        </w:rPr>
        <w:t xml:space="preserve">). </w:t>
      </w:r>
      <w:r w:rsidR="001E0536">
        <w:rPr>
          <w:rFonts w:ascii="Arial" w:eastAsia="OTNEJMQuadraat" w:hAnsi="Arial" w:cs="Arial"/>
          <w:sz w:val="22"/>
          <w:szCs w:val="22"/>
        </w:rPr>
        <w:t>Patients were eligible for cohort entry with detection of a mutation at any allele fraction, and also clonal dominance was not considered in eligibility.</w:t>
      </w:r>
    </w:p>
    <w:p w14:paraId="4F1C3AA5" w14:textId="77777777" w:rsidR="00373331" w:rsidRDefault="00373331" w:rsidP="00C82715">
      <w:pPr>
        <w:autoSpaceDE w:val="0"/>
        <w:autoSpaceDN w:val="0"/>
        <w:adjustRightInd w:val="0"/>
        <w:jc w:val="both"/>
        <w:rPr>
          <w:rFonts w:ascii="Arial" w:eastAsia="ScalaLancetPro" w:hAnsi="Arial" w:cs="Arial"/>
          <w:b/>
          <w:sz w:val="22"/>
          <w:szCs w:val="22"/>
          <w:lang w:val="en-US"/>
        </w:rPr>
      </w:pPr>
    </w:p>
    <w:p w14:paraId="6E7D80EE" w14:textId="7A754676" w:rsidR="00C82715" w:rsidRPr="00C82715" w:rsidRDefault="00BD7B4A" w:rsidP="00C82715">
      <w:pPr>
        <w:autoSpaceDE w:val="0"/>
        <w:autoSpaceDN w:val="0"/>
        <w:adjustRightInd w:val="0"/>
        <w:jc w:val="both"/>
        <w:rPr>
          <w:rFonts w:ascii="Arial" w:hAnsi="Arial" w:cs="Arial"/>
          <w:b/>
          <w:bCs/>
          <w:sz w:val="22"/>
          <w:szCs w:val="22"/>
          <w:lang w:val="en-US"/>
        </w:rPr>
      </w:pPr>
      <w:r>
        <w:rPr>
          <w:rFonts w:ascii="Arial" w:hAnsi="Arial" w:cs="Arial"/>
          <w:b/>
          <w:bCs/>
          <w:sz w:val="22"/>
          <w:szCs w:val="22"/>
          <w:lang w:val="en-US"/>
        </w:rPr>
        <w:t>Outcomes</w:t>
      </w:r>
    </w:p>
    <w:p w14:paraId="4F70E285" w14:textId="59751D64" w:rsidR="00A2037E" w:rsidRPr="008C7FCA" w:rsidRDefault="00537261" w:rsidP="00B1053A">
      <w:pPr>
        <w:jc w:val="both"/>
        <w:rPr>
          <w:rFonts w:ascii="Arial" w:hAnsi="Arial" w:cs="Arial"/>
          <w:b/>
          <w:sz w:val="22"/>
          <w:szCs w:val="22"/>
          <w:lang w:val="en-US"/>
        </w:rPr>
      </w:pPr>
      <w:r w:rsidRPr="008C7FCA">
        <w:rPr>
          <w:rFonts w:ascii="Arial" w:hAnsi="Arial" w:cs="Arial"/>
          <w:sz w:val="22"/>
          <w:szCs w:val="22"/>
          <w:lang w:val="en-US"/>
        </w:rPr>
        <w:t xml:space="preserve">The primary endpoint for Cohorts A–D was confirmed objective response rate </w:t>
      </w:r>
      <w:r>
        <w:rPr>
          <w:rFonts w:ascii="Arial" w:hAnsi="Arial" w:cs="Arial"/>
          <w:sz w:val="22"/>
          <w:szCs w:val="22"/>
          <w:lang w:val="en-US"/>
        </w:rPr>
        <w:t xml:space="preserve">defined as a confirmed complete response (CR) or partial response (PR) at any point during trial treatment according to </w:t>
      </w:r>
      <w:r w:rsidRPr="00734159">
        <w:rPr>
          <w:rFonts w:ascii="Arial" w:eastAsia="OTNEJMQuadraat" w:hAnsi="Arial" w:cs="Arial"/>
          <w:sz w:val="22"/>
          <w:szCs w:val="22"/>
        </w:rPr>
        <w:t xml:space="preserve">Response Evaluation Criteria in Solid </w:t>
      </w:r>
      <w:r w:rsidR="00C4772B">
        <w:rPr>
          <w:rFonts w:ascii="Arial" w:eastAsia="OTNEJMQuadraat" w:hAnsi="Arial" w:cs="Arial"/>
          <w:sz w:val="22"/>
          <w:szCs w:val="22"/>
        </w:rPr>
        <w:t>Tumour</w:t>
      </w:r>
      <w:r w:rsidRPr="00734159">
        <w:rPr>
          <w:rFonts w:ascii="Arial" w:eastAsia="OTNEJMQuadraat" w:hAnsi="Arial" w:cs="Arial"/>
          <w:sz w:val="22"/>
          <w:szCs w:val="22"/>
        </w:rPr>
        <w:t>s (RECIST) criteria, version 1.1</w:t>
      </w:r>
      <w:r w:rsidRPr="008C7FCA">
        <w:rPr>
          <w:rFonts w:ascii="Arial" w:hAnsi="Arial" w:cs="Arial"/>
          <w:sz w:val="22"/>
          <w:szCs w:val="22"/>
          <w:lang w:val="en-US"/>
        </w:rPr>
        <w:t>.</w:t>
      </w:r>
      <w:r w:rsidRPr="005E52CF">
        <w:t xml:space="preserve"> </w:t>
      </w:r>
      <w:r w:rsidRPr="005E52CF">
        <w:rPr>
          <w:rFonts w:ascii="Arial" w:hAnsi="Arial" w:cs="Arial"/>
          <w:sz w:val="22"/>
          <w:szCs w:val="22"/>
          <w:lang w:val="en-US"/>
        </w:rPr>
        <w:t>Secondary endpoints included duration of response</w:t>
      </w:r>
      <w:r w:rsidR="00D201E3">
        <w:rPr>
          <w:rFonts w:ascii="Arial" w:hAnsi="Arial" w:cs="Arial"/>
          <w:sz w:val="22"/>
          <w:szCs w:val="22"/>
          <w:lang w:val="en-US"/>
        </w:rPr>
        <w:t xml:space="preserve"> (</w:t>
      </w:r>
      <w:r w:rsidR="00D201E3" w:rsidRPr="00B855A8">
        <w:rPr>
          <w:rFonts w:ascii="Arial" w:hAnsi="Arial" w:cs="Arial"/>
          <w:sz w:val="22"/>
          <w:szCs w:val="22"/>
        </w:rPr>
        <w:t>defined as time from the first documentation of CR or PR until date of progression or last date of follow-up</w:t>
      </w:r>
      <w:r w:rsidR="00D201E3">
        <w:rPr>
          <w:rFonts w:ascii="Arial" w:hAnsi="Arial" w:cs="Arial"/>
          <w:sz w:val="22"/>
          <w:szCs w:val="22"/>
        </w:rPr>
        <w:t>)</w:t>
      </w:r>
      <w:r w:rsidRPr="005E52CF">
        <w:rPr>
          <w:rFonts w:ascii="Arial" w:hAnsi="Arial" w:cs="Arial"/>
          <w:sz w:val="22"/>
          <w:szCs w:val="22"/>
          <w:lang w:val="en-US"/>
        </w:rPr>
        <w:t>, clinical benefit rate</w:t>
      </w:r>
      <w:r w:rsidR="00D201E3">
        <w:rPr>
          <w:rFonts w:ascii="Arial" w:hAnsi="Arial" w:cs="Arial"/>
          <w:sz w:val="22"/>
          <w:szCs w:val="22"/>
          <w:lang w:val="en-US"/>
        </w:rPr>
        <w:t xml:space="preserve"> (</w:t>
      </w:r>
      <w:r w:rsidR="00D201E3" w:rsidRPr="00B855A8">
        <w:rPr>
          <w:rFonts w:ascii="Arial" w:hAnsi="Arial" w:cs="Arial"/>
          <w:sz w:val="22"/>
          <w:szCs w:val="22"/>
        </w:rPr>
        <w:t>defined as CR, PR or stable disease&gt;6 months during trial treatment</w:t>
      </w:r>
      <w:r w:rsidR="00D201E3">
        <w:rPr>
          <w:rFonts w:ascii="Arial" w:hAnsi="Arial" w:cs="Arial"/>
          <w:sz w:val="22"/>
          <w:szCs w:val="22"/>
        </w:rPr>
        <w:t>)</w:t>
      </w:r>
      <w:r w:rsidRPr="005E52CF">
        <w:rPr>
          <w:rFonts w:ascii="Arial" w:hAnsi="Arial" w:cs="Arial"/>
          <w:sz w:val="22"/>
          <w:szCs w:val="22"/>
          <w:lang w:val="en-US"/>
        </w:rPr>
        <w:t>, progression-free survival (PFS</w:t>
      </w:r>
      <w:r w:rsidR="00D201E3">
        <w:rPr>
          <w:rFonts w:ascii="Arial" w:hAnsi="Arial" w:cs="Arial"/>
          <w:sz w:val="22"/>
          <w:szCs w:val="22"/>
          <w:lang w:val="en-US"/>
        </w:rPr>
        <w:t xml:space="preserve">, </w:t>
      </w:r>
      <w:r w:rsidR="00D201E3" w:rsidRPr="00B855A8">
        <w:rPr>
          <w:rFonts w:ascii="Arial" w:hAnsi="Arial" w:cs="Arial"/>
          <w:sz w:val="22"/>
          <w:szCs w:val="22"/>
        </w:rPr>
        <w:t>defined as time from cohort entry to first date of either confirmed progressive disease according to RECIST criteria or death from any cause. Patients who were alive and progression-free were censored at date of last follow-up. Patients who had non-RECIST confirmed progression (e.g. clinical progression or radiologically confirmed but lesions not measured according to RECIST) were censored at their date of progression</w:t>
      </w:r>
      <w:r w:rsidRPr="005E52CF">
        <w:rPr>
          <w:rFonts w:ascii="Arial" w:hAnsi="Arial" w:cs="Arial"/>
          <w:sz w:val="22"/>
          <w:szCs w:val="22"/>
          <w:lang w:val="en-US"/>
        </w:rPr>
        <w:t>), safety, frequency of mutations, accuracy of ctDNA testing</w:t>
      </w:r>
      <w:r w:rsidR="00901709">
        <w:rPr>
          <w:rFonts w:ascii="Arial" w:hAnsi="Arial" w:cs="Arial"/>
          <w:sz w:val="22"/>
          <w:szCs w:val="22"/>
          <w:lang w:val="en-US"/>
        </w:rPr>
        <w:t xml:space="preserve"> by a</w:t>
      </w:r>
      <w:r w:rsidR="00901709" w:rsidRPr="00901709">
        <w:rPr>
          <w:rFonts w:ascii="Arial" w:hAnsi="Arial" w:cs="Arial"/>
          <w:sz w:val="22"/>
          <w:szCs w:val="22"/>
          <w:lang w:val="en-US"/>
        </w:rPr>
        <w:t>greement between ctDNA mutation status and tissue mutation status</w:t>
      </w:r>
      <w:r w:rsidRPr="005E52CF">
        <w:rPr>
          <w:rFonts w:ascii="Arial" w:hAnsi="Arial" w:cs="Arial"/>
          <w:sz w:val="22"/>
          <w:szCs w:val="22"/>
          <w:lang w:val="en-US"/>
        </w:rPr>
        <w:t xml:space="preserve"> and the proportion of patients entering a cohort, </w:t>
      </w:r>
      <w:r w:rsidR="00C91BEB">
        <w:rPr>
          <w:rFonts w:ascii="Arial" w:hAnsi="Arial" w:cs="Arial"/>
          <w:sz w:val="22"/>
          <w:szCs w:val="22"/>
          <w:lang w:val="en-US"/>
        </w:rPr>
        <w:t xml:space="preserve">and </w:t>
      </w:r>
      <w:r w:rsidRPr="005E52CF">
        <w:rPr>
          <w:rFonts w:ascii="Arial" w:hAnsi="Arial" w:cs="Arial"/>
          <w:sz w:val="22"/>
          <w:szCs w:val="22"/>
          <w:lang w:val="en-US"/>
        </w:rPr>
        <w:t xml:space="preserve">pharmacokinetics </w:t>
      </w:r>
      <w:r w:rsidR="005E369B">
        <w:rPr>
          <w:rFonts w:ascii="Arial" w:hAnsi="Arial" w:cs="Arial"/>
          <w:sz w:val="22"/>
          <w:szCs w:val="22"/>
          <w:lang w:val="en-US"/>
        </w:rPr>
        <w:t>(</w:t>
      </w:r>
      <w:r w:rsidRPr="005E52CF">
        <w:rPr>
          <w:rFonts w:ascii="Arial" w:hAnsi="Arial" w:cs="Arial"/>
          <w:sz w:val="22"/>
          <w:szCs w:val="22"/>
          <w:lang w:val="en-US"/>
        </w:rPr>
        <w:t>Cohort</w:t>
      </w:r>
      <w:r w:rsidR="00244D0B">
        <w:rPr>
          <w:rFonts w:ascii="Arial" w:hAnsi="Arial" w:cs="Arial"/>
          <w:sz w:val="22"/>
          <w:szCs w:val="22"/>
          <w:lang w:val="en-US"/>
        </w:rPr>
        <w:t>s</w:t>
      </w:r>
      <w:r w:rsidRPr="005E52CF">
        <w:rPr>
          <w:rFonts w:ascii="Arial" w:hAnsi="Arial" w:cs="Arial"/>
          <w:sz w:val="22"/>
          <w:szCs w:val="22"/>
          <w:lang w:val="en-US"/>
        </w:rPr>
        <w:t xml:space="preserve"> A</w:t>
      </w:r>
      <w:r w:rsidR="004C4C25">
        <w:rPr>
          <w:rFonts w:ascii="Arial" w:hAnsi="Arial" w:cs="Arial"/>
          <w:sz w:val="22"/>
          <w:szCs w:val="22"/>
          <w:lang w:val="en-US"/>
        </w:rPr>
        <w:t xml:space="preserve"> </w:t>
      </w:r>
      <w:r w:rsidR="00244D0B">
        <w:rPr>
          <w:rFonts w:ascii="Arial" w:hAnsi="Arial" w:cs="Arial"/>
          <w:sz w:val="22"/>
          <w:szCs w:val="22"/>
          <w:lang w:val="en-US"/>
        </w:rPr>
        <w:t>and B</w:t>
      </w:r>
      <w:r w:rsidR="005E369B">
        <w:rPr>
          <w:rFonts w:ascii="Arial" w:hAnsi="Arial" w:cs="Arial"/>
          <w:sz w:val="22"/>
          <w:szCs w:val="22"/>
          <w:lang w:val="en-US"/>
        </w:rPr>
        <w:t>)</w:t>
      </w:r>
      <w:r w:rsidR="00C91BEB">
        <w:rPr>
          <w:rFonts w:ascii="Arial" w:hAnsi="Arial" w:cs="Arial"/>
          <w:sz w:val="22"/>
          <w:szCs w:val="22"/>
          <w:lang w:val="en-US"/>
        </w:rPr>
        <w:t>. Exploratory endpoints included</w:t>
      </w:r>
      <w:r w:rsidR="009D01BD">
        <w:rPr>
          <w:rFonts w:ascii="Arial" w:hAnsi="Arial" w:cs="Arial"/>
          <w:sz w:val="22"/>
          <w:szCs w:val="22"/>
          <w:lang w:val="en-US"/>
        </w:rPr>
        <w:t xml:space="preserve"> confirmed response rate in clonally dominant </w:t>
      </w:r>
      <w:r w:rsidR="009D01BD" w:rsidRPr="00204635">
        <w:rPr>
          <w:rFonts w:ascii="Arial" w:hAnsi="Arial" w:cs="Arial"/>
          <w:i/>
          <w:iCs/>
          <w:sz w:val="22"/>
          <w:szCs w:val="22"/>
          <w:lang w:val="en-US"/>
        </w:rPr>
        <w:t>versus</w:t>
      </w:r>
      <w:r w:rsidR="009D01BD">
        <w:rPr>
          <w:rFonts w:ascii="Arial" w:hAnsi="Arial" w:cs="Arial"/>
          <w:sz w:val="22"/>
          <w:szCs w:val="22"/>
          <w:lang w:val="en-US"/>
        </w:rPr>
        <w:t xml:space="preserve"> sub-clonal mutations </w:t>
      </w:r>
      <w:r w:rsidR="00A50E4E">
        <w:rPr>
          <w:rFonts w:ascii="Arial" w:hAnsi="Arial" w:cs="Arial"/>
          <w:sz w:val="22"/>
          <w:szCs w:val="22"/>
          <w:lang w:val="en-US"/>
        </w:rPr>
        <w:t>in cohort A.</w:t>
      </w:r>
      <w:r w:rsidR="00BD7B4A">
        <w:rPr>
          <w:rFonts w:ascii="Arial" w:eastAsia="ScalaLancetPro" w:hAnsi="Arial" w:cs="Arial"/>
          <w:b/>
          <w:sz w:val="22"/>
          <w:szCs w:val="22"/>
          <w:lang w:val="en-US"/>
        </w:rPr>
        <w:t>Statistical analysis</w:t>
      </w:r>
    </w:p>
    <w:p w14:paraId="0CD63EC7" w14:textId="0F964F15" w:rsidR="00955832" w:rsidRDefault="003640BE" w:rsidP="00521F6D">
      <w:pPr>
        <w:jc w:val="both"/>
        <w:rPr>
          <w:rFonts w:ascii="Arial" w:hAnsi="Arial" w:cs="Arial"/>
          <w:sz w:val="22"/>
          <w:szCs w:val="22"/>
          <w:lang w:val="en-US"/>
        </w:rPr>
      </w:pPr>
      <w:r>
        <w:rPr>
          <w:rFonts w:ascii="Arial" w:hAnsi="Arial" w:cs="Arial"/>
          <w:sz w:val="22"/>
          <w:szCs w:val="22"/>
          <w:lang w:val="en-US"/>
        </w:rPr>
        <w:t xml:space="preserve">All cohorts used a single stage A’Hern design </w:t>
      </w:r>
      <w:r w:rsidRPr="005E1FA6">
        <w:rPr>
          <w:rFonts w:ascii="Arial" w:hAnsi="Arial" w:cs="Arial"/>
          <w:sz w:val="22"/>
          <w:szCs w:val="22"/>
          <w:lang w:val="en-US"/>
        </w:rPr>
        <w:t>with α=0.05, power 80%</w:t>
      </w:r>
      <w:r w:rsidR="00163E98">
        <w:rPr>
          <w:rFonts w:ascii="Arial" w:hAnsi="Arial" w:cs="Arial"/>
          <w:sz w:val="22"/>
          <w:szCs w:val="22"/>
          <w:lang w:val="en-US"/>
        </w:rPr>
        <w:t xml:space="preserve">. </w:t>
      </w:r>
      <w:r>
        <w:rPr>
          <w:rFonts w:ascii="Arial" w:hAnsi="Arial" w:cs="Arial"/>
          <w:sz w:val="22"/>
          <w:szCs w:val="22"/>
          <w:lang w:val="en-US"/>
        </w:rPr>
        <w:t>C</w:t>
      </w:r>
      <w:r w:rsidRPr="005E1FA6">
        <w:rPr>
          <w:rFonts w:ascii="Arial" w:hAnsi="Arial" w:cs="Arial"/>
          <w:sz w:val="22"/>
          <w:szCs w:val="22"/>
          <w:lang w:val="en-US"/>
        </w:rPr>
        <w:t>ohort A</w:t>
      </w:r>
      <w:r>
        <w:rPr>
          <w:rFonts w:ascii="Arial" w:hAnsi="Arial" w:cs="Arial"/>
          <w:sz w:val="22"/>
          <w:szCs w:val="22"/>
          <w:lang w:val="en-US"/>
        </w:rPr>
        <w:t xml:space="preserve"> assumed an unacceptable response rate of 10% and a target response rate of 20% </w:t>
      </w:r>
      <w:r w:rsidR="005866C3">
        <w:rPr>
          <w:rFonts w:ascii="Arial" w:hAnsi="Arial" w:cs="Arial"/>
          <w:sz w:val="22"/>
          <w:szCs w:val="22"/>
          <w:lang w:val="en-US"/>
        </w:rPr>
        <w:t xml:space="preserve">in the final design </w:t>
      </w:r>
      <w:r>
        <w:rPr>
          <w:rFonts w:ascii="Arial" w:hAnsi="Arial" w:cs="Arial"/>
          <w:sz w:val="22"/>
          <w:szCs w:val="22"/>
          <w:lang w:val="en-US"/>
        </w:rPr>
        <w:t xml:space="preserve">requiring 13 or more responses from 78 evaluable patients </w:t>
      </w:r>
      <w:r w:rsidRPr="005E1FA6">
        <w:rPr>
          <w:rFonts w:ascii="Arial" w:hAnsi="Arial" w:cs="Arial"/>
          <w:sz w:val="22"/>
          <w:szCs w:val="22"/>
          <w:lang w:val="en-US"/>
        </w:rPr>
        <w:t>to infer efficacy</w:t>
      </w:r>
      <w:r w:rsidR="00DE6DA4">
        <w:rPr>
          <w:rFonts w:ascii="Arial" w:hAnsi="Arial" w:cs="Arial"/>
          <w:sz w:val="22"/>
          <w:szCs w:val="22"/>
          <w:lang w:val="en-US"/>
        </w:rPr>
        <w:t>. This was a</w:t>
      </w:r>
      <w:r w:rsidR="00E5134A">
        <w:rPr>
          <w:rFonts w:ascii="Arial" w:hAnsi="Arial" w:cs="Arial"/>
          <w:sz w:val="22"/>
          <w:szCs w:val="22"/>
          <w:lang w:val="en-US"/>
        </w:rPr>
        <w:t>n approved</w:t>
      </w:r>
      <w:r w:rsidR="00DE6DA4">
        <w:rPr>
          <w:rFonts w:ascii="Arial" w:hAnsi="Arial" w:cs="Arial"/>
          <w:sz w:val="22"/>
          <w:szCs w:val="22"/>
          <w:lang w:val="en-US"/>
        </w:rPr>
        <w:t xml:space="preserve"> </w:t>
      </w:r>
      <w:r w:rsidR="00E5134A">
        <w:rPr>
          <w:rFonts w:ascii="Arial" w:hAnsi="Arial" w:cs="Arial"/>
          <w:sz w:val="22"/>
          <w:szCs w:val="22"/>
          <w:lang w:val="en-US"/>
        </w:rPr>
        <w:t>amendment (on 1 May 2018)</w:t>
      </w:r>
      <w:r w:rsidR="00DE6DA4">
        <w:rPr>
          <w:rFonts w:ascii="Arial" w:hAnsi="Arial" w:cs="Arial"/>
          <w:sz w:val="22"/>
          <w:szCs w:val="22"/>
          <w:lang w:val="en-US"/>
        </w:rPr>
        <w:t xml:space="preserve"> to the original </w:t>
      </w:r>
      <w:r w:rsidR="00B855C3">
        <w:rPr>
          <w:rFonts w:ascii="Arial" w:hAnsi="Arial" w:cs="Arial"/>
          <w:sz w:val="22"/>
          <w:szCs w:val="22"/>
          <w:lang w:val="en-US"/>
        </w:rPr>
        <w:t xml:space="preserve">two-stage </w:t>
      </w:r>
      <w:r w:rsidR="00DE6DA4">
        <w:rPr>
          <w:rFonts w:ascii="Arial" w:hAnsi="Arial" w:cs="Arial"/>
          <w:sz w:val="22"/>
          <w:szCs w:val="22"/>
          <w:lang w:val="en-US"/>
        </w:rPr>
        <w:t xml:space="preserve">design </w:t>
      </w:r>
      <w:r w:rsidR="00E5134A">
        <w:rPr>
          <w:rFonts w:ascii="Arial" w:hAnsi="Arial" w:cs="Arial"/>
          <w:sz w:val="22"/>
          <w:szCs w:val="22"/>
          <w:lang w:val="en-US"/>
        </w:rPr>
        <w:t xml:space="preserve">to account for </w:t>
      </w:r>
      <w:r w:rsidR="00B855C3">
        <w:rPr>
          <w:rFonts w:ascii="Arial" w:hAnsi="Arial" w:cs="Arial"/>
          <w:sz w:val="22"/>
          <w:szCs w:val="22"/>
          <w:lang w:val="en-US"/>
        </w:rPr>
        <w:t xml:space="preserve">the ctDNA testing detecting sub-clonal mutations as well as clonal mutations where the response rate was expected to be lower </w:t>
      </w:r>
      <w:r w:rsidR="005866C3">
        <w:rPr>
          <w:rFonts w:ascii="Arial" w:hAnsi="Arial" w:cs="Arial"/>
          <w:sz w:val="22"/>
          <w:szCs w:val="22"/>
          <w:lang w:val="en-US"/>
        </w:rPr>
        <w:t>(</w:t>
      </w:r>
      <w:r w:rsidR="00B855C3">
        <w:rPr>
          <w:rFonts w:ascii="Arial" w:hAnsi="Arial" w:cs="Arial"/>
          <w:sz w:val="22"/>
          <w:szCs w:val="22"/>
          <w:lang w:val="en-US"/>
        </w:rPr>
        <w:t>see</w:t>
      </w:r>
      <w:r w:rsidR="00AC6CC0">
        <w:rPr>
          <w:rFonts w:ascii="Arial" w:hAnsi="Arial" w:cs="Arial"/>
          <w:sz w:val="22"/>
          <w:szCs w:val="22"/>
          <w:lang w:val="en-US"/>
        </w:rPr>
        <w:t xml:space="preserve"> </w:t>
      </w:r>
      <w:r w:rsidR="008D341D">
        <w:rPr>
          <w:rFonts w:ascii="Arial" w:hAnsi="Arial" w:cs="Arial"/>
          <w:sz w:val="22"/>
          <w:szCs w:val="22"/>
          <w:lang w:val="en-US"/>
        </w:rPr>
        <w:t>appendix p</w:t>
      </w:r>
      <w:r w:rsidR="006642B0">
        <w:rPr>
          <w:rFonts w:ascii="Arial" w:hAnsi="Arial" w:cs="Arial"/>
          <w:sz w:val="22"/>
          <w:szCs w:val="22"/>
          <w:lang w:val="en-US"/>
        </w:rPr>
        <w:t>6</w:t>
      </w:r>
      <w:r w:rsidR="00AC6CC0">
        <w:rPr>
          <w:rFonts w:ascii="Arial" w:hAnsi="Arial" w:cs="Arial"/>
          <w:sz w:val="22"/>
          <w:szCs w:val="22"/>
          <w:lang w:val="en-US"/>
        </w:rPr>
        <w:t>)</w:t>
      </w:r>
      <w:r w:rsidR="00163E98">
        <w:rPr>
          <w:rFonts w:ascii="Arial" w:hAnsi="Arial" w:cs="Arial"/>
          <w:sz w:val="22"/>
          <w:szCs w:val="22"/>
          <w:lang w:val="en-US"/>
        </w:rPr>
        <w:t xml:space="preserve">. </w:t>
      </w:r>
      <w:r w:rsidRPr="005E1FA6">
        <w:rPr>
          <w:rFonts w:ascii="Arial" w:hAnsi="Arial" w:cs="Arial"/>
          <w:sz w:val="22"/>
          <w:szCs w:val="22"/>
          <w:lang w:val="en-US"/>
        </w:rPr>
        <w:t>Cohorts B, C</w:t>
      </w:r>
      <w:r>
        <w:rPr>
          <w:rFonts w:ascii="Arial" w:hAnsi="Arial" w:cs="Arial"/>
          <w:sz w:val="22"/>
          <w:szCs w:val="22"/>
          <w:lang w:val="en-US"/>
        </w:rPr>
        <w:t xml:space="preserve"> and</w:t>
      </w:r>
      <w:r w:rsidRPr="005E1FA6">
        <w:rPr>
          <w:rFonts w:ascii="Arial" w:hAnsi="Arial" w:cs="Arial"/>
          <w:sz w:val="22"/>
          <w:szCs w:val="22"/>
          <w:lang w:val="en-US"/>
        </w:rPr>
        <w:t xml:space="preserve"> D each </w:t>
      </w:r>
      <w:r>
        <w:rPr>
          <w:rFonts w:ascii="Arial" w:hAnsi="Arial" w:cs="Arial"/>
          <w:sz w:val="22"/>
          <w:szCs w:val="22"/>
          <w:lang w:val="en-US"/>
        </w:rPr>
        <w:t>assumed an unacceptable response rate of 5% and a target response rate of 25% requiring three or more responses from 16 evaluable patients.</w:t>
      </w:r>
      <w:r w:rsidRPr="00CC2D01">
        <w:rPr>
          <w:rFonts w:ascii="Arial" w:hAnsi="Arial" w:cs="Arial"/>
          <w:sz w:val="22"/>
          <w:szCs w:val="22"/>
          <w:lang w:val="en-US"/>
        </w:rPr>
        <w:t xml:space="preserve"> </w:t>
      </w:r>
      <w:r w:rsidR="00F52F62">
        <w:rPr>
          <w:rFonts w:ascii="Arial" w:hAnsi="Arial" w:cs="Arial"/>
          <w:sz w:val="22"/>
          <w:szCs w:val="22"/>
          <w:lang w:val="en-US"/>
        </w:rPr>
        <w:t>Over-</w:t>
      </w:r>
      <w:r w:rsidRPr="005E1FA6">
        <w:rPr>
          <w:rFonts w:ascii="Arial" w:hAnsi="Arial" w:cs="Arial"/>
          <w:sz w:val="22"/>
          <w:szCs w:val="22"/>
          <w:lang w:val="en-US"/>
        </w:rPr>
        <w:t>recruitment into Cohorts B, C and D was allowed whilst ctDNA testing remained active.</w:t>
      </w:r>
      <w:r>
        <w:rPr>
          <w:rFonts w:ascii="Arial" w:hAnsi="Arial" w:cs="Arial"/>
          <w:sz w:val="22"/>
          <w:szCs w:val="22"/>
          <w:lang w:val="en-US"/>
        </w:rPr>
        <w:t xml:space="preserve"> </w:t>
      </w:r>
      <w:r w:rsidR="00537261">
        <w:rPr>
          <w:rFonts w:ascii="Arial" w:hAnsi="Arial" w:cs="Arial"/>
          <w:sz w:val="22"/>
          <w:szCs w:val="22"/>
          <w:lang w:val="en-US"/>
        </w:rPr>
        <w:t>W</w:t>
      </w:r>
      <w:r>
        <w:rPr>
          <w:rFonts w:ascii="Arial" w:hAnsi="Arial" w:cs="Arial"/>
          <w:sz w:val="22"/>
          <w:szCs w:val="22"/>
          <w:lang w:val="en-US"/>
        </w:rPr>
        <w:t>e estimated that 1000 patients would be required to enter ctDNA testing</w:t>
      </w:r>
      <w:r w:rsidR="00537261">
        <w:rPr>
          <w:rFonts w:ascii="Arial" w:hAnsi="Arial" w:cs="Arial"/>
          <w:sz w:val="22"/>
          <w:szCs w:val="22"/>
          <w:lang w:val="en-US"/>
        </w:rPr>
        <w:t xml:space="preserve"> to recruit sufficient patients for Cohorts B and C</w:t>
      </w:r>
      <w:r w:rsidR="00721003">
        <w:rPr>
          <w:rFonts w:ascii="Arial" w:hAnsi="Arial" w:cs="Arial"/>
          <w:sz w:val="22"/>
          <w:szCs w:val="22"/>
          <w:lang w:val="en-US"/>
        </w:rPr>
        <w:t xml:space="preserve">. </w:t>
      </w:r>
      <w:r w:rsidR="00721003" w:rsidRPr="00721003">
        <w:rPr>
          <w:rFonts w:ascii="Arial" w:hAnsi="Arial" w:cs="Arial"/>
          <w:sz w:val="22"/>
          <w:szCs w:val="22"/>
          <w:lang w:val="en-US"/>
        </w:rPr>
        <w:t>This g</w:t>
      </w:r>
      <w:r w:rsidR="00EB0FF0">
        <w:rPr>
          <w:rFonts w:ascii="Arial" w:hAnsi="Arial" w:cs="Arial"/>
          <w:sz w:val="22"/>
          <w:szCs w:val="22"/>
          <w:lang w:val="en-US"/>
        </w:rPr>
        <w:t>a</w:t>
      </w:r>
      <w:r w:rsidR="00721003" w:rsidRPr="00721003">
        <w:rPr>
          <w:rFonts w:ascii="Arial" w:hAnsi="Arial" w:cs="Arial"/>
          <w:sz w:val="22"/>
          <w:szCs w:val="22"/>
          <w:lang w:val="en-US"/>
        </w:rPr>
        <w:t xml:space="preserve">ve 85% probability of identifying 25 patients for a mutation with prevalence of 3% for each of Cohorts B, C and D individually, allowing for </w:t>
      </w:r>
      <w:r w:rsidR="00721003">
        <w:rPr>
          <w:rFonts w:ascii="Arial" w:hAnsi="Arial" w:cs="Arial"/>
          <w:sz w:val="22"/>
          <w:szCs w:val="22"/>
          <w:lang w:val="en-US"/>
        </w:rPr>
        <w:t xml:space="preserve">36% </w:t>
      </w:r>
      <w:r w:rsidR="00721003" w:rsidRPr="00721003">
        <w:rPr>
          <w:rFonts w:ascii="Arial" w:hAnsi="Arial" w:cs="Arial"/>
          <w:sz w:val="22"/>
          <w:szCs w:val="22"/>
          <w:lang w:val="en-US"/>
        </w:rPr>
        <w:t xml:space="preserve">attrition </w:t>
      </w:r>
      <w:r w:rsidR="00380105">
        <w:rPr>
          <w:rFonts w:ascii="Arial" w:hAnsi="Arial" w:cs="Arial"/>
          <w:sz w:val="22"/>
          <w:szCs w:val="22"/>
          <w:lang w:val="en-US"/>
        </w:rPr>
        <w:t>between ctDNA screening and cohort entry</w:t>
      </w:r>
      <w:r w:rsidR="00537261">
        <w:rPr>
          <w:rFonts w:ascii="Arial" w:hAnsi="Arial" w:cs="Arial"/>
          <w:sz w:val="22"/>
          <w:szCs w:val="22"/>
          <w:lang w:val="en-US"/>
        </w:rPr>
        <w:t>.</w:t>
      </w:r>
      <w:r w:rsidR="0066392C">
        <w:rPr>
          <w:rFonts w:ascii="Arial" w:hAnsi="Arial" w:cs="Arial"/>
          <w:sz w:val="22"/>
          <w:szCs w:val="22"/>
          <w:lang w:val="en-US"/>
        </w:rPr>
        <w:t xml:space="preserve"> </w:t>
      </w:r>
    </w:p>
    <w:p w14:paraId="42B3B729" w14:textId="77777777" w:rsidR="00955832" w:rsidRDefault="00955832" w:rsidP="00955832">
      <w:pPr>
        <w:jc w:val="both"/>
        <w:rPr>
          <w:rFonts w:ascii="Arial" w:hAnsi="Arial" w:cs="Arial"/>
          <w:sz w:val="22"/>
          <w:szCs w:val="22"/>
        </w:rPr>
      </w:pPr>
    </w:p>
    <w:p w14:paraId="6C327AFB" w14:textId="6FF681B3" w:rsidR="00955832" w:rsidRPr="00B855A8" w:rsidRDefault="00955832" w:rsidP="00955832">
      <w:pPr>
        <w:jc w:val="both"/>
        <w:rPr>
          <w:rFonts w:ascii="Arial" w:hAnsi="Arial" w:cs="Arial"/>
          <w:sz w:val="22"/>
          <w:szCs w:val="22"/>
        </w:rPr>
      </w:pPr>
      <w:r w:rsidRPr="00B855A8">
        <w:rPr>
          <w:rFonts w:ascii="Arial" w:hAnsi="Arial" w:cs="Arial"/>
          <w:sz w:val="22"/>
          <w:szCs w:val="22"/>
        </w:rPr>
        <w:t>Objective response rate and clinical benefit rate were conducted in an evaluable population defined as those patients with measurable disease as per RECIST at baseline and at least one on-treatment assessment; patients who stopped treatment due to intolerable toxicity or death without having a scan after baseline were evaluable and recorded as non-responders. Proportions and two-sided 95%CI for estimation purposes were reported</w:t>
      </w:r>
      <w:r w:rsidR="004B343A">
        <w:rPr>
          <w:rFonts w:ascii="Arial" w:hAnsi="Arial" w:cs="Arial"/>
          <w:sz w:val="22"/>
          <w:szCs w:val="22"/>
        </w:rPr>
        <w:t xml:space="preserve"> overall for each </w:t>
      </w:r>
      <w:r w:rsidR="004B343A">
        <w:rPr>
          <w:rFonts w:ascii="Arial" w:hAnsi="Arial" w:cs="Arial"/>
          <w:sz w:val="22"/>
          <w:szCs w:val="22"/>
        </w:rPr>
        <w:lastRenderedPageBreak/>
        <w:t xml:space="preserve">cohort and, in pre-specified subgroup analyses, by </w:t>
      </w:r>
      <w:r w:rsidRPr="00B855A8">
        <w:rPr>
          <w:rFonts w:ascii="Arial" w:hAnsi="Arial" w:cs="Arial"/>
          <w:sz w:val="22"/>
          <w:szCs w:val="22"/>
        </w:rPr>
        <w:t xml:space="preserve">clonally dominant versus sub-clonal </w:t>
      </w:r>
      <w:r w:rsidRPr="00B855A8">
        <w:rPr>
          <w:rFonts w:ascii="Arial" w:hAnsi="Arial" w:cs="Arial"/>
          <w:iCs/>
          <w:sz w:val="22"/>
          <w:szCs w:val="22"/>
        </w:rPr>
        <w:t>mutations</w:t>
      </w:r>
      <w:r w:rsidR="00A64605">
        <w:rPr>
          <w:rFonts w:ascii="Arial" w:hAnsi="Arial" w:cs="Arial"/>
          <w:iCs/>
          <w:sz w:val="22"/>
          <w:szCs w:val="22"/>
        </w:rPr>
        <w:t>,</w:t>
      </w:r>
      <w:r w:rsidRPr="00B855A8">
        <w:rPr>
          <w:rFonts w:ascii="Arial" w:hAnsi="Arial" w:cs="Arial"/>
          <w:iCs/>
          <w:sz w:val="22"/>
          <w:szCs w:val="22"/>
        </w:rPr>
        <w:t xml:space="preserve"> compared using a Fisher’s exact test, and for</w:t>
      </w:r>
      <w:r w:rsidR="00A64605">
        <w:rPr>
          <w:rFonts w:ascii="Arial" w:hAnsi="Arial" w:cs="Arial"/>
          <w:iCs/>
          <w:sz w:val="22"/>
          <w:szCs w:val="22"/>
        </w:rPr>
        <w:t xml:space="preserve"> Cohort B separately looking at the HR+, HER2- subgroup and</w:t>
      </w:r>
      <w:r w:rsidRPr="00B855A8">
        <w:rPr>
          <w:rFonts w:ascii="Arial" w:hAnsi="Arial" w:cs="Arial"/>
          <w:iCs/>
          <w:sz w:val="22"/>
          <w:szCs w:val="22"/>
        </w:rPr>
        <w:t xml:space="preserve"> </w:t>
      </w:r>
      <w:r w:rsidR="00CD34E8">
        <w:rPr>
          <w:rFonts w:ascii="Arial" w:hAnsi="Arial" w:cs="Arial"/>
          <w:iCs/>
          <w:sz w:val="22"/>
          <w:szCs w:val="22"/>
        </w:rPr>
        <w:t xml:space="preserve">for </w:t>
      </w:r>
      <w:r w:rsidRPr="00B855A8">
        <w:rPr>
          <w:rFonts w:ascii="Arial" w:hAnsi="Arial" w:cs="Arial"/>
          <w:iCs/>
          <w:sz w:val="22"/>
          <w:szCs w:val="22"/>
        </w:rPr>
        <w:t xml:space="preserve">Cohort D </w:t>
      </w:r>
      <w:r w:rsidR="00CD34E8">
        <w:rPr>
          <w:rFonts w:ascii="Arial" w:hAnsi="Arial" w:cs="Arial"/>
          <w:iCs/>
          <w:sz w:val="22"/>
          <w:szCs w:val="22"/>
        </w:rPr>
        <w:t>the</w:t>
      </w:r>
      <w:r w:rsidRPr="00B855A8">
        <w:rPr>
          <w:rFonts w:ascii="Arial" w:hAnsi="Arial" w:cs="Arial"/>
          <w:iCs/>
          <w:sz w:val="22"/>
          <w:szCs w:val="22"/>
        </w:rPr>
        <w:t xml:space="preserve"> </w:t>
      </w:r>
      <w:r w:rsidRPr="00B855A8">
        <w:rPr>
          <w:rFonts w:ascii="Arial" w:hAnsi="Arial" w:cs="Arial"/>
          <w:i/>
          <w:iCs/>
          <w:sz w:val="22"/>
          <w:szCs w:val="22"/>
        </w:rPr>
        <w:t>AKT1</w:t>
      </w:r>
      <w:r w:rsidRPr="00B855A8">
        <w:rPr>
          <w:rFonts w:ascii="Arial" w:hAnsi="Arial" w:cs="Arial"/>
          <w:iCs/>
          <w:sz w:val="22"/>
          <w:szCs w:val="22"/>
        </w:rPr>
        <w:t xml:space="preserve"> </w:t>
      </w:r>
      <w:r w:rsidR="00CD34E8">
        <w:rPr>
          <w:rFonts w:ascii="Arial" w:hAnsi="Arial" w:cs="Arial"/>
          <w:iCs/>
          <w:sz w:val="22"/>
          <w:szCs w:val="22"/>
        </w:rPr>
        <w:t>and</w:t>
      </w:r>
      <w:r w:rsidRPr="00B855A8">
        <w:rPr>
          <w:rFonts w:ascii="Arial" w:hAnsi="Arial" w:cs="Arial"/>
          <w:iCs/>
          <w:sz w:val="22"/>
          <w:szCs w:val="22"/>
        </w:rPr>
        <w:t xml:space="preserve"> </w:t>
      </w:r>
      <w:r w:rsidRPr="00B855A8">
        <w:rPr>
          <w:rFonts w:ascii="Arial" w:hAnsi="Arial" w:cs="Arial"/>
          <w:i/>
          <w:iCs/>
          <w:sz w:val="22"/>
          <w:szCs w:val="22"/>
        </w:rPr>
        <w:t>PTEN</w:t>
      </w:r>
      <w:r w:rsidRPr="00B855A8">
        <w:rPr>
          <w:rFonts w:ascii="Arial" w:hAnsi="Arial" w:cs="Arial"/>
          <w:iCs/>
          <w:sz w:val="22"/>
          <w:szCs w:val="22"/>
        </w:rPr>
        <w:t xml:space="preserve"> mutations.</w:t>
      </w:r>
      <w:r w:rsidRPr="00B855A8">
        <w:rPr>
          <w:rFonts w:ascii="Arial" w:hAnsi="Arial" w:cs="Arial"/>
          <w:sz w:val="22"/>
          <w:szCs w:val="22"/>
        </w:rPr>
        <w:t xml:space="preserve"> </w:t>
      </w:r>
      <w:r w:rsidR="00956550">
        <w:rPr>
          <w:rFonts w:ascii="Arial" w:hAnsi="Arial" w:cs="Arial"/>
          <w:sz w:val="22"/>
          <w:szCs w:val="22"/>
        </w:rPr>
        <w:t xml:space="preserve">In post-hoc exploratory analyses, response rates for each cohort were reported by </w:t>
      </w:r>
      <w:r w:rsidR="00956550" w:rsidRPr="00956550">
        <w:rPr>
          <w:rFonts w:ascii="Arial" w:hAnsi="Arial" w:cs="Arial"/>
          <w:i/>
          <w:sz w:val="22"/>
          <w:szCs w:val="22"/>
        </w:rPr>
        <w:t>PIK3CA</w:t>
      </w:r>
      <w:r w:rsidR="00956550">
        <w:rPr>
          <w:rFonts w:ascii="Arial" w:hAnsi="Arial" w:cs="Arial"/>
          <w:sz w:val="22"/>
          <w:szCs w:val="22"/>
        </w:rPr>
        <w:t xml:space="preserve"> and </w:t>
      </w:r>
      <w:r w:rsidR="00956550" w:rsidRPr="00956550">
        <w:rPr>
          <w:rFonts w:ascii="Arial" w:hAnsi="Arial" w:cs="Arial"/>
          <w:i/>
          <w:sz w:val="22"/>
          <w:szCs w:val="22"/>
        </w:rPr>
        <w:t>TP53</w:t>
      </w:r>
      <w:r w:rsidR="00956550">
        <w:rPr>
          <w:rFonts w:ascii="Arial" w:hAnsi="Arial" w:cs="Arial"/>
          <w:sz w:val="22"/>
          <w:szCs w:val="22"/>
        </w:rPr>
        <w:t xml:space="preserve"> mutation status and for cohort A, tissue mutation status. </w:t>
      </w:r>
      <w:r w:rsidRPr="00B855A8">
        <w:rPr>
          <w:rFonts w:ascii="Arial" w:hAnsi="Arial" w:cs="Arial"/>
          <w:sz w:val="22"/>
          <w:szCs w:val="22"/>
        </w:rPr>
        <w:t>For inference purposes, thus corresponding to the design characteristics underpinning the trial’s hypothesis testing (i.e. alpha 5%, one-sided), proportions and two-sided 90%CI are reported in the supplementary material (</w:t>
      </w:r>
      <w:r w:rsidR="00956550" w:rsidRPr="002137FB">
        <w:rPr>
          <w:rFonts w:ascii="Arial" w:hAnsi="Arial" w:cs="Arial"/>
          <w:sz w:val="22"/>
          <w:szCs w:val="22"/>
        </w:rPr>
        <w:t>appendix p</w:t>
      </w:r>
      <w:r w:rsidR="002137FB" w:rsidRPr="002137FB">
        <w:rPr>
          <w:rFonts w:ascii="Arial" w:hAnsi="Arial" w:cs="Arial"/>
          <w:sz w:val="22"/>
          <w:szCs w:val="22"/>
        </w:rPr>
        <w:t>1</w:t>
      </w:r>
      <w:r w:rsidR="00A44F67">
        <w:rPr>
          <w:rFonts w:ascii="Arial" w:hAnsi="Arial" w:cs="Arial"/>
          <w:sz w:val="22"/>
          <w:szCs w:val="22"/>
        </w:rPr>
        <w:t>6</w:t>
      </w:r>
      <w:r w:rsidRPr="00B855A8">
        <w:rPr>
          <w:rFonts w:ascii="Arial" w:hAnsi="Arial" w:cs="Arial"/>
          <w:sz w:val="22"/>
          <w:szCs w:val="22"/>
        </w:rPr>
        <w:t>). PFS used an intention-to-treat population. Kaplan Meier curves were plotted and median PFS is reported with IQR for each cohort. The safety population included all patients who had at least one dose of treatment and treatment emergent adverse events where &gt;10% patients reported any grade or any patients reporting grade ≥3 were presented.  In addition, PK was reported as percentage change from approved 500mg popPK model for standard 500mg fulvestrant dose in Cohort A</w:t>
      </w:r>
      <w:r w:rsidR="00244D0B">
        <w:rPr>
          <w:rFonts w:ascii="Arial" w:hAnsi="Arial" w:cs="Arial"/>
          <w:sz w:val="22"/>
          <w:szCs w:val="22"/>
        </w:rPr>
        <w:t xml:space="preserve"> only</w:t>
      </w:r>
      <w:r w:rsidRPr="00B855A8">
        <w:rPr>
          <w:rFonts w:ascii="Arial" w:hAnsi="Arial" w:cs="Arial"/>
          <w:sz w:val="22"/>
          <w:szCs w:val="22"/>
        </w:rPr>
        <w:t>.</w:t>
      </w:r>
      <w:r w:rsidRPr="00B855A8">
        <w:rPr>
          <w:rFonts w:ascii="Arial" w:eastAsia="OTNEJMQuadraat" w:hAnsi="Arial" w:cs="Arial"/>
          <w:sz w:val="22"/>
          <w:szCs w:val="22"/>
        </w:rPr>
        <w:t xml:space="preserve"> </w:t>
      </w:r>
      <w:r w:rsidRPr="00B855A8">
        <w:rPr>
          <w:rFonts w:ascii="Arial" w:hAnsi="Arial" w:cs="Arial"/>
          <w:sz w:val="22"/>
          <w:szCs w:val="22"/>
        </w:rPr>
        <w:t>Safety was assessed on the basis of t</w:t>
      </w:r>
      <w:r w:rsidR="00605625">
        <w:rPr>
          <w:rFonts w:ascii="Arial" w:hAnsi="Arial" w:cs="Arial"/>
          <w:sz w:val="22"/>
          <w:szCs w:val="22"/>
        </w:rPr>
        <w:t>he incidence of adverse events</w:t>
      </w:r>
      <w:r w:rsidRPr="00B855A8">
        <w:rPr>
          <w:rFonts w:ascii="Arial" w:hAnsi="Arial" w:cs="Arial"/>
          <w:sz w:val="22"/>
          <w:szCs w:val="22"/>
        </w:rPr>
        <w:t>.</w:t>
      </w:r>
      <w:r w:rsidR="003968A6">
        <w:rPr>
          <w:rFonts w:ascii="Arial" w:hAnsi="Arial" w:cs="Arial"/>
          <w:sz w:val="22"/>
          <w:szCs w:val="22"/>
        </w:rPr>
        <w:t xml:space="preserve"> </w:t>
      </w:r>
      <w:r w:rsidR="00956550">
        <w:rPr>
          <w:rFonts w:ascii="Arial" w:hAnsi="Arial" w:cs="Arial"/>
          <w:sz w:val="22"/>
          <w:szCs w:val="22"/>
        </w:rPr>
        <w:t xml:space="preserve"> </w:t>
      </w:r>
    </w:p>
    <w:p w14:paraId="529F9840" w14:textId="77777777" w:rsidR="00955832" w:rsidRDefault="00955832" w:rsidP="00521F6D">
      <w:pPr>
        <w:jc w:val="both"/>
        <w:rPr>
          <w:rFonts w:ascii="Arial" w:hAnsi="Arial" w:cs="Arial"/>
          <w:sz w:val="22"/>
          <w:szCs w:val="22"/>
          <w:lang w:val="en-US"/>
        </w:rPr>
      </w:pPr>
    </w:p>
    <w:p w14:paraId="040C44D8" w14:textId="0283F609" w:rsidR="001D5792" w:rsidRDefault="001D5792" w:rsidP="00521F6D">
      <w:pPr>
        <w:jc w:val="both"/>
        <w:rPr>
          <w:rFonts w:ascii="Arial" w:hAnsi="Arial" w:cs="Arial"/>
          <w:sz w:val="22"/>
          <w:szCs w:val="22"/>
          <w:lang w:val="en-US"/>
        </w:rPr>
      </w:pPr>
      <w:r w:rsidRPr="00B868A1">
        <w:rPr>
          <w:rFonts w:ascii="Arial" w:hAnsi="Arial" w:cs="Arial"/>
          <w:sz w:val="22"/>
          <w:szCs w:val="22"/>
          <w:lang w:val="en-US"/>
        </w:rPr>
        <w:t xml:space="preserve">Analyses </w:t>
      </w:r>
      <w:r w:rsidR="00AC6CC0">
        <w:rPr>
          <w:rFonts w:ascii="Arial" w:hAnsi="Arial" w:cs="Arial"/>
          <w:sz w:val="22"/>
          <w:szCs w:val="22"/>
          <w:lang w:val="en-US"/>
        </w:rPr>
        <w:t xml:space="preserve">used </w:t>
      </w:r>
      <w:r w:rsidRPr="00B868A1">
        <w:rPr>
          <w:rFonts w:ascii="Arial" w:hAnsi="Arial" w:cs="Arial"/>
          <w:sz w:val="22"/>
          <w:szCs w:val="22"/>
          <w:lang w:val="en-US"/>
        </w:rPr>
        <w:t xml:space="preserve">a database snapshot taken on </w:t>
      </w:r>
      <w:r w:rsidR="00B868A1" w:rsidRPr="00B0359A">
        <w:rPr>
          <w:rFonts w:ascii="Arial" w:hAnsi="Arial" w:cs="Arial"/>
          <w:sz w:val="22"/>
          <w:szCs w:val="22"/>
          <w:lang w:val="en-US"/>
        </w:rPr>
        <w:t>November</w:t>
      </w:r>
      <w:r w:rsidRPr="00B868A1">
        <w:rPr>
          <w:rFonts w:ascii="Arial" w:hAnsi="Arial" w:cs="Arial"/>
          <w:sz w:val="22"/>
          <w:szCs w:val="22"/>
          <w:lang w:val="en-US"/>
        </w:rPr>
        <w:t xml:space="preserve"> </w:t>
      </w:r>
      <w:r w:rsidR="001844A8">
        <w:rPr>
          <w:rFonts w:ascii="Arial" w:hAnsi="Arial" w:cs="Arial"/>
          <w:sz w:val="22"/>
          <w:szCs w:val="22"/>
          <w:lang w:val="en-US"/>
        </w:rPr>
        <w:t xml:space="preserve">6, </w:t>
      </w:r>
      <w:r w:rsidRPr="00B868A1">
        <w:rPr>
          <w:rFonts w:ascii="Arial" w:hAnsi="Arial" w:cs="Arial"/>
          <w:sz w:val="22"/>
          <w:szCs w:val="22"/>
          <w:lang w:val="en-US"/>
        </w:rPr>
        <w:t>201</w:t>
      </w:r>
      <w:r w:rsidR="00B868A1" w:rsidRPr="00B0359A">
        <w:rPr>
          <w:rFonts w:ascii="Arial" w:hAnsi="Arial" w:cs="Arial"/>
          <w:sz w:val="22"/>
          <w:szCs w:val="22"/>
          <w:lang w:val="en-US"/>
        </w:rPr>
        <w:t>9</w:t>
      </w:r>
      <w:r w:rsidRPr="00B868A1">
        <w:rPr>
          <w:rFonts w:ascii="Arial" w:hAnsi="Arial" w:cs="Arial"/>
          <w:sz w:val="22"/>
          <w:szCs w:val="22"/>
          <w:lang w:val="en-US"/>
        </w:rPr>
        <w:t xml:space="preserve">. </w:t>
      </w:r>
      <w:r w:rsidR="00956550">
        <w:rPr>
          <w:rFonts w:ascii="Arial" w:hAnsi="Arial" w:cs="Arial"/>
          <w:sz w:val="22"/>
          <w:szCs w:val="22"/>
        </w:rPr>
        <w:t xml:space="preserve">Where reported, p-values &lt;0.05 are deemed statistically significant.  </w:t>
      </w:r>
      <w:r w:rsidRPr="00B868A1">
        <w:rPr>
          <w:rFonts w:ascii="Arial" w:hAnsi="Arial" w:cs="Arial"/>
          <w:sz w:val="22"/>
          <w:szCs w:val="22"/>
          <w:lang w:val="en-US"/>
        </w:rPr>
        <w:t>All analyses were c</w:t>
      </w:r>
      <w:r w:rsidR="00B868A1" w:rsidRPr="00B0359A">
        <w:rPr>
          <w:rFonts w:ascii="Arial" w:hAnsi="Arial" w:cs="Arial"/>
          <w:sz w:val="22"/>
          <w:szCs w:val="22"/>
          <w:lang w:val="en-US"/>
        </w:rPr>
        <w:t>onducted using Stata (version 15</w:t>
      </w:r>
      <w:r w:rsidRPr="00B868A1">
        <w:rPr>
          <w:rFonts w:ascii="Arial" w:hAnsi="Arial" w:cs="Arial"/>
          <w:sz w:val="22"/>
          <w:szCs w:val="22"/>
          <w:lang w:val="en-US"/>
        </w:rPr>
        <w:t>.1).</w:t>
      </w:r>
      <w:r w:rsidRPr="001D5792">
        <w:rPr>
          <w:rFonts w:ascii="Arial" w:hAnsi="Arial" w:cs="Arial"/>
          <w:sz w:val="22"/>
          <w:szCs w:val="22"/>
          <w:lang w:val="en-US"/>
        </w:rPr>
        <w:t xml:space="preserve">   </w:t>
      </w:r>
      <w:r w:rsidR="00955832">
        <w:rPr>
          <w:rFonts w:ascii="Arial" w:hAnsi="Arial" w:cs="Arial"/>
          <w:sz w:val="22"/>
          <w:szCs w:val="22"/>
          <w:lang w:val="en-US"/>
        </w:rPr>
        <w:t xml:space="preserve"> </w:t>
      </w:r>
      <w:r w:rsidR="00955832" w:rsidRPr="0080740F">
        <w:rPr>
          <w:rFonts w:ascii="Arial" w:hAnsi="Arial" w:cs="Arial"/>
          <w:sz w:val="22"/>
          <w:szCs w:val="22"/>
          <w:lang w:val="en-US"/>
        </w:rPr>
        <w:t xml:space="preserve">This study is registered with ClinicalTrials.gov, number </w:t>
      </w:r>
      <w:r w:rsidR="00955832" w:rsidRPr="008C7FCA">
        <w:rPr>
          <w:rFonts w:ascii="Arial" w:hAnsi="Arial" w:cs="Arial"/>
          <w:sz w:val="22"/>
          <w:szCs w:val="22"/>
          <w:lang w:val="en-US"/>
        </w:rPr>
        <w:t>NCT03182634</w:t>
      </w:r>
      <w:r w:rsidR="00955832" w:rsidRPr="0080740F">
        <w:rPr>
          <w:rFonts w:ascii="Arial" w:hAnsi="Arial" w:cs="Arial"/>
          <w:sz w:val="22"/>
          <w:szCs w:val="22"/>
          <w:lang w:val="en-US"/>
        </w:rPr>
        <w:t>; the European Clinical Trials database, number EudraCT20</w:t>
      </w:r>
      <w:r w:rsidR="00955832">
        <w:rPr>
          <w:rFonts w:ascii="Arial" w:hAnsi="Arial" w:cs="Arial"/>
          <w:sz w:val="22"/>
          <w:szCs w:val="22"/>
          <w:lang w:val="en-US"/>
        </w:rPr>
        <w:t>15-003735-36</w:t>
      </w:r>
      <w:r w:rsidR="00955832" w:rsidRPr="0080740F">
        <w:rPr>
          <w:rFonts w:ascii="Arial" w:hAnsi="Arial" w:cs="Arial"/>
          <w:sz w:val="22"/>
          <w:szCs w:val="22"/>
          <w:lang w:val="en-US"/>
        </w:rPr>
        <w:t>; and the ISRCTN registry, number ISRCTN</w:t>
      </w:r>
      <w:r w:rsidR="00955832" w:rsidRPr="008C7FCA">
        <w:rPr>
          <w:rFonts w:ascii="Arial" w:hAnsi="Arial" w:cs="Arial"/>
          <w:sz w:val="22"/>
          <w:szCs w:val="22"/>
          <w:lang w:val="en-US"/>
        </w:rPr>
        <w:t>16945804</w:t>
      </w:r>
      <w:r w:rsidR="00955832" w:rsidRPr="0080740F">
        <w:rPr>
          <w:rFonts w:ascii="Arial" w:hAnsi="Arial" w:cs="Arial"/>
          <w:sz w:val="22"/>
          <w:szCs w:val="22"/>
          <w:lang w:val="en-US"/>
        </w:rPr>
        <w:t>.</w:t>
      </w:r>
    </w:p>
    <w:p w14:paraId="2F4709A5" w14:textId="77777777" w:rsidR="00A975C3" w:rsidRDefault="00A975C3" w:rsidP="00521F6D">
      <w:pPr>
        <w:jc w:val="both"/>
        <w:rPr>
          <w:rFonts w:ascii="Arial" w:hAnsi="Arial" w:cs="Arial"/>
          <w:sz w:val="22"/>
          <w:szCs w:val="22"/>
          <w:lang w:val="en-US"/>
        </w:rPr>
      </w:pPr>
    </w:p>
    <w:p w14:paraId="6E0B8A19" w14:textId="1B82710B" w:rsidR="000C6842" w:rsidRDefault="000C6842" w:rsidP="000C6842">
      <w:pPr>
        <w:jc w:val="both"/>
        <w:rPr>
          <w:rFonts w:ascii="Arial" w:hAnsi="Arial" w:cs="Arial"/>
          <w:b/>
          <w:sz w:val="22"/>
          <w:szCs w:val="22"/>
          <w:lang w:val="en-US"/>
        </w:rPr>
      </w:pPr>
      <w:r>
        <w:rPr>
          <w:rFonts w:ascii="Arial" w:hAnsi="Arial" w:cs="Arial"/>
          <w:b/>
          <w:sz w:val="22"/>
          <w:szCs w:val="22"/>
          <w:lang w:val="en-US"/>
        </w:rPr>
        <w:t>Rol</w:t>
      </w:r>
      <w:r w:rsidR="00F37537">
        <w:rPr>
          <w:rFonts w:ascii="Arial" w:hAnsi="Arial" w:cs="Arial"/>
          <w:b/>
          <w:sz w:val="22"/>
          <w:szCs w:val="22"/>
          <w:lang w:val="en-US"/>
        </w:rPr>
        <w:t>e</w:t>
      </w:r>
      <w:r>
        <w:rPr>
          <w:rFonts w:ascii="Arial" w:hAnsi="Arial" w:cs="Arial"/>
          <w:b/>
          <w:sz w:val="22"/>
          <w:szCs w:val="22"/>
          <w:lang w:val="en-US"/>
        </w:rPr>
        <w:t xml:space="preserve"> of the funding source</w:t>
      </w:r>
    </w:p>
    <w:p w14:paraId="51E3CA44" w14:textId="76376832" w:rsidR="000C6842" w:rsidRDefault="000C6842" w:rsidP="000C6842">
      <w:pPr>
        <w:jc w:val="both"/>
        <w:rPr>
          <w:rFonts w:ascii="Arial" w:hAnsi="Arial" w:cs="Arial"/>
          <w:bCs/>
          <w:sz w:val="22"/>
          <w:szCs w:val="22"/>
          <w:lang w:val="en-US"/>
        </w:rPr>
      </w:pPr>
      <w:r>
        <w:rPr>
          <w:rFonts w:ascii="Arial" w:hAnsi="Arial" w:cs="Arial"/>
          <w:bCs/>
          <w:sz w:val="22"/>
          <w:szCs w:val="22"/>
          <w:lang w:val="en-US"/>
        </w:rPr>
        <w:t>This study was funded by Cancer Research UK, AstraZeneca, and Puma Biotechnology with support from BioRad and Guardant Health. The funding sources had no role in the s</w:t>
      </w:r>
      <w:r w:rsidRPr="000C6842">
        <w:rPr>
          <w:rFonts w:ascii="Arial" w:hAnsi="Arial" w:cs="Arial"/>
          <w:bCs/>
          <w:sz w:val="22"/>
          <w:szCs w:val="22"/>
          <w:lang w:val="en-US"/>
        </w:rPr>
        <w:t>tudy design</w:t>
      </w:r>
      <w:r>
        <w:rPr>
          <w:rFonts w:ascii="Arial" w:hAnsi="Arial" w:cs="Arial"/>
          <w:bCs/>
          <w:sz w:val="22"/>
          <w:szCs w:val="22"/>
          <w:lang w:val="en-US"/>
        </w:rPr>
        <w:t>,</w:t>
      </w:r>
      <w:r w:rsidRPr="000C6842">
        <w:rPr>
          <w:rFonts w:ascii="Arial" w:hAnsi="Arial" w:cs="Arial"/>
          <w:bCs/>
          <w:sz w:val="22"/>
          <w:szCs w:val="22"/>
          <w:lang w:val="en-US"/>
        </w:rPr>
        <w:t xml:space="preserve"> collection</w:t>
      </w:r>
      <w:r>
        <w:rPr>
          <w:rFonts w:ascii="Arial" w:hAnsi="Arial" w:cs="Arial"/>
          <w:bCs/>
          <w:sz w:val="22"/>
          <w:szCs w:val="22"/>
          <w:lang w:val="en-US"/>
        </w:rPr>
        <w:t xml:space="preserve">, </w:t>
      </w:r>
      <w:r w:rsidRPr="000C6842">
        <w:rPr>
          <w:rFonts w:ascii="Arial" w:hAnsi="Arial" w:cs="Arial"/>
          <w:bCs/>
          <w:sz w:val="22"/>
          <w:szCs w:val="22"/>
          <w:lang w:val="en-US"/>
        </w:rPr>
        <w:t>analysis, interpretation of data</w:t>
      </w:r>
      <w:r w:rsidR="00924E62">
        <w:rPr>
          <w:rFonts w:ascii="Arial" w:hAnsi="Arial" w:cs="Arial"/>
          <w:bCs/>
          <w:sz w:val="22"/>
          <w:szCs w:val="22"/>
          <w:lang w:val="en-US"/>
        </w:rPr>
        <w:t xml:space="preserve"> </w:t>
      </w:r>
      <w:r w:rsidR="005E46DF">
        <w:rPr>
          <w:rFonts w:ascii="Arial" w:hAnsi="Arial" w:cs="Arial"/>
          <w:bCs/>
          <w:sz w:val="22"/>
          <w:szCs w:val="22"/>
          <w:lang w:val="en-US"/>
        </w:rPr>
        <w:t>or</w:t>
      </w:r>
      <w:r w:rsidR="00924E62">
        <w:rPr>
          <w:rFonts w:ascii="Arial" w:hAnsi="Arial" w:cs="Arial"/>
          <w:bCs/>
          <w:sz w:val="22"/>
          <w:szCs w:val="22"/>
          <w:lang w:val="en-US"/>
        </w:rPr>
        <w:t xml:space="preserve"> writing of the report</w:t>
      </w:r>
      <w:r w:rsidR="00136761">
        <w:rPr>
          <w:rFonts w:ascii="Arial" w:hAnsi="Arial" w:cs="Arial"/>
          <w:bCs/>
          <w:sz w:val="22"/>
          <w:szCs w:val="22"/>
          <w:lang w:val="en-US"/>
        </w:rPr>
        <w:t xml:space="preserve">. </w:t>
      </w:r>
      <w:r w:rsidR="008479EA">
        <w:rPr>
          <w:rFonts w:ascii="Arial" w:hAnsi="Arial" w:cs="Arial"/>
          <w:bCs/>
          <w:sz w:val="22"/>
          <w:szCs w:val="22"/>
          <w:lang w:val="en-US"/>
        </w:rPr>
        <w:t xml:space="preserve">AstraZeneca and Puma Biotechnology </w:t>
      </w:r>
      <w:r w:rsidR="00136761">
        <w:rPr>
          <w:rFonts w:ascii="Arial" w:hAnsi="Arial" w:cs="Arial"/>
          <w:bCs/>
          <w:sz w:val="22"/>
          <w:szCs w:val="22"/>
          <w:lang w:val="en-US"/>
        </w:rPr>
        <w:t>reviewed the final version of the</w:t>
      </w:r>
      <w:r w:rsidRPr="000C6842">
        <w:rPr>
          <w:rFonts w:ascii="Arial" w:hAnsi="Arial" w:cs="Arial"/>
          <w:bCs/>
          <w:sz w:val="22"/>
          <w:szCs w:val="22"/>
          <w:lang w:val="en-US"/>
        </w:rPr>
        <w:t xml:space="preserve"> report</w:t>
      </w:r>
      <w:r>
        <w:rPr>
          <w:rFonts w:ascii="Arial" w:hAnsi="Arial" w:cs="Arial"/>
          <w:bCs/>
          <w:sz w:val="22"/>
          <w:szCs w:val="22"/>
          <w:lang w:val="en-US"/>
        </w:rPr>
        <w:t>,</w:t>
      </w:r>
      <w:r w:rsidR="009500BC">
        <w:rPr>
          <w:rFonts w:ascii="Arial" w:hAnsi="Arial" w:cs="Arial"/>
          <w:bCs/>
          <w:sz w:val="22"/>
          <w:szCs w:val="22"/>
          <w:lang w:val="en-US"/>
        </w:rPr>
        <w:t xml:space="preserve"> but had no role in </w:t>
      </w:r>
      <w:r w:rsidRPr="000C6842">
        <w:rPr>
          <w:rFonts w:ascii="Arial" w:hAnsi="Arial" w:cs="Arial"/>
          <w:bCs/>
          <w:sz w:val="22"/>
          <w:szCs w:val="22"/>
          <w:lang w:val="en-US"/>
        </w:rPr>
        <w:t>the decision to submit the paper for publication</w:t>
      </w:r>
      <w:r>
        <w:rPr>
          <w:rFonts w:ascii="Arial" w:hAnsi="Arial" w:cs="Arial"/>
          <w:bCs/>
          <w:sz w:val="22"/>
          <w:szCs w:val="22"/>
          <w:lang w:val="en-US"/>
        </w:rPr>
        <w:t>.</w:t>
      </w:r>
      <w:r w:rsidR="00A25B96">
        <w:rPr>
          <w:rFonts w:ascii="Arial" w:hAnsi="Arial" w:cs="Arial"/>
          <w:bCs/>
          <w:sz w:val="22"/>
          <w:szCs w:val="22"/>
          <w:lang w:val="en-US"/>
        </w:rPr>
        <w:t xml:space="preserve"> </w:t>
      </w:r>
      <w:r w:rsidR="00A25B96" w:rsidRPr="00A25B96">
        <w:rPr>
          <w:rFonts w:ascii="Arial" w:hAnsi="Arial" w:cs="Arial"/>
          <w:bCs/>
          <w:sz w:val="22"/>
          <w:szCs w:val="22"/>
          <w:lang w:val="en-US"/>
        </w:rPr>
        <w:t>The corresponding author had full access to all of the data and the final responsibility to submit for publication.</w:t>
      </w:r>
    </w:p>
    <w:p w14:paraId="63B90095" w14:textId="4B58493E" w:rsidR="00163E98" w:rsidRDefault="00163E98" w:rsidP="000C6842">
      <w:pPr>
        <w:jc w:val="both"/>
        <w:rPr>
          <w:rFonts w:ascii="Arial" w:hAnsi="Arial" w:cs="Arial"/>
          <w:bCs/>
          <w:sz w:val="22"/>
          <w:szCs w:val="22"/>
          <w:lang w:val="en-US"/>
        </w:rPr>
      </w:pPr>
    </w:p>
    <w:p w14:paraId="651AC711" w14:textId="606F43F9" w:rsidR="00921A9E" w:rsidRDefault="00921A9E" w:rsidP="000C6842">
      <w:pPr>
        <w:jc w:val="both"/>
        <w:rPr>
          <w:rFonts w:ascii="Arial" w:hAnsi="Arial" w:cs="Arial"/>
          <w:bCs/>
          <w:sz w:val="22"/>
          <w:szCs w:val="22"/>
          <w:lang w:val="en-US"/>
        </w:rPr>
      </w:pPr>
    </w:p>
    <w:p w14:paraId="278F8A4A" w14:textId="77777777" w:rsidR="00921A9E" w:rsidRPr="000C6842" w:rsidRDefault="00921A9E" w:rsidP="000C6842">
      <w:pPr>
        <w:jc w:val="both"/>
        <w:rPr>
          <w:rFonts w:ascii="Arial" w:hAnsi="Arial" w:cs="Arial"/>
          <w:bCs/>
          <w:sz w:val="22"/>
          <w:szCs w:val="22"/>
          <w:lang w:val="en-US"/>
        </w:rPr>
      </w:pPr>
    </w:p>
    <w:p w14:paraId="104973F2" w14:textId="0EAD8A96" w:rsidR="00735576" w:rsidRPr="008C7FCA" w:rsidRDefault="00BF0D19" w:rsidP="004B43C4">
      <w:pPr>
        <w:jc w:val="both"/>
        <w:rPr>
          <w:rFonts w:ascii="Arial" w:hAnsi="Arial" w:cs="Arial"/>
          <w:b/>
          <w:sz w:val="22"/>
          <w:szCs w:val="22"/>
          <w:lang w:val="en-US"/>
        </w:rPr>
      </w:pPr>
      <w:r w:rsidRPr="008C7FCA">
        <w:rPr>
          <w:rFonts w:ascii="Arial" w:hAnsi="Arial" w:cs="Arial"/>
          <w:b/>
          <w:sz w:val="22"/>
          <w:szCs w:val="22"/>
          <w:lang w:val="en-US"/>
        </w:rPr>
        <w:t>Results</w:t>
      </w:r>
    </w:p>
    <w:p w14:paraId="11B46D68" w14:textId="7AEA5C3F" w:rsidR="00BF0D19" w:rsidRPr="008C7FCA" w:rsidRDefault="00AB16AA" w:rsidP="004B43C4">
      <w:pPr>
        <w:jc w:val="both"/>
        <w:rPr>
          <w:rFonts w:ascii="Arial" w:hAnsi="Arial" w:cs="Arial"/>
          <w:sz w:val="22"/>
          <w:szCs w:val="22"/>
          <w:lang w:val="en-US"/>
        </w:rPr>
      </w:pPr>
      <w:r w:rsidRPr="008C7FCA">
        <w:rPr>
          <w:rFonts w:ascii="Arial" w:eastAsia="ScalaLancetPro" w:hAnsi="Arial" w:cs="Arial"/>
          <w:sz w:val="22"/>
          <w:szCs w:val="22"/>
          <w:lang w:val="en-US"/>
        </w:rPr>
        <w:lastRenderedPageBreak/>
        <w:t xml:space="preserve">Between December </w:t>
      </w:r>
      <w:r w:rsidR="000F5B8A">
        <w:rPr>
          <w:rFonts w:ascii="Arial" w:eastAsia="ScalaLancetPro" w:hAnsi="Arial" w:cs="Arial"/>
          <w:sz w:val="22"/>
          <w:szCs w:val="22"/>
          <w:lang w:val="en-US"/>
        </w:rPr>
        <w:t xml:space="preserve">21, </w:t>
      </w:r>
      <w:r w:rsidRPr="008C7FCA">
        <w:rPr>
          <w:rFonts w:ascii="Arial" w:eastAsia="ScalaLancetPro" w:hAnsi="Arial" w:cs="Arial"/>
          <w:sz w:val="22"/>
          <w:szCs w:val="22"/>
          <w:lang w:val="en-US"/>
        </w:rPr>
        <w:t>2016 and April</w:t>
      </w:r>
      <w:r w:rsidR="000F5B8A">
        <w:rPr>
          <w:rFonts w:ascii="Arial" w:eastAsia="ScalaLancetPro" w:hAnsi="Arial" w:cs="Arial"/>
          <w:sz w:val="22"/>
          <w:szCs w:val="22"/>
          <w:lang w:val="en-US"/>
        </w:rPr>
        <w:t xml:space="preserve"> 26,</w:t>
      </w:r>
      <w:r w:rsidRPr="008C7FCA">
        <w:rPr>
          <w:rFonts w:ascii="Arial" w:eastAsia="ScalaLancetPro" w:hAnsi="Arial" w:cs="Arial"/>
          <w:sz w:val="22"/>
          <w:szCs w:val="22"/>
          <w:lang w:val="en-US"/>
        </w:rPr>
        <w:t xml:space="preserve"> 2019</w:t>
      </w:r>
      <w:r w:rsidR="00DF48EA">
        <w:rPr>
          <w:rFonts w:ascii="Arial" w:eastAsia="ScalaLancetPro" w:hAnsi="Arial" w:cs="Arial"/>
          <w:sz w:val="22"/>
          <w:szCs w:val="22"/>
          <w:lang w:val="en-US"/>
        </w:rPr>
        <w:t xml:space="preserve">, </w:t>
      </w:r>
      <w:r w:rsidR="007B0DF6">
        <w:rPr>
          <w:rFonts w:ascii="Arial" w:hAnsi="Arial" w:cs="Arial"/>
          <w:sz w:val="22"/>
          <w:szCs w:val="22"/>
          <w:lang w:val="en-US"/>
        </w:rPr>
        <w:t>1051 patients from 18 UK hospitals were</w:t>
      </w:r>
      <w:r w:rsidR="0040091B">
        <w:rPr>
          <w:rFonts w:ascii="Arial" w:hAnsi="Arial" w:cs="Arial"/>
          <w:sz w:val="22"/>
          <w:szCs w:val="22"/>
          <w:lang w:val="en-US"/>
        </w:rPr>
        <w:t xml:space="preserve"> </w:t>
      </w:r>
      <w:r w:rsidR="0040091B" w:rsidRPr="00487484">
        <w:rPr>
          <w:rFonts w:ascii="Arial" w:hAnsi="Arial" w:cs="Arial"/>
          <w:sz w:val="22"/>
          <w:szCs w:val="22"/>
          <w:lang w:val="en-US"/>
        </w:rPr>
        <w:t>registered into the study</w:t>
      </w:r>
      <w:r w:rsidR="007B0DF6" w:rsidRPr="00487484">
        <w:rPr>
          <w:rFonts w:ascii="Arial" w:hAnsi="Arial" w:cs="Arial"/>
          <w:sz w:val="22"/>
          <w:szCs w:val="22"/>
          <w:lang w:val="en-US"/>
        </w:rPr>
        <w:t xml:space="preserve"> (1044 via ctDNA screening, 7 via prior </w:t>
      </w:r>
      <w:r w:rsidR="00C4772B" w:rsidRPr="00487484">
        <w:rPr>
          <w:rFonts w:ascii="Arial" w:hAnsi="Arial" w:cs="Arial"/>
          <w:sz w:val="22"/>
          <w:szCs w:val="22"/>
          <w:lang w:val="en-US"/>
        </w:rPr>
        <w:t>tumour</w:t>
      </w:r>
      <w:r w:rsidR="007B0DF6" w:rsidRPr="00487484">
        <w:rPr>
          <w:rFonts w:ascii="Arial" w:hAnsi="Arial" w:cs="Arial"/>
          <w:sz w:val="22"/>
          <w:szCs w:val="22"/>
          <w:lang w:val="en-US"/>
        </w:rPr>
        <w:t xml:space="preserve"> sequencing</w:t>
      </w:r>
      <w:r w:rsidR="00DF48EA" w:rsidRPr="00487484">
        <w:rPr>
          <w:rFonts w:ascii="Arial" w:hAnsi="Arial" w:cs="Arial"/>
          <w:sz w:val="22"/>
          <w:szCs w:val="22"/>
          <w:lang w:val="en-US"/>
        </w:rPr>
        <w:t xml:space="preserve">, </w:t>
      </w:r>
      <w:r w:rsidR="002C3238" w:rsidRPr="00487484">
        <w:rPr>
          <w:rFonts w:ascii="Arial" w:hAnsi="Arial" w:cs="Arial"/>
          <w:sz w:val="22"/>
          <w:szCs w:val="22"/>
          <w:lang w:val="en-US"/>
        </w:rPr>
        <w:t xml:space="preserve">Figure 1 and </w:t>
      </w:r>
      <w:r w:rsidR="00623689" w:rsidRPr="00487484">
        <w:rPr>
          <w:rFonts w:ascii="Arial" w:hAnsi="Arial" w:cs="Arial"/>
          <w:sz w:val="22"/>
          <w:szCs w:val="22"/>
          <w:lang w:val="en-US"/>
        </w:rPr>
        <w:t>appendix p</w:t>
      </w:r>
      <w:r w:rsidR="0067473B">
        <w:rPr>
          <w:rFonts w:ascii="Arial" w:hAnsi="Arial" w:cs="Arial"/>
          <w:sz w:val="22"/>
          <w:szCs w:val="22"/>
          <w:lang w:val="en-US"/>
        </w:rPr>
        <w:t>17</w:t>
      </w:r>
      <w:r w:rsidR="0064707A" w:rsidRPr="00487484">
        <w:rPr>
          <w:rFonts w:ascii="Arial" w:hAnsi="Arial" w:cs="Arial"/>
          <w:sz w:val="22"/>
          <w:szCs w:val="22"/>
          <w:lang w:val="en-US"/>
        </w:rPr>
        <w:t>)</w:t>
      </w:r>
      <w:r w:rsidR="00DF48EA" w:rsidRPr="00487484">
        <w:rPr>
          <w:rFonts w:ascii="Arial" w:hAnsi="Arial" w:cs="Arial"/>
          <w:sz w:val="22"/>
          <w:szCs w:val="22"/>
          <w:lang w:val="en-US"/>
        </w:rPr>
        <w:t xml:space="preserve"> with</w:t>
      </w:r>
      <w:r w:rsidR="005858C2" w:rsidRPr="00487484">
        <w:rPr>
          <w:rFonts w:ascii="Arial" w:hAnsi="Arial" w:cs="Arial"/>
          <w:sz w:val="22"/>
          <w:szCs w:val="22"/>
          <w:lang w:val="en-US"/>
        </w:rPr>
        <w:t xml:space="preserve"> </w:t>
      </w:r>
      <w:r w:rsidR="00DF48EA" w:rsidRPr="00487484">
        <w:rPr>
          <w:rFonts w:ascii="Arial" w:hAnsi="Arial" w:cs="Arial"/>
          <w:sz w:val="22"/>
          <w:szCs w:val="22"/>
          <w:lang w:val="en-US"/>
        </w:rPr>
        <w:t>ct</w:t>
      </w:r>
      <w:r w:rsidR="00BF0D19" w:rsidRPr="00487484">
        <w:rPr>
          <w:rFonts w:ascii="Arial" w:hAnsi="Arial" w:cs="Arial"/>
          <w:sz w:val="22"/>
          <w:szCs w:val="22"/>
          <w:lang w:val="en-US"/>
        </w:rPr>
        <w:t>DNA</w:t>
      </w:r>
      <w:r w:rsidR="00BF0D19" w:rsidRPr="008C7FCA">
        <w:rPr>
          <w:rFonts w:ascii="Arial" w:hAnsi="Arial" w:cs="Arial"/>
          <w:sz w:val="22"/>
          <w:szCs w:val="22"/>
          <w:lang w:val="en-US"/>
        </w:rPr>
        <w:t xml:space="preserve"> results </w:t>
      </w:r>
      <w:r w:rsidR="0040091B">
        <w:rPr>
          <w:rFonts w:ascii="Arial" w:hAnsi="Arial" w:cs="Arial"/>
          <w:sz w:val="22"/>
          <w:szCs w:val="22"/>
          <w:lang w:val="en-US"/>
        </w:rPr>
        <w:t xml:space="preserve">available for </w:t>
      </w:r>
      <w:r w:rsidR="00BF0D19" w:rsidRPr="008C7FCA">
        <w:rPr>
          <w:rFonts w:ascii="Arial" w:hAnsi="Arial" w:cs="Arial"/>
          <w:sz w:val="22"/>
          <w:szCs w:val="22"/>
          <w:lang w:val="en-US"/>
        </w:rPr>
        <w:t>9</w:t>
      </w:r>
      <w:r w:rsidR="006E4779">
        <w:rPr>
          <w:rFonts w:ascii="Arial" w:hAnsi="Arial" w:cs="Arial"/>
          <w:sz w:val="22"/>
          <w:szCs w:val="22"/>
          <w:lang w:val="en-US"/>
        </w:rPr>
        <w:t>9</w:t>
      </w:r>
      <w:r w:rsidR="008D26F4">
        <w:rPr>
          <w:rFonts w:ascii="Arial" w:hAnsi="Arial" w:cs="Arial"/>
          <w:sz w:val="22"/>
          <w:szCs w:val="22"/>
          <w:lang w:val="en-US"/>
        </w:rPr>
        <w:t>.0</w:t>
      </w:r>
      <w:r w:rsidR="00BF0D19" w:rsidRPr="008C7FCA">
        <w:rPr>
          <w:rFonts w:ascii="Arial" w:hAnsi="Arial" w:cs="Arial"/>
          <w:sz w:val="22"/>
          <w:szCs w:val="22"/>
          <w:lang w:val="en-US"/>
        </w:rPr>
        <w:t>% patients (</w:t>
      </w:r>
      <w:r w:rsidR="0038255A" w:rsidRPr="008C7FCA">
        <w:rPr>
          <w:rFonts w:ascii="Arial" w:hAnsi="Arial" w:cs="Arial"/>
          <w:sz w:val="22"/>
          <w:szCs w:val="22"/>
          <w:lang w:val="en-US"/>
        </w:rPr>
        <w:t>103</w:t>
      </w:r>
      <w:r w:rsidR="006E4779">
        <w:rPr>
          <w:rFonts w:ascii="Arial" w:hAnsi="Arial" w:cs="Arial"/>
          <w:sz w:val="22"/>
          <w:szCs w:val="22"/>
          <w:lang w:val="en-US"/>
        </w:rPr>
        <w:t>4</w:t>
      </w:r>
      <w:r w:rsidR="00BF0D19" w:rsidRPr="008C7FCA">
        <w:rPr>
          <w:rFonts w:ascii="Arial" w:hAnsi="Arial" w:cs="Arial"/>
          <w:sz w:val="22"/>
          <w:szCs w:val="22"/>
          <w:lang w:val="en-US"/>
        </w:rPr>
        <w:t>/</w:t>
      </w:r>
      <w:r w:rsidR="0038255A" w:rsidRPr="008C7FCA">
        <w:rPr>
          <w:rFonts w:ascii="Arial" w:hAnsi="Arial" w:cs="Arial"/>
          <w:sz w:val="22"/>
          <w:szCs w:val="22"/>
          <w:lang w:val="en-US"/>
        </w:rPr>
        <w:t>1044</w:t>
      </w:r>
      <w:r w:rsidR="00BF0D19" w:rsidRPr="008C7FCA">
        <w:rPr>
          <w:rFonts w:ascii="Arial" w:hAnsi="Arial" w:cs="Arial"/>
          <w:sz w:val="22"/>
          <w:szCs w:val="22"/>
          <w:lang w:val="en-US"/>
        </w:rPr>
        <w:t>)</w:t>
      </w:r>
      <w:r w:rsidR="00B23C62">
        <w:rPr>
          <w:rFonts w:ascii="Arial" w:hAnsi="Arial" w:cs="Arial"/>
          <w:sz w:val="22"/>
          <w:szCs w:val="22"/>
          <w:lang w:val="en-US"/>
        </w:rPr>
        <w:t>; D</w:t>
      </w:r>
      <w:r w:rsidR="00BF0D19" w:rsidRPr="008C7FCA">
        <w:rPr>
          <w:rFonts w:ascii="Arial" w:hAnsi="Arial" w:cs="Arial"/>
          <w:sz w:val="22"/>
          <w:szCs w:val="22"/>
          <w:lang w:val="en-US"/>
        </w:rPr>
        <w:t xml:space="preserve">igital PCR results in </w:t>
      </w:r>
      <w:r w:rsidR="00D60D77" w:rsidRPr="008C7FCA">
        <w:rPr>
          <w:rFonts w:ascii="Arial" w:hAnsi="Arial" w:cs="Arial"/>
          <w:sz w:val="22"/>
          <w:szCs w:val="22"/>
          <w:lang w:val="en-US"/>
        </w:rPr>
        <w:t>1025</w:t>
      </w:r>
      <w:r w:rsidR="00BF0D19" w:rsidRPr="008C7FCA">
        <w:rPr>
          <w:rFonts w:ascii="Arial" w:hAnsi="Arial" w:cs="Arial"/>
          <w:sz w:val="22"/>
          <w:szCs w:val="22"/>
          <w:lang w:val="en-US"/>
        </w:rPr>
        <w:t xml:space="preserve"> patients and </w:t>
      </w:r>
      <w:r w:rsidR="00B23C62">
        <w:rPr>
          <w:rFonts w:ascii="Arial" w:hAnsi="Arial" w:cs="Arial"/>
          <w:sz w:val="22"/>
          <w:szCs w:val="22"/>
          <w:lang w:val="en-US"/>
        </w:rPr>
        <w:t>targeted</w:t>
      </w:r>
      <w:r w:rsidR="00BF0D19" w:rsidRPr="008C7FCA">
        <w:rPr>
          <w:rFonts w:ascii="Arial" w:hAnsi="Arial" w:cs="Arial"/>
          <w:sz w:val="22"/>
          <w:szCs w:val="22"/>
          <w:lang w:val="en-US"/>
        </w:rPr>
        <w:t xml:space="preserve"> sequencing in </w:t>
      </w:r>
      <w:r w:rsidR="00D60D77" w:rsidRPr="008C7FCA">
        <w:rPr>
          <w:rFonts w:ascii="Arial" w:hAnsi="Arial" w:cs="Arial"/>
          <w:sz w:val="22"/>
          <w:szCs w:val="22"/>
          <w:lang w:val="en-US"/>
        </w:rPr>
        <w:t>800</w:t>
      </w:r>
      <w:r w:rsidR="00BF0D19" w:rsidRPr="008C7FCA">
        <w:rPr>
          <w:rFonts w:ascii="Arial" w:hAnsi="Arial" w:cs="Arial"/>
          <w:sz w:val="22"/>
          <w:szCs w:val="22"/>
          <w:lang w:val="en-US"/>
        </w:rPr>
        <w:t xml:space="preserve"> patients (</w:t>
      </w:r>
      <w:r w:rsidR="00D60D77" w:rsidRPr="008C7FCA">
        <w:rPr>
          <w:rFonts w:ascii="Arial" w:hAnsi="Arial" w:cs="Arial"/>
          <w:sz w:val="22"/>
          <w:szCs w:val="22"/>
          <w:lang w:val="en-US"/>
        </w:rPr>
        <w:t>36</w:t>
      </w:r>
      <w:r w:rsidR="006E2B28">
        <w:rPr>
          <w:rFonts w:ascii="Arial" w:hAnsi="Arial" w:cs="Arial"/>
          <w:sz w:val="22"/>
          <w:szCs w:val="22"/>
          <w:lang w:val="en-US"/>
        </w:rPr>
        <w:t>4</w:t>
      </w:r>
      <w:r w:rsidR="00BF0D19" w:rsidRPr="008C7FCA">
        <w:rPr>
          <w:rFonts w:ascii="Arial" w:hAnsi="Arial" w:cs="Arial"/>
          <w:sz w:val="22"/>
          <w:szCs w:val="22"/>
          <w:lang w:val="en-US"/>
        </w:rPr>
        <w:t xml:space="preserve"> prospective and </w:t>
      </w:r>
      <w:r w:rsidR="00D60D77" w:rsidRPr="008C7FCA">
        <w:rPr>
          <w:rFonts w:ascii="Arial" w:hAnsi="Arial" w:cs="Arial"/>
          <w:sz w:val="22"/>
          <w:szCs w:val="22"/>
          <w:lang w:val="en-US"/>
        </w:rPr>
        <w:t>43</w:t>
      </w:r>
      <w:r w:rsidR="006E2B28">
        <w:rPr>
          <w:rFonts w:ascii="Arial" w:hAnsi="Arial" w:cs="Arial"/>
          <w:sz w:val="22"/>
          <w:szCs w:val="22"/>
          <w:lang w:val="en-US"/>
        </w:rPr>
        <w:t>6</w:t>
      </w:r>
      <w:r w:rsidR="00BF0D19" w:rsidRPr="008C7FCA">
        <w:rPr>
          <w:rFonts w:ascii="Arial" w:hAnsi="Arial" w:cs="Arial"/>
          <w:sz w:val="22"/>
          <w:szCs w:val="22"/>
          <w:lang w:val="en-US"/>
        </w:rPr>
        <w:t xml:space="preserve"> retrospective)</w:t>
      </w:r>
      <w:r w:rsidR="004B43C4" w:rsidRPr="008C7FCA">
        <w:rPr>
          <w:rFonts w:ascii="Arial" w:hAnsi="Arial" w:cs="Arial"/>
          <w:sz w:val="22"/>
          <w:szCs w:val="22"/>
          <w:lang w:val="en-US"/>
        </w:rPr>
        <w:t xml:space="preserve">. </w:t>
      </w:r>
      <w:r w:rsidR="008977F9" w:rsidRPr="008C7FCA">
        <w:rPr>
          <w:rFonts w:ascii="Arial" w:hAnsi="Arial" w:cs="Arial"/>
          <w:sz w:val="22"/>
          <w:szCs w:val="22"/>
          <w:lang w:val="en-US"/>
        </w:rPr>
        <w:t xml:space="preserve">The median time from blood draw to ctDNA results was </w:t>
      </w:r>
      <w:r w:rsidR="007769F1">
        <w:rPr>
          <w:rFonts w:ascii="Arial" w:hAnsi="Arial" w:cs="Arial"/>
          <w:sz w:val="22"/>
          <w:szCs w:val="22"/>
          <w:lang w:val="en-US"/>
        </w:rPr>
        <w:t>13</w:t>
      </w:r>
      <w:r w:rsidR="007769F1" w:rsidRPr="007769F1">
        <w:rPr>
          <w:rFonts w:ascii="Arial" w:hAnsi="Arial" w:cs="Arial"/>
          <w:sz w:val="22"/>
          <w:szCs w:val="22"/>
          <w:lang w:val="en-US"/>
        </w:rPr>
        <w:t xml:space="preserve"> days</w:t>
      </w:r>
      <w:r w:rsidR="007769F1">
        <w:rPr>
          <w:rFonts w:ascii="Arial" w:hAnsi="Arial" w:cs="Arial"/>
          <w:sz w:val="22"/>
          <w:szCs w:val="22"/>
          <w:lang w:val="en-US"/>
        </w:rPr>
        <w:t xml:space="preserve"> for digital PCR</w:t>
      </w:r>
      <w:r w:rsidR="007769F1" w:rsidRPr="007769F1">
        <w:rPr>
          <w:rFonts w:ascii="Arial" w:hAnsi="Arial" w:cs="Arial"/>
          <w:sz w:val="22"/>
          <w:szCs w:val="22"/>
          <w:lang w:val="en-US"/>
        </w:rPr>
        <w:t xml:space="preserve"> (</w:t>
      </w:r>
      <w:r w:rsidR="007769F1" w:rsidRPr="006E378E">
        <w:rPr>
          <w:rFonts w:ascii="Arial" w:hAnsi="Arial" w:cs="Arial"/>
          <w:sz w:val="22"/>
          <w:szCs w:val="22"/>
          <w:lang w:val="en-US"/>
        </w:rPr>
        <w:t>inter-quartile range</w:t>
      </w:r>
      <w:r w:rsidR="007769F1">
        <w:rPr>
          <w:rFonts w:ascii="Arial" w:hAnsi="Arial" w:cs="Arial"/>
          <w:sz w:val="22"/>
          <w:szCs w:val="22"/>
          <w:lang w:val="en-US"/>
        </w:rPr>
        <w:t xml:space="preserve">, </w:t>
      </w:r>
      <w:r w:rsidR="007769F1" w:rsidRPr="007769F1">
        <w:rPr>
          <w:rFonts w:ascii="Arial" w:hAnsi="Arial" w:cs="Arial"/>
          <w:sz w:val="22"/>
          <w:szCs w:val="22"/>
          <w:lang w:val="en-US"/>
        </w:rPr>
        <w:t xml:space="preserve">IQR:11-15) </w:t>
      </w:r>
      <w:r w:rsidR="007769F1">
        <w:rPr>
          <w:rFonts w:ascii="Arial" w:hAnsi="Arial" w:cs="Arial"/>
          <w:sz w:val="22"/>
          <w:szCs w:val="22"/>
          <w:lang w:val="en-US"/>
        </w:rPr>
        <w:t>and 10 days for sequencing</w:t>
      </w:r>
      <w:r w:rsidR="007769F1" w:rsidRPr="006E378E">
        <w:rPr>
          <w:rFonts w:ascii="Arial" w:hAnsi="Arial" w:cs="Arial"/>
          <w:sz w:val="22"/>
          <w:szCs w:val="22"/>
          <w:lang w:val="en-US"/>
        </w:rPr>
        <w:t xml:space="preserve"> </w:t>
      </w:r>
      <w:r w:rsidR="007769F1">
        <w:rPr>
          <w:rFonts w:ascii="Arial" w:hAnsi="Arial" w:cs="Arial"/>
          <w:sz w:val="22"/>
          <w:szCs w:val="22"/>
          <w:lang w:val="en-US"/>
        </w:rPr>
        <w:t>(</w:t>
      </w:r>
      <w:r w:rsidR="007769F1" w:rsidRPr="007769F1">
        <w:rPr>
          <w:rFonts w:ascii="Arial" w:hAnsi="Arial" w:cs="Arial"/>
          <w:sz w:val="22"/>
          <w:szCs w:val="22"/>
          <w:lang w:val="en-US"/>
        </w:rPr>
        <w:t>IQR:8-11</w:t>
      </w:r>
      <w:r w:rsidR="007769F1">
        <w:rPr>
          <w:rFonts w:ascii="Arial" w:hAnsi="Arial" w:cs="Arial"/>
          <w:sz w:val="22"/>
          <w:szCs w:val="22"/>
          <w:lang w:val="en-US"/>
        </w:rPr>
        <w:t>).</w:t>
      </w:r>
      <w:r w:rsidR="008977F9" w:rsidRPr="008C7FCA">
        <w:rPr>
          <w:rFonts w:ascii="Arial" w:hAnsi="Arial" w:cs="Arial"/>
          <w:sz w:val="22"/>
          <w:szCs w:val="22"/>
          <w:lang w:val="en-US"/>
        </w:rPr>
        <w:t xml:space="preserve"> </w:t>
      </w:r>
      <w:r w:rsidR="00F74F68">
        <w:rPr>
          <w:rFonts w:ascii="Arial" w:hAnsi="Arial" w:cs="Arial"/>
          <w:sz w:val="22"/>
          <w:szCs w:val="22"/>
          <w:lang w:val="en-US"/>
        </w:rPr>
        <w:t>P</w:t>
      </w:r>
      <w:r w:rsidR="003E2468">
        <w:rPr>
          <w:rFonts w:ascii="Arial" w:hAnsi="Arial" w:cs="Arial"/>
          <w:sz w:val="22"/>
          <w:szCs w:val="22"/>
          <w:lang w:val="en-US"/>
        </w:rPr>
        <w:t>atients had had</w:t>
      </w:r>
      <w:r w:rsidR="004B43C4" w:rsidRPr="00D27308">
        <w:rPr>
          <w:rFonts w:ascii="Arial" w:hAnsi="Arial" w:cs="Arial"/>
          <w:sz w:val="22"/>
          <w:szCs w:val="22"/>
          <w:lang w:val="en-US"/>
        </w:rPr>
        <w:t xml:space="preserve"> a median of </w:t>
      </w:r>
      <w:r w:rsidR="00EC7053" w:rsidRPr="00D27308">
        <w:rPr>
          <w:rFonts w:ascii="Arial" w:hAnsi="Arial" w:cs="Arial"/>
          <w:sz w:val="22"/>
          <w:szCs w:val="22"/>
          <w:lang w:val="en-US"/>
        </w:rPr>
        <w:t xml:space="preserve">1 (IQR:0-2) </w:t>
      </w:r>
      <w:r w:rsidR="004B43C4" w:rsidRPr="00D27308">
        <w:rPr>
          <w:rFonts w:ascii="Arial" w:hAnsi="Arial" w:cs="Arial"/>
          <w:sz w:val="22"/>
          <w:szCs w:val="22"/>
          <w:lang w:val="en-US"/>
        </w:rPr>
        <w:t>prior lines of chemotherapy</w:t>
      </w:r>
      <w:r w:rsidR="007769F1" w:rsidRPr="00D27308">
        <w:rPr>
          <w:rFonts w:ascii="Arial" w:hAnsi="Arial" w:cs="Arial"/>
          <w:sz w:val="22"/>
          <w:szCs w:val="22"/>
          <w:lang w:val="en-US"/>
        </w:rPr>
        <w:t xml:space="preserve">, </w:t>
      </w:r>
      <w:r w:rsidR="00EC7053" w:rsidRPr="00AC0B0D">
        <w:rPr>
          <w:rFonts w:ascii="Arial" w:hAnsi="Arial" w:cs="Arial"/>
          <w:sz w:val="22"/>
          <w:szCs w:val="22"/>
          <w:lang w:val="en-US"/>
        </w:rPr>
        <w:t>and</w:t>
      </w:r>
      <w:r w:rsidR="004B43C4" w:rsidRPr="00AC0B0D">
        <w:rPr>
          <w:rFonts w:ascii="Arial" w:hAnsi="Arial" w:cs="Arial"/>
          <w:sz w:val="22"/>
          <w:szCs w:val="22"/>
          <w:lang w:val="en-US"/>
        </w:rPr>
        <w:t xml:space="preserve"> a median </w:t>
      </w:r>
      <w:r w:rsidR="000807EE">
        <w:rPr>
          <w:rFonts w:ascii="Arial" w:hAnsi="Arial" w:cs="Arial"/>
          <w:sz w:val="22"/>
          <w:szCs w:val="22"/>
          <w:lang w:val="en-US"/>
        </w:rPr>
        <w:t xml:space="preserve">of </w:t>
      </w:r>
      <w:r w:rsidR="00EC7053">
        <w:rPr>
          <w:rFonts w:ascii="Arial" w:hAnsi="Arial" w:cs="Arial"/>
          <w:sz w:val="22"/>
          <w:szCs w:val="22"/>
          <w:lang w:val="en-US"/>
        </w:rPr>
        <w:t>2 (IQR:1-3)</w:t>
      </w:r>
      <w:r w:rsidR="00EC7053" w:rsidRPr="008C7FCA">
        <w:rPr>
          <w:rFonts w:ascii="Arial" w:hAnsi="Arial" w:cs="Arial"/>
          <w:sz w:val="22"/>
          <w:szCs w:val="22"/>
          <w:lang w:val="en-US"/>
        </w:rPr>
        <w:t xml:space="preserve"> </w:t>
      </w:r>
      <w:r w:rsidR="004B43C4" w:rsidRPr="008C7FCA">
        <w:rPr>
          <w:rFonts w:ascii="Arial" w:hAnsi="Arial" w:cs="Arial"/>
          <w:sz w:val="22"/>
          <w:szCs w:val="22"/>
          <w:lang w:val="en-US"/>
        </w:rPr>
        <w:t xml:space="preserve">prior lines of </w:t>
      </w:r>
      <w:r w:rsidR="005F0C80">
        <w:rPr>
          <w:rFonts w:ascii="Arial" w:hAnsi="Arial" w:cs="Arial"/>
          <w:sz w:val="22"/>
          <w:szCs w:val="22"/>
          <w:lang w:val="en-US"/>
        </w:rPr>
        <w:t>systemic therapy</w:t>
      </w:r>
      <w:r w:rsidR="00EC7053" w:rsidRPr="00EC7053">
        <w:rPr>
          <w:rFonts w:ascii="Arial" w:hAnsi="Arial" w:cs="Arial"/>
          <w:sz w:val="22"/>
          <w:szCs w:val="22"/>
          <w:lang w:val="en-US"/>
        </w:rPr>
        <w:t xml:space="preserve"> </w:t>
      </w:r>
      <w:r w:rsidR="00EC7053" w:rsidRPr="008C7FCA">
        <w:rPr>
          <w:rFonts w:ascii="Arial" w:hAnsi="Arial" w:cs="Arial"/>
          <w:sz w:val="22"/>
          <w:szCs w:val="22"/>
          <w:lang w:val="en-US"/>
        </w:rPr>
        <w:t>(Table</w:t>
      </w:r>
      <w:r w:rsidR="002522D6">
        <w:rPr>
          <w:rFonts w:ascii="Arial" w:hAnsi="Arial" w:cs="Arial"/>
          <w:sz w:val="22"/>
          <w:szCs w:val="22"/>
          <w:lang w:val="en-US"/>
        </w:rPr>
        <w:t xml:space="preserve"> </w:t>
      </w:r>
      <w:r w:rsidR="00EC7053" w:rsidRPr="008C7FCA">
        <w:rPr>
          <w:rFonts w:ascii="Arial" w:hAnsi="Arial" w:cs="Arial"/>
          <w:sz w:val="22"/>
          <w:szCs w:val="22"/>
          <w:lang w:val="en-US"/>
        </w:rPr>
        <w:t>1)</w:t>
      </w:r>
      <w:r w:rsidR="004B43C4" w:rsidRPr="008C7FCA">
        <w:rPr>
          <w:rFonts w:ascii="Arial" w:hAnsi="Arial" w:cs="Arial"/>
          <w:sz w:val="22"/>
          <w:szCs w:val="22"/>
          <w:lang w:val="en-US"/>
        </w:rPr>
        <w:t>.</w:t>
      </w:r>
      <w:r w:rsidR="00655FDE" w:rsidRPr="008C7FCA">
        <w:rPr>
          <w:rFonts w:ascii="Arial" w:hAnsi="Arial" w:cs="Arial"/>
          <w:sz w:val="22"/>
          <w:szCs w:val="22"/>
          <w:lang w:val="en-US"/>
        </w:rPr>
        <w:t xml:space="preserve"> </w:t>
      </w:r>
    </w:p>
    <w:p w14:paraId="56835D45" w14:textId="77777777" w:rsidR="00E14AD9" w:rsidRPr="008C7FCA" w:rsidRDefault="00E14AD9" w:rsidP="004B43C4">
      <w:pPr>
        <w:jc w:val="both"/>
        <w:rPr>
          <w:rFonts w:ascii="Arial" w:hAnsi="Arial" w:cs="Arial"/>
          <w:sz w:val="22"/>
          <w:szCs w:val="22"/>
          <w:lang w:val="en-US"/>
        </w:rPr>
      </w:pPr>
    </w:p>
    <w:p w14:paraId="4DDE6524" w14:textId="5D792E60" w:rsidR="009347DF" w:rsidRPr="008C7FCA" w:rsidRDefault="00B03C0F" w:rsidP="009347DF">
      <w:pPr>
        <w:jc w:val="both"/>
        <w:rPr>
          <w:rFonts w:ascii="Arial" w:hAnsi="Arial" w:cs="Arial"/>
          <w:sz w:val="22"/>
          <w:szCs w:val="22"/>
          <w:lang w:val="en-US"/>
        </w:rPr>
      </w:pPr>
      <w:r w:rsidRPr="008C7FCA">
        <w:rPr>
          <w:rFonts w:ascii="Arial" w:hAnsi="Arial" w:cs="Arial"/>
          <w:sz w:val="22"/>
          <w:szCs w:val="22"/>
          <w:lang w:val="en-US"/>
        </w:rPr>
        <w:t xml:space="preserve">A somatic mutation was detected in </w:t>
      </w:r>
      <w:r w:rsidR="007769F1">
        <w:rPr>
          <w:rFonts w:ascii="Arial" w:hAnsi="Arial" w:cs="Arial"/>
          <w:sz w:val="22"/>
          <w:szCs w:val="22"/>
          <w:lang w:val="en-US"/>
        </w:rPr>
        <w:t>92.9</w:t>
      </w:r>
      <w:r w:rsidRPr="008C7FCA">
        <w:rPr>
          <w:rFonts w:ascii="Arial" w:hAnsi="Arial" w:cs="Arial"/>
          <w:sz w:val="22"/>
          <w:szCs w:val="22"/>
          <w:lang w:val="en-US"/>
        </w:rPr>
        <w:t xml:space="preserve">% </w:t>
      </w:r>
      <w:r w:rsidR="009E1E02" w:rsidRPr="008C7FCA">
        <w:rPr>
          <w:rFonts w:ascii="Arial" w:hAnsi="Arial" w:cs="Arial"/>
          <w:sz w:val="22"/>
          <w:szCs w:val="22"/>
          <w:lang w:val="en-US"/>
        </w:rPr>
        <w:t>(</w:t>
      </w:r>
      <w:r w:rsidR="006F177B" w:rsidRPr="00D1460C">
        <w:rPr>
          <w:rFonts w:ascii="Arial" w:hAnsi="Arial" w:cs="Arial"/>
          <w:sz w:val="22"/>
          <w:szCs w:val="22"/>
          <w:lang w:val="en-US"/>
        </w:rPr>
        <w:t>743</w:t>
      </w:r>
      <w:r w:rsidR="009E1E02" w:rsidRPr="008C7FCA">
        <w:rPr>
          <w:rFonts w:ascii="Arial" w:hAnsi="Arial" w:cs="Arial"/>
          <w:sz w:val="22"/>
          <w:szCs w:val="22"/>
          <w:lang w:val="en-US"/>
        </w:rPr>
        <w:t>/</w:t>
      </w:r>
      <w:r w:rsidR="006F177B" w:rsidRPr="00D1460C">
        <w:rPr>
          <w:rFonts w:ascii="Arial" w:hAnsi="Arial" w:cs="Arial"/>
          <w:sz w:val="22"/>
          <w:szCs w:val="22"/>
          <w:lang w:val="en-US"/>
        </w:rPr>
        <w:t>800</w:t>
      </w:r>
      <w:r w:rsidR="009E1E02" w:rsidRPr="008C7FCA">
        <w:rPr>
          <w:rFonts w:ascii="Arial" w:hAnsi="Arial" w:cs="Arial"/>
          <w:sz w:val="22"/>
          <w:szCs w:val="22"/>
          <w:lang w:val="en-US"/>
        </w:rPr>
        <w:t xml:space="preserve">) </w:t>
      </w:r>
      <w:r w:rsidRPr="008C7FCA">
        <w:rPr>
          <w:rFonts w:ascii="Arial" w:hAnsi="Arial" w:cs="Arial"/>
          <w:sz w:val="22"/>
          <w:szCs w:val="22"/>
          <w:lang w:val="en-US"/>
        </w:rPr>
        <w:t xml:space="preserve">of patients with </w:t>
      </w:r>
      <w:r w:rsidR="00F74F68">
        <w:rPr>
          <w:rFonts w:ascii="Arial" w:hAnsi="Arial" w:cs="Arial"/>
          <w:sz w:val="22"/>
          <w:szCs w:val="22"/>
          <w:lang w:val="en-US"/>
        </w:rPr>
        <w:t xml:space="preserve">ctDNA targeted </w:t>
      </w:r>
      <w:r w:rsidRPr="008C7FCA">
        <w:rPr>
          <w:rFonts w:ascii="Arial" w:hAnsi="Arial" w:cs="Arial"/>
          <w:sz w:val="22"/>
          <w:szCs w:val="22"/>
          <w:lang w:val="en-US"/>
        </w:rPr>
        <w:t>sequencing</w:t>
      </w:r>
      <w:r w:rsidR="00F74F68">
        <w:rPr>
          <w:rFonts w:ascii="Arial" w:hAnsi="Arial" w:cs="Arial"/>
          <w:sz w:val="22"/>
          <w:szCs w:val="22"/>
          <w:lang w:val="en-US"/>
        </w:rPr>
        <w:t xml:space="preserve"> results</w:t>
      </w:r>
      <w:r w:rsidRPr="008C7FCA">
        <w:rPr>
          <w:rFonts w:ascii="Arial" w:hAnsi="Arial" w:cs="Arial"/>
          <w:sz w:val="22"/>
          <w:szCs w:val="22"/>
          <w:lang w:val="en-US"/>
        </w:rPr>
        <w:t xml:space="preserve">. </w:t>
      </w:r>
      <w:r w:rsidR="009347DF" w:rsidRPr="008C7FCA">
        <w:rPr>
          <w:rFonts w:ascii="Arial" w:hAnsi="Arial" w:cs="Arial"/>
          <w:i/>
          <w:iCs/>
          <w:sz w:val="22"/>
          <w:szCs w:val="22"/>
          <w:lang w:val="en-US"/>
        </w:rPr>
        <w:t>ESR1</w:t>
      </w:r>
      <w:r w:rsidR="009347DF" w:rsidRPr="008C7FCA">
        <w:rPr>
          <w:rFonts w:ascii="Arial" w:hAnsi="Arial" w:cs="Arial"/>
          <w:sz w:val="22"/>
          <w:szCs w:val="22"/>
          <w:lang w:val="en-US"/>
        </w:rPr>
        <w:t xml:space="preserve"> </w:t>
      </w:r>
      <w:r w:rsidR="009347DF" w:rsidRPr="00487484">
        <w:rPr>
          <w:rFonts w:ascii="Arial" w:hAnsi="Arial" w:cs="Arial"/>
          <w:sz w:val="22"/>
          <w:szCs w:val="22"/>
          <w:lang w:val="en-US"/>
        </w:rPr>
        <w:t xml:space="preserve">mutations were found </w:t>
      </w:r>
      <w:r w:rsidR="005F0ED6" w:rsidRPr="00487484">
        <w:rPr>
          <w:rFonts w:ascii="Arial" w:hAnsi="Arial" w:cs="Arial"/>
          <w:sz w:val="22"/>
          <w:szCs w:val="22"/>
          <w:lang w:val="en-US"/>
        </w:rPr>
        <w:t xml:space="preserve">almost exclusively </w:t>
      </w:r>
      <w:r w:rsidR="009347DF" w:rsidRPr="00487484">
        <w:rPr>
          <w:rFonts w:ascii="Arial" w:hAnsi="Arial" w:cs="Arial"/>
          <w:sz w:val="22"/>
          <w:szCs w:val="22"/>
          <w:lang w:val="en-US"/>
        </w:rPr>
        <w:t xml:space="preserve">in </w:t>
      </w:r>
      <w:r w:rsidR="00F74F68" w:rsidRPr="00487484">
        <w:rPr>
          <w:rFonts w:ascii="Arial" w:hAnsi="Arial" w:cs="Arial"/>
          <w:sz w:val="22"/>
          <w:szCs w:val="22"/>
          <w:lang w:val="en-US"/>
        </w:rPr>
        <w:t>hormone receptor positive (</w:t>
      </w:r>
      <w:r w:rsidR="009347DF" w:rsidRPr="00487484">
        <w:rPr>
          <w:rFonts w:ascii="Arial" w:hAnsi="Arial" w:cs="Arial"/>
          <w:sz w:val="22"/>
          <w:szCs w:val="22"/>
          <w:lang w:val="en-US"/>
        </w:rPr>
        <w:t>HR</w:t>
      </w:r>
      <w:r w:rsidR="005E08B9" w:rsidRPr="00487484">
        <w:rPr>
          <w:rFonts w:ascii="Arial" w:hAnsi="Arial" w:cs="Arial"/>
          <w:sz w:val="22"/>
          <w:szCs w:val="22"/>
          <w:lang w:val="en-US"/>
        </w:rPr>
        <w:t>-positive</w:t>
      </w:r>
      <w:r w:rsidR="00F74F68" w:rsidRPr="00487484">
        <w:rPr>
          <w:rFonts w:ascii="Arial" w:hAnsi="Arial" w:cs="Arial"/>
          <w:sz w:val="22"/>
          <w:szCs w:val="22"/>
          <w:lang w:val="en-US"/>
        </w:rPr>
        <w:t>)</w:t>
      </w:r>
      <w:r w:rsidR="009347DF" w:rsidRPr="00487484">
        <w:rPr>
          <w:rFonts w:ascii="Arial" w:hAnsi="Arial" w:cs="Arial"/>
          <w:sz w:val="22"/>
          <w:szCs w:val="22"/>
          <w:lang w:val="en-US"/>
        </w:rPr>
        <w:t xml:space="preserve"> breast cancer</w:t>
      </w:r>
      <w:r w:rsidR="00AA55E5" w:rsidRPr="00487484">
        <w:rPr>
          <w:rFonts w:ascii="Arial" w:hAnsi="Arial" w:cs="Arial"/>
          <w:sz w:val="22"/>
          <w:szCs w:val="22"/>
          <w:lang w:val="en-US"/>
        </w:rPr>
        <w:t xml:space="preserve"> (</w:t>
      </w:r>
      <w:r w:rsidR="00623689" w:rsidRPr="00487484">
        <w:rPr>
          <w:rFonts w:ascii="Arial" w:hAnsi="Arial" w:cs="Arial"/>
          <w:sz w:val="22"/>
          <w:szCs w:val="22"/>
          <w:lang w:val="en-US"/>
        </w:rPr>
        <w:t>appendix p</w:t>
      </w:r>
      <w:r w:rsidR="0067473B">
        <w:rPr>
          <w:rFonts w:ascii="Arial" w:hAnsi="Arial" w:cs="Arial"/>
          <w:sz w:val="22"/>
          <w:szCs w:val="22"/>
          <w:lang w:val="en-US"/>
        </w:rPr>
        <w:t>18</w:t>
      </w:r>
      <w:r w:rsidR="00AA55E5" w:rsidRPr="00487484">
        <w:rPr>
          <w:rFonts w:ascii="Arial" w:hAnsi="Arial" w:cs="Arial"/>
          <w:sz w:val="22"/>
          <w:szCs w:val="22"/>
          <w:lang w:val="en-US"/>
        </w:rPr>
        <w:t>)</w:t>
      </w:r>
      <w:r w:rsidR="009347DF" w:rsidRPr="00487484">
        <w:rPr>
          <w:rFonts w:ascii="Arial" w:hAnsi="Arial" w:cs="Arial"/>
          <w:sz w:val="22"/>
          <w:szCs w:val="22"/>
          <w:lang w:val="en-US"/>
        </w:rPr>
        <w:t xml:space="preserve">. </w:t>
      </w:r>
      <w:r w:rsidR="00955D0E" w:rsidRPr="00487484">
        <w:rPr>
          <w:rFonts w:ascii="Arial" w:hAnsi="Arial" w:cs="Arial"/>
          <w:i/>
          <w:sz w:val="22"/>
          <w:szCs w:val="22"/>
          <w:lang w:val="en-US"/>
        </w:rPr>
        <w:t>ERBB2</w:t>
      </w:r>
      <w:r w:rsidR="00955D0E" w:rsidRPr="00487484">
        <w:rPr>
          <w:rFonts w:ascii="Arial" w:hAnsi="Arial" w:cs="Arial"/>
          <w:sz w:val="22"/>
          <w:szCs w:val="22"/>
          <w:lang w:val="en-US"/>
        </w:rPr>
        <w:t xml:space="preserve"> </w:t>
      </w:r>
      <w:r w:rsidR="009347DF" w:rsidRPr="00487484">
        <w:rPr>
          <w:rFonts w:ascii="Arial" w:hAnsi="Arial" w:cs="Arial"/>
          <w:sz w:val="22"/>
          <w:szCs w:val="22"/>
          <w:lang w:val="en-US"/>
        </w:rPr>
        <w:t xml:space="preserve">mutations </w:t>
      </w:r>
      <w:r w:rsidR="00F22465" w:rsidRPr="00487484">
        <w:rPr>
          <w:rFonts w:ascii="Arial" w:hAnsi="Arial" w:cs="Arial"/>
          <w:sz w:val="22"/>
          <w:szCs w:val="22"/>
          <w:lang w:val="en-US"/>
        </w:rPr>
        <w:t xml:space="preserve">were </w:t>
      </w:r>
      <w:r w:rsidR="00AA55E5" w:rsidRPr="00487484">
        <w:rPr>
          <w:rFonts w:ascii="Arial" w:hAnsi="Arial" w:cs="Arial"/>
          <w:sz w:val="22"/>
          <w:szCs w:val="22"/>
          <w:lang w:val="en-US"/>
        </w:rPr>
        <w:t xml:space="preserve">least common in </w:t>
      </w:r>
      <w:r w:rsidR="00F22465" w:rsidRPr="00487484">
        <w:rPr>
          <w:rFonts w:ascii="Arial" w:hAnsi="Arial" w:cs="Arial"/>
          <w:sz w:val="22"/>
          <w:szCs w:val="22"/>
          <w:lang w:val="en-US"/>
        </w:rPr>
        <w:t>TNBC</w:t>
      </w:r>
      <w:r w:rsidR="00AA55E5" w:rsidRPr="00487484">
        <w:rPr>
          <w:rFonts w:ascii="Arial" w:hAnsi="Arial" w:cs="Arial"/>
          <w:sz w:val="22"/>
          <w:szCs w:val="22"/>
          <w:lang w:val="en-US"/>
        </w:rPr>
        <w:t xml:space="preserve">, </w:t>
      </w:r>
      <w:r w:rsidR="000807EE" w:rsidRPr="00487484">
        <w:rPr>
          <w:rFonts w:ascii="Arial" w:hAnsi="Arial" w:cs="Arial"/>
          <w:sz w:val="22"/>
          <w:szCs w:val="22"/>
          <w:lang w:val="en-US"/>
        </w:rPr>
        <w:t>whilst</w:t>
      </w:r>
      <w:r w:rsidR="00AA55E5" w:rsidRPr="00487484">
        <w:rPr>
          <w:rFonts w:ascii="Arial" w:hAnsi="Arial" w:cs="Arial"/>
          <w:sz w:val="22"/>
          <w:szCs w:val="22"/>
          <w:lang w:val="en-US"/>
        </w:rPr>
        <w:t xml:space="preserve"> </w:t>
      </w:r>
      <w:r w:rsidR="009347DF" w:rsidRPr="00487484">
        <w:rPr>
          <w:rFonts w:ascii="Arial" w:hAnsi="Arial" w:cs="Arial"/>
          <w:i/>
          <w:sz w:val="22"/>
          <w:szCs w:val="22"/>
          <w:lang w:val="en-US"/>
        </w:rPr>
        <w:t>AKT1</w:t>
      </w:r>
      <w:r w:rsidR="009347DF" w:rsidRPr="00487484">
        <w:rPr>
          <w:rFonts w:ascii="Arial" w:hAnsi="Arial" w:cs="Arial"/>
          <w:sz w:val="22"/>
          <w:szCs w:val="22"/>
          <w:lang w:val="en-US"/>
        </w:rPr>
        <w:t xml:space="preserve"> mutations were found at</w:t>
      </w:r>
      <w:r w:rsidR="00AA55E5" w:rsidRPr="00487484">
        <w:rPr>
          <w:rFonts w:ascii="Arial" w:hAnsi="Arial" w:cs="Arial"/>
          <w:sz w:val="22"/>
          <w:szCs w:val="22"/>
          <w:lang w:val="en-US"/>
        </w:rPr>
        <w:t xml:space="preserve"> </w:t>
      </w:r>
      <w:r w:rsidR="009E1E02" w:rsidRPr="00487484">
        <w:rPr>
          <w:rFonts w:ascii="Arial" w:hAnsi="Arial" w:cs="Arial"/>
          <w:sz w:val="22"/>
          <w:szCs w:val="22"/>
          <w:lang w:val="en-US"/>
        </w:rPr>
        <w:t xml:space="preserve">similar </w:t>
      </w:r>
      <w:r w:rsidR="00AA55E5" w:rsidRPr="00487484">
        <w:rPr>
          <w:rFonts w:ascii="Arial" w:hAnsi="Arial" w:cs="Arial"/>
          <w:sz w:val="22"/>
          <w:szCs w:val="22"/>
          <w:lang w:val="en-US"/>
        </w:rPr>
        <w:t xml:space="preserve">frequency </w:t>
      </w:r>
      <w:r w:rsidR="000807EE" w:rsidRPr="00487484">
        <w:rPr>
          <w:rFonts w:ascii="Arial" w:hAnsi="Arial" w:cs="Arial"/>
          <w:sz w:val="22"/>
          <w:szCs w:val="22"/>
          <w:lang w:val="en-US"/>
        </w:rPr>
        <w:t xml:space="preserve">in </w:t>
      </w:r>
      <w:r w:rsidR="00AA55E5" w:rsidRPr="00487484">
        <w:rPr>
          <w:rFonts w:ascii="Arial" w:hAnsi="Arial" w:cs="Arial"/>
          <w:sz w:val="22"/>
          <w:szCs w:val="22"/>
          <w:lang w:val="en-US"/>
        </w:rPr>
        <w:t>HR</w:t>
      </w:r>
      <w:r w:rsidR="005E08B9" w:rsidRPr="00487484">
        <w:rPr>
          <w:rFonts w:ascii="Arial" w:hAnsi="Arial" w:cs="Arial"/>
          <w:sz w:val="22"/>
          <w:szCs w:val="22"/>
          <w:lang w:val="en-US"/>
        </w:rPr>
        <w:t xml:space="preserve">-positive </w:t>
      </w:r>
      <w:r w:rsidR="00AA55E5" w:rsidRPr="00487484">
        <w:rPr>
          <w:rFonts w:ascii="Arial" w:hAnsi="Arial" w:cs="Arial"/>
          <w:sz w:val="22"/>
          <w:szCs w:val="22"/>
          <w:lang w:val="en-US"/>
        </w:rPr>
        <w:t>HER2-</w:t>
      </w:r>
      <w:r w:rsidR="005E08B9" w:rsidRPr="00487484">
        <w:rPr>
          <w:rFonts w:ascii="Arial" w:hAnsi="Arial" w:cs="Arial"/>
          <w:sz w:val="22"/>
          <w:szCs w:val="22"/>
          <w:lang w:val="en-US"/>
        </w:rPr>
        <w:t>negative breast cancer</w:t>
      </w:r>
      <w:r w:rsidR="00AA55E5" w:rsidRPr="00487484">
        <w:rPr>
          <w:rFonts w:ascii="Arial" w:hAnsi="Arial" w:cs="Arial"/>
          <w:sz w:val="22"/>
          <w:szCs w:val="22"/>
          <w:lang w:val="en-US"/>
        </w:rPr>
        <w:t xml:space="preserve"> and </w:t>
      </w:r>
      <w:r w:rsidR="00F22465" w:rsidRPr="00487484">
        <w:rPr>
          <w:rFonts w:ascii="Arial" w:hAnsi="Arial" w:cs="Arial"/>
          <w:sz w:val="22"/>
          <w:szCs w:val="22"/>
          <w:lang w:val="en-US"/>
        </w:rPr>
        <w:t>TNBC</w:t>
      </w:r>
      <w:r w:rsidR="008E2861" w:rsidRPr="00487484">
        <w:rPr>
          <w:rFonts w:ascii="Arial" w:hAnsi="Arial" w:cs="Arial"/>
          <w:sz w:val="22"/>
          <w:szCs w:val="22"/>
          <w:lang w:val="en-US"/>
        </w:rPr>
        <w:t xml:space="preserve">. </w:t>
      </w:r>
      <w:r w:rsidR="003C0155" w:rsidRPr="00487484">
        <w:rPr>
          <w:rFonts w:ascii="Arial" w:hAnsi="Arial" w:cs="Arial"/>
          <w:i/>
          <w:sz w:val="22"/>
          <w:szCs w:val="22"/>
          <w:lang w:val="en-US"/>
        </w:rPr>
        <w:t>ESR1</w:t>
      </w:r>
      <w:r w:rsidR="003C0155" w:rsidRPr="00487484">
        <w:rPr>
          <w:rFonts w:ascii="Arial" w:hAnsi="Arial" w:cs="Arial"/>
          <w:sz w:val="22"/>
          <w:szCs w:val="22"/>
          <w:lang w:val="en-US"/>
        </w:rPr>
        <w:t xml:space="preserve"> mutations were found at lower average allele fractions than other mutations </w:t>
      </w:r>
      <w:r w:rsidR="00534382" w:rsidRPr="00487484">
        <w:rPr>
          <w:rFonts w:ascii="Arial" w:hAnsi="Arial" w:cs="Arial"/>
          <w:sz w:val="22"/>
          <w:szCs w:val="22"/>
          <w:lang w:val="en-US"/>
        </w:rPr>
        <w:t>(</w:t>
      </w:r>
      <w:r w:rsidR="00CC0D54" w:rsidRPr="00487484">
        <w:rPr>
          <w:rFonts w:ascii="Arial" w:hAnsi="Arial" w:cs="Arial"/>
          <w:sz w:val="22"/>
          <w:szCs w:val="22"/>
          <w:lang w:val="en-US"/>
        </w:rPr>
        <w:t>appendix p</w:t>
      </w:r>
      <w:r w:rsidR="0067473B">
        <w:rPr>
          <w:rFonts w:ascii="Arial" w:hAnsi="Arial" w:cs="Arial"/>
          <w:sz w:val="22"/>
          <w:szCs w:val="22"/>
          <w:lang w:val="en-US"/>
        </w:rPr>
        <w:t>17</w:t>
      </w:r>
      <w:r w:rsidR="00534382" w:rsidRPr="00487484">
        <w:rPr>
          <w:rFonts w:ascii="Arial" w:hAnsi="Arial" w:cs="Arial"/>
          <w:sz w:val="22"/>
          <w:szCs w:val="22"/>
          <w:lang w:val="en-US"/>
        </w:rPr>
        <w:t xml:space="preserve">), and were frequently </w:t>
      </w:r>
      <w:r w:rsidR="00191618" w:rsidRPr="00487484">
        <w:rPr>
          <w:rFonts w:ascii="Arial" w:hAnsi="Arial" w:cs="Arial"/>
          <w:sz w:val="22"/>
          <w:szCs w:val="22"/>
          <w:lang w:val="en-US"/>
        </w:rPr>
        <w:t>poly</w:t>
      </w:r>
      <w:r w:rsidR="00534382" w:rsidRPr="00487484">
        <w:rPr>
          <w:rFonts w:ascii="Arial" w:hAnsi="Arial" w:cs="Arial"/>
          <w:sz w:val="22"/>
          <w:szCs w:val="22"/>
          <w:lang w:val="en-US"/>
        </w:rPr>
        <w:t>clonal (</w:t>
      </w:r>
      <w:r w:rsidR="00623689" w:rsidRPr="00487484">
        <w:rPr>
          <w:rFonts w:ascii="Arial" w:hAnsi="Arial" w:cs="Arial"/>
          <w:sz w:val="22"/>
          <w:szCs w:val="22"/>
          <w:lang w:val="en-US"/>
        </w:rPr>
        <w:t>appendix p</w:t>
      </w:r>
      <w:r w:rsidR="0067473B">
        <w:rPr>
          <w:rFonts w:ascii="Arial" w:hAnsi="Arial" w:cs="Arial"/>
          <w:sz w:val="22"/>
          <w:szCs w:val="22"/>
          <w:lang w:val="en-US"/>
        </w:rPr>
        <w:t>18</w:t>
      </w:r>
      <w:r w:rsidR="00191618" w:rsidRPr="00487484">
        <w:rPr>
          <w:rFonts w:ascii="Arial" w:hAnsi="Arial" w:cs="Arial"/>
          <w:sz w:val="22"/>
          <w:szCs w:val="22"/>
          <w:lang w:val="en-US"/>
        </w:rPr>
        <w:t>).</w:t>
      </w:r>
    </w:p>
    <w:p w14:paraId="51DFD791" w14:textId="135DBDE7" w:rsidR="004B43C4" w:rsidRPr="008C7FCA" w:rsidRDefault="004B43C4" w:rsidP="004B43C4">
      <w:pPr>
        <w:jc w:val="both"/>
        <w:rPr>
          <w:rFonts w:ascii="Arial" w:hAnsi="Arial" w:cs="Arial"/>
          <w:sz w:val="22"/>
          <w:szCs w:val="22"/>
          <w:lang w:val="en-US"/>
        </w:rPr>
      </w:pPr>
    </w:p>
    <w:p w14:paraId="52921990" w14:textId="52710914" w:rsidR="009347DF" w:rsidRPr="008C7FCA" w:rsidRDefault="004B43C4" w:rsidP="004B43C4">
      <w:pPr>
        <w:jc w:val="both"/>
        <w:rPr>
          <w:rFonts w:ascii="Arial" w:hAnsi="Arial" w:cs="Arial"/>
          <w:sz w:val="22"/>
          <w:szCs w:val="22"/>
          <w:lang w:val="en-US"/>
        </w:rPr>
      </w:pPr>
      <w:r w:rsidRPr="008C7FCA">
        <w:rPr>
          <w:rFonts w:ascii="Arial" w:hAnsi="Arial" w:cs="Arial"/>
          <w:sz w:val="22"/>
          <w:szCs w:val="22"/>
          <w:lang w:val="en-US"/>
        </w:rPr>
        <w:t>Gene</w:t>
      </w:r>
      <w:r w:rsidR="00691883">
        <w:rPr>
          <w:rFonts w:ascii="Arial" w:hAnsi="Arial" w:cs="Arial"/>
          <w:sz w:val="22"/>
          <w:szCs w:val="22"/>
          <w:lang w:val="en-US"/>
        </w:rPr>
        <w:t>-</w:t>
      </w:r>
      <w:r w:rsidRPr="008C7FCA">
        <w:rPr>
          <w:rFonts w:ascii="Arial" w:hAnsi="Arial" w:cs="Arial"/>
          <w:sz w:val="22"/>
          <w:szCs w:val="22"/>
          <w:lang w:val="en-US"/>
        </w:rPr>
        <w:t xml:space="preserve">level agreement </w:t>
      </w:r>
      <w:r w:rsidR="009347DF" w:rsidRPr="008C7FCA">
        <w:rPr>
          <w:rFonts w:ascii="Arial" w:hAnsi="Arial" w:cs="Arial"/>
          <w:sz w:val="22"/>
          <w:szCs w:val="22"/>
          <w:lang w:val="en-US"/>
        </w:rPr>
        <w:t xml:space="preserve">for mutation calling </w:t>
      </w:r>
      <w:r w:rsidRPr="008C7FCA">
        <w:rPr>
          <w:rFonts w:ascii="Arial" w:hAnsi="Arial" w:cs="Arial"/>
          <w:sz w:val="22"/>
          <w:szCs w:val="22"/>
          <w:lang w:val="en-US"/>
        </w:rPr>
        <w:t xml:space="preserve">between </w:t>
      </w:r>
      <w:r w:rsidR="00191618">
        <w:rPr>
          <w:rFonts w:ascii="Arial" w:hAnsi="Arial" w:cs="Arial"/>
          <w:sz w:val="22"/>
          <w:szCs w:val="22"/>
          <w:lang w:val="en-US"/>
        </w:rPr>
        <w:t xml:space="preserve">ctDNA </w:t>
      </w:r>
      <w:r w:rsidRPr="008C7FCA">
        <w:rPr>
          <w:rFonts w:ascii="Arial" w:hAnsi="Arial" w:cs="Arial"/>
          <w:sz w:val="22"/>
          <w:szCs w:val="22"/>
          <w:lang w:val="en-US"/>
        </w:rPr>
        <w:t xml:space="preserve">digital PCR and </w:t>
      </w:r>
      <w:r w:rsidR="00191618">
        <w:rPr>
          <w:rFonts w:ascii="Arial" w:hAnsi="Arial" w:cs="Arial"/>
          <w:sz w:val="22"/>
          <w:szCs w:val="22"/>
          <w:lang w:val="en-US"/>
        </w:rPr>
        <w:t xml:space="preserve">targeted </w:t>
      </w:r>
      <w:r w:rsidRPr="008C7FCA">
        <w:rPr>
          <w:rFonts w:ascii="Arial" w:hAnsi="Arial" w:cs="Arial"/>
          <w:sz w:val="22"/>
          <w:szCs w:val="22"/>
          <w:lang w:val="en-US"/>
        </w:rPr>
        <w:t xml:space="preserve">sequencing was </w:t>
      </w:r>
      <w:r w:rsidR="0064707A" w:rsidRPr="008C7FCA">
        <w:rPr>
          <w:rFonts w:ascii="Arial" w:hAnsi="Arial" w:cs="Arial"/>
          <w:sz w:val="22"/>
          <w:szCs w:val="22"/>
          <w:lang w:val="en-US"/>
        </w:rPr>
        <w:t>9</w:t>
      </w:r>
      <w:r w:rsidR="009954A8">
        <w:rPr>
          <w:rFonts w:ascii="Arial" w:hAnsi="Arial" w:cs="Arial"/>
          <w:sz w:val="22"/>
          <w:szCs w:val="22"/>
          <w:lang w:val="en-US"/>
        </w:rPr>
        <w:t>5</w:t>
      </w:r>
      <w:r w:rsidR="008B0C3C">
        <w:rPr>
          <w:rFonts w:ascii="Arial" w:hAnsi="Arial" w:cs="Arial"/>
          <w:sz w:val="22"/>
          <w:szCs w:val="22"/>
        </w:rPr>
        <w:t>.</w:t>
      </w:r>
      <w:r w:rsidR="00160D00">
        <w:rPr>
          <w:rFonts w:ascii="Arial" w:hAnsi="Arial" w:cs="Arial"/>
          <w:sz w:val="22"/>
          <w:szCs w:val="22"/>
          <w:lang w:val="en-US"/>
        </w:rPr>
        <w:t>5</w:t>
      </w:r>
      <w:r w:rsidR="0064707A" w:rsidRPr="008C7FCA">
        <w:rPr>
          <w:rFonts w:ascii="Arial" w:hAnsi="Arial" w:cs="Arial"/>
          <w:sz w:val="22"/>
          <w:szCs w:val="22"/>
          <w:lang w:val="en-US"/>
        </w:rPr>
        <w:t>%-99.4%</w:t>
      </w:r>
      <w:r w:rsidR="009C0E32">
        <w:rPr>
          <w:rFonts w:ascii="Arial" w:hAnsi="Arial" w:cs="Arial"/>
          <w:sz w:val="22"/>
          <w:szCs w:val="22"/>
          <w:lang w:val="en-US"/>
        </w:rPr>
        <w:t xml:space="preserve"> </w:t>
      </w:r>
      <w:r w:rsidR="006E3F25" w:rsidRPr="008C7FCA">
        <w:rPr>
          <w:rFonts w:ascii="Arial" w:hAnsi="Arial" w:cs="Arial"/>
          <w:sz w:val="22"/>
          <w:szCs w:val="22"/>
          <w:lang w:val="en-US"/>
        </w:rPr>
        <w:t>(</w:t>
      </w:r>
      <w:r w:rsidR="00DD17F8">
        <w:rPr>
          <w:rFonts w:ascii="Arial" w:hAnsi="Arial" w:cs="Arial"/>
          <w:sz w:val="22"/>
          <w:szCs w:val="22"/>
          <w:lang w:val="en-US"/>
        </w:rPr>
        <w:t>k</w:t>
      </w:r>
      <w:r w:rsidRPr="008C7FCA">
        <w:rPr>
          <w:rFonts w:ascii="Arial" w:hAnsi="Arial" w:cs="Arial"/>
          <w:sz w:val="22"/>
          <w:szCs w:val="22"/>
          <w:lang w:val="en-US"/>
        </w:rPr>
        <w:t>appa</w:t>
      </w:r>
      <w:r w:rsidR="00691883">
        <w:rPr>
          <w:rFonts w:ascii="Arial" w:hAnsi="Arial" w:cs="Arial"/>
          <w:sz w:val="22"/>
          <w:szCs w:val="22"/>
          <w:lang w:val="en-US"/>
        </w:rPr>
        <w:t xml:space="preserve"> </w:t>
      </w:r>
      <w:r w:rsidR="0064707A" w:rsidRPr="008C7FCA">
        <w:rPr>
          <w:rFonts w:ascii="Arial" w:hAnsi="Arial" w:cs="Arial"/>
          <w:sz w:val="22"/>
          <w:szCs w:val="22"/>
          <w:lang w:val="en-US"/>
        </w:rPr>
        <w:t>0.89-0.93</w:t>
      </w:r>
      <w:r w:rsidR="006E3F25" w:rsidRPr="008C7FCA">
        <w:rPr>
          <w:rFonts w:ascii="Arial" w:hAnsi="Arial" w:cs="Arial"/>
          <w:sz w:val="22"/>
          <w:szCs w:val="22"/>
          <w:lang w:val="en-US"/>
        </w:rPr>
        <w:t>,</w:t>
      </w:r>
      <w:r w:rsidR="00371E77">
        <w:rPr>
          <w:rFonts w:ascii="Arial" w:hAnsi="Arial" w:cs="Arial"/>
          <w:sz w:val="22"/>
          <w:szCs w:val="22"/>
          <w:lang w:val="en-US"/>
        </w:rPr>
        <w:t xml:space="preserve"> </w:t>
      </w:r>
      <w:r w:rsidR="00487484" w:rsidRPr="004A6019">
        <w:rPr>
          <w:rFonts w:ascii="Arial" w:hAnsi="Arial" w:cs="Arial"/>
          <w:sz w:val="22"/>
          <w:szCs w:val="22"/>
          <w:lang w:val="en-US"/>
        </w:rPr>
        <w:t>Figure 1</w:t>
      </w:r>
      <w:r w:rsidRPr="004A6019">
        <w:rPr>
          <w:rFonts w:ascii="Arial" w:hAnsi="Arial" w:cs="Arial"/>
          <w:sz w:val="22"/>
          <w:szCs w:val="22"/>
          <w:lang w:val="en-US"/>
        </w:rPr>
        <w:t>)</w:t>
      </w:r>
      <w:r w:rsidR="009347DF" w:rsidRPr="004A6019">
        <w:rPr>
          <w:rFonts w:ascii="Arial" w:hAnsi="Arial" w:cs="Arial"/>
          <w:sz w:val="22"/>
          <w:szCs w:val="22"/>
          <w:lang w:val="en-US"/>
        </w:rPr>
        <w:t xml:space="preserve">. Individual mutation agreements </w:t>
      </w:r>
      <w:r w:rsidR="0064707A" w:rsidRPr="004A6019">
        <w:rPr>
          <w:rFonts w:ascii="Arial" w:hAnsi="Arial" w:cs="Arial"/>
          <w:sz w:val="22"/>
          <w:szCs w:val="22"/>
          <w:lang w:val="en-US"/>
        </w:rPr>
        <w:t>were also</w:t>
      </w:r>
      <w:r w:rsidR="0064707A" w:rsidRPr="008C7FCA">
        <w:rPr>
          <w:rFonts w:ascii="Arial" w:hAnsi="Arial" w:cs="Arial"/>
          <w:sz w:val="22"/>
          <w:szCs w:val="22"/>
          <w:lang w:val="en-US"/>
        </w:rPr>
        <w:t xml:space="preserve"> </w:t>
      </w:r>
      <w:r w:rsidR="0064707A" w:rsidRPr="004A5F0D">
        <w:rPr>
          <w:rFonts w:ascii="Arial" w:hAnsi="Arial" w:cs="Arial"/>
          <w:sz w:val="22"/>
          <w:szCs w:val="22"/>
          <w:lang w:val="en-US"/>
        </w:rPr>
        <w:t>high</w:t>
      </w:r>
      <w:r w:rsidR="009347DF" w:rsidRPr="004A5F0D">
        <w:rPr>
          <w:rFonts w:ascii="Arial" w:hAnsi="Arial" w:cs="Arial"/>
          <w:sz w:val="22"/>
          <w:szCs w:val="22"/>
          <w:lang w:val="en-US"/>
        </w:rPr>
        <w:t xml:space="preserve"> (</w:t>
      </w:r>
      <w:r w:rsidR="00623689" w:rsidRPr="004A5F0D">
        <w:rPr>
          <w:rFonts w:ascii="Arial" w:hAnsi="Arial" w:cs="Arial"/>
          <w:sz w:val="22"/>
          <w:szCs w:val="22"/>
          <w:lang w:val="en-US"/>
        </w:rPr>
        <w:t>appendix p</w:t>
      </w:r>
      <w:r w:rsidR="0067473B">
        <w:rPr>
          <w:rFonts w:ascii="Arial" w:hAnsi="Arial" w:cs="Arial"/>
          <w:sz w:val="22"/>
          <w:szCs w:val="22"/>
          <w:lang w:val="en-US"/>
        </w:rPr>
        <w:t>19</w:t>
      </w:r>
      <w:r w:rsidR="009347DF" w:rsidRPr="004A5F0D">
        <w:rPr>
          <w:rFonts w:ascii="Arial" w:hAnsi="Arial" w:cs="Arial"/>
          <w:sz w:val="22"/>
          <w:szCs w:val="22"/>
          <w:lang w:val="en-US"/>
        </w:rPr>
        <w:t xml:space="preserve">). </w:t>
      </w:r>
      <w:r w:rsidR="001079F9" w:rsidRPr="004A5F0D">
        <w:rPr>
          <w:rFonts w:ascii="Arial" w:hAnsi="Arial" w:cs="Arial"/>
          <w:sz w:val="22"/>
          <w:szCs w:val="22"/>
          <w:lang w:val="en-US"/>
        </w:rPr>
        <w:t>A</w:t>
      </w:r>
      <w:r w:rsidR="00191618" w:rsidRPr="004A5F0D">
        <w:rPr>
          <w:rFonts w:ascii="Arial" w:hAnsi="Arial" w:cs="Arial"/>
          <w:sz w:val="22"/>
          <w:szCs w:val="22"/>
          <w:lang w:val="en-US"/>
        </w:rPr>
        <w:t>n</w:t>
      </w:r>
      <w:r w:rsidR="001079F9" w:rsidRPr="008C7FCA">
        <w:rPr>
          <w:rFonts w:ascii="Arial" w:hAnsi="Arial" w:cs="Arial"/>
          <w:sz w:val="22"/>
          <w:szCs w:val="22"/>
          <w:lang w:val="en-US"/>
        </w:rPr>
        <w:t xml:space="preserve"> </w:t>
      </w:r>
      <w:r w:rsidR="002D2F6A">
        <w:rPr>
          <w:rFonts w:ascii="Arial" w:hAnsi="Arial" w:cs="Arial"/>
          <w:sz w:val="22"/>
          <w:szCs w:val="22"/>
          <w:lang w:val="en-US"/>
        </w:rPr>
        <w:t>advanced</w:t>
      </w:r>
      <w:r w:rsidR="002D2F6A" w:rsidRPr="008C7FCA">
        <w:rPr>
          <w:rFonts w:ascii="Arial" w:hAnsi="Arial" w:cs="Arial"/>
          <w:sz w:val="22"/>
          <w:szCs w:val="22"/>
          <w:lang w:val="en-US"/>
        </w:rPr>
        <w:t xml:space="preserve"> </w:t>
      </w:r>
      <w:r w:rsidR="0090337B" w:rsidRPr="008C7FCA">
        <w:rPr>
          <w:rFonts w:ascii="Arial" w:hAnsi="Arial" w:cs="Arial"/>
          <w:sz w:val="22"/>
          <w:szCs w:val="22"/>
          <w:lang w:val="en-US"/>
        </w:rPr>
        <w:t>t</w:t>
      </w:r>
      <w:r w:rsidR="0090337B">
        <w:rPr>
          <w:rFonts w:ascii="Arial" w:hAnsi="Arial" w:cs="Arial"/>
          <w:sz w:val="22"/>
          <w:szCs w:val="22"/>
          <w:lang w:val="en-US"/>
        </w:rPr>
        <w:t>issue</w:t>
      </w:r>
      <w:r w:rsidR="0090337B" w:rsidRPr="008C7FCA">
        <w:rPr>
          <w:rFonts w:ascii="Arial" w:hAnsi="Arial" w:cs="Arial"/>
          <w:sz w:val="22"/>
          <w:szCs w:val="22"/>
          <w:lang w:val="en-US"/>
        </w:rPr>
        <w:t xml:space="preserve"> </w:t>
      </w:r>
      <w:r w:rsidR="001079F9" w:rsidRPr="008C7FCA">
        <w:rPr>
          <w:rFonts w:ascii="Arial" w:hAnsi="Arial" w:cs="Arial"/>
          <w:sz w:val="22"/>
          <w:szCs w:val="22"/>
          <w:lang w:val="en-US"/>
        </w:rPr>
        <w:t xml:space="preserve">biopsy </w:t>
      </w:r>
      <w:r w:rsidR="009347DF" w:rsidRPr="008C7FCA">
        <w:rPr>
          <w:rFonts w:ascii="Arial" w:hAnsi="Arial" w:cs="Arial"/>
          <w:sz w:val="22"/>
          <w:szCs w:val="22"/>
          <w:lang w:val="en-US"/>
        </w:rPr>
        <w:t xml:space="preserve">was sequenced </w:t>
      </w:r>
      <w:r w:rsidR="00DD17F8">
        <w:rPr>
          <w:rFonts w:ascii="Arial" w:hAnsi="Arial" w:cs="Arial"/>
          <w:sz w:val="22"/>
          <w:szCs w:val="22"/>
          <w:lang w:val="en-US"/>
        </w:rPr>
        <w:t xml:space="preserve">retrospectively </w:t>
      </w:r>
      <w:r w:rsidR="009347DF" w:rsidRPr="008C7FCA">
        <w:rPr>
          <w:rFonts w:ascii="Arial" w:hAnsi="Arial" w:cs="Arial"/>
          <w:sz w:val="22"/>
          <w:szCs w:val="22"/>
          <w:lang w:val="en-US"/>
        </w:rPr>
        <w:t xml:space="preserve">for </w:t>
      </w:r>
      <w:r w:rsidR="00DD17F8">
        <w:rPr>
          <w:rFonts w:ascii="Arial" w:hAnsi="Arial" w:cs="Arial"/>
          <w:sz w:val="22"/>
          <w:szCs w:val="22"/>
          <w:lang w:val="en-US"/>
        </w:rPr>
        <w:t>77</w:t>
      </w:r>
      <w:r w:rsidR="00DD17F8" w:rsidRPr="008C7FCA">
        <w:rPr>
          <w:rFonts w:ascii="Arial" w:hAnsi="Arial" w:cs="Arial"/>
          <w:sz w:val="22"/>
          <w:szCs w:val="22"/>
          <w:lang w:val="en-US"/>
        </w:rPr>
        <w:t xml:space="preserve"> </w:t>
      </w:r>
      <w:r w:rsidR="009347DF" w:rsidRPr="008C7FCA">
        <w:rPr>
          <w:rFonts w:ascii="Arial" w:hAnsi="Arial" w:cs="Arial"/>
          <w:sz w:val="22"/>
          <w:szCs w:val="22"/>
          <w:lang w:val="en-US"/>
        </w:rPr>
        <w:t>patients</w:t>
      </w:r>
      <w:r w:rsidR="00F74F68">
        <w:rPr>
          <w:rFonts w:ascii="Arial" w:hAnsi="Arial" w:cs="Arial"/>
          <w:sz w:val="22"/>
          <w:szCs w:val="22"/>
          <w:lang w:val="en-US"/>
        </w:rPr>
        <w:t xml:space="preserve"> who entered a cohort</w:t>
      </w:r>
      <w:r w:rsidR="0090337B">
        <w:rPr>
          <w:rFonts w:ascii="Arial" w:hAnsi="Arial" w:cs="Arial"/>
          <w:sz w:val="22"/>
          <w:szCs w:val="22"/>
          <w:lang w:val="en-US"/>
        </w:rPr>
        <w:t xml:space="preserve">. </w:t>
      </w:r>
      <w:r w:rsidR="00191618">
        <w:rPr>
          <w:rFonts w:ascii="Arial" w:hAnsi="Arial" w:cs="Arial"/>
          <w:sz w:val="22"/>
          <w:szCs w:val="22"/>
          <w:lang w:val="en-US"/>
        </w:rPr>
        <w:t>S</w:t>
      </w:r>
      <w:r w:rsidR="0090337B">
        <w:rPr>
          <w:rFonts w:ascii="Arial" w:hAnsi="Arial" w:cs="Arial"/>
          <w:sz w:val="22"/>
          <w:szCs w:val="22"/>
          <w:lang w:val="en-US"/>
        </w:rPr>
        <w:t>ensitivity</w:t>
      </w:r>
      <w:r w:rsidR="00191618">
        <w:rPr>
          <w:rFonts w:ascii="Arial" w:hAnsi="Arial" w:cs="Arial"/>
          <w:sz w:val="22"/>
          <w:szCs w:val="22"/>
          <w:lang w:val="en-US"/>
        </w:rPr>
        <w:t xml:space="preserve"> </w:t>
      </w:r>
      <w:r w:rsidR="00D17168">
        <w:rPr>
          <w:rFonts w:ascii="Arial" w:hAnsi="Arial" w:cs="Arial"/>
          <w:sz w:val="22"/>
          <w:szCs w:val="22"/>
          <w:lang w:val="en-US"/>
        </w:rPr>
        <w:t xml:space="preserve">(or percent positive agreement reflecting the lack of gold standard) </w:t>
      </w:r>
      <w:r w:rsidR="0090337B">
        <w:rPr>
          <w:rFonts w:ascii="Arial" w:hAnsi="Arial" w:cs="Arial"/>
          <w:sz w:val="22"/>
          <w:szCs w:val="22"/>
          <w:lang w:val="en-US"/>
        </w:rPr>
        <w:t xml:space="preserve">for digital PCR </w:t>
      </w:r>
      <w:r w:rsidR="00CB3EA1">
        <w:rPr>
          <w:rFonts w:ascii="Arial" w:hAnsi="Arial" w:cs="Arial"/>
          <w:sz w:val="22"/>
          <w:szCs w:val="22"/>
          <w:lang w:val="en-US"/>
        </w:rPr>
        <w:t xml:space="preserve">was </w:t>
      </w:r>
      <w:r w:rsidR="0090337B">
        <w:rPr>
          <w:rFonts w:ascii="Arial" w:hAnsi="Arial" w:cs="Arial"/>
          <w:sz w:val="22"/>
          <w:szCs w:val="22"/>
          <w:lang w:val="en-US"/>
        </w:rPr>
        <w:t>93</w:t>
      </w:r>
      <w:r w:rsidR="001079F9" w:rsidRPr="008C7FCA">
        <w:rPr>
          <w:rFonts w:ascii="Arial" w:hAnsi="Arial" w:cs="Arial"/>
          <w:sz w:val="22"/>
          <w:szCs w:val="22"/>
          <w:lang w:val="en-US"/>
        </w:rPr>
        <w:t>% (</w:t>
      </w:r>
      <w:r w:rsidR="0090337B" w:rsidRPr="00A065C1">
        <w:rPr>
          <w:rFonts w:ascii="Arial" w:hAnsi="Arial" w:cs="Arial"/>
          <w:sz w:val="22"/>
          <w:szCs w:val="22"/>
          <w:lang w:val="en-US"/>
        </w:rPr>
        <w:t>95%CI</w:t>
      </w:r>
      <w:r w:rsidR="00AC1601">
        <w:rPr>
          <w:rFonts w:ascii="Arial" w:hAnsi="Arial" w:cs="Arial"/>
          <w:sz w:val="22"/>
          <w:szCs w:val="22"/>
          <w:lang w:val="en-US"/>
        </w:rPr>
        <w:t xml:space="preserve"> </w:t>
      </w:r>
      <w:r w:rsidR="00A065C1" w:rsidRPr="00FA13B7">
        <w:rPr>
          <w:rFonts w:ascii="Arial" w:hAnsi="Arial" w:cs="Arial"/>
          <w:color w:val="000000"/>
          <w:sz w:val="22"/>
          <w:szCs w:val="22"/>
          <w:shd w:val="clear" w:color="auto" w:fill="FFFFFF"/>
        </w:rPr>
        <w:t>83.4</w:t>
      </w:r>
      <w:r w:rsidR="00AC1601" w:rsidRPr="00FA13B7">
        <w:rPr>
          <w:rFonts w:ascii="Arial" w:hAnsi="Arial" w:cs="Arial"/>
          <w:color w:val="000000"/>
          <w:sz w:val="22"/>
          <w:szCs w:val="22"/>
          <w:shd w:val="clear" w:color="auto" w:fill="FFFFFF"/>
        </w:rPr>
        <w:t>-</w:t>
      </w:r>
      <w:r w:rsidR="00A065C1" w:rsidRPr="00FA13B7">
        <w:rPr>
          <w:rFonts w:ascii="Arial" w:hAnsi="Arial" w:cs="Arial"/>
          <w:color w:val="000000"/>
          <w:sz w:val="22"/>
          <w:szCs w:val="22"/>
          <w:shd w:val="clear" w:color="auto" w:fill="FFFFFF"/>
        </w:rPr>
        <w:t>97.5</w:t>
      </w:r>
      <w:r w:rsidR="0090337B" w:rsidRPr="00FA13B7">
        <w:rPr>
          <w:rFonts w:ascii="Arial" w:hAnsi="Arial" w:cs="Arial"/>
          <w:sz w:val="22"/>
          <w:szCs w:val="22"/>
          <w:lang w:val="en-US"/>
        </w:rPr>
        <w:t>,</w:t>
      </w:r>
      <w:r w:rsidR="00AC1601" w:rsidRPr="00FA13B7">
        <w:rPr>
          <w:rFonts w:ascii="Arial" w:hAnsi="Arial" w:cs="Arial"/>
          <w:sz w:val="22"/>
          <w:szCs w:val="22"/>
          <w:lang w:val="en-US"/>
        </w:rPr>
        <w:t xml:space="preserve"> </w:t>
      </w:r>
      <w:r w:rsidR="00FA13B7" w:rsidRPr="00FA13B7">
        <w:rPr>
          <w:rFonts w:ascii="Arial" w:hAnsi="Arial" w:cs="Arial"/>
          <w:sz w:val="22"/>
          <w:szCs w:val="22"/>
          <w:lang w:val="en-US"/>
        </w:rPr>
        <w:t>appendix p</w:t>
      </w:r>
      <w:r w:rsidR="0067473B">
        <w:rPr>
          <w:rFonts w:ascii="Arial" w:hAnsi="Arial" w:cs="Arial"/>
          <w:sz w:val="22"/>
          <w:szCs w:val="22"/>
          <w:lang w:val="en-US"/>
        </w:rPr>
        <w:t>17</w:t>
      </w:r>
      <w:r w:rsidR="0090337B" w:rsidRPr="00FA13B7">
        <w:rPr>
          <w:rFonts w:ascii="Arial" w:hAnsi="Arial" w:cs="Arial"/>
          <w:sz w:val="22"/>
          <w:szCs w:val="22"/>
          <w:lang w:val="en-US"/>
        </w:rPr>
        <w:t>) rising to 98% (95</w:t>
      </w:r>
      <w:r w:rsidR="00FE508D" w:rsidRPr="00FA13B7">
        <w:rPr>
          <w:rFonts w:ascii="Arial" w:hAnsi="Arial" w:cs="Arial"/>
          <w:sz w:val="22"/>
          <w:szCs w:val="22"/>
          <w:lang w:val="en-US"/>
        </w:rPr>
        <w:t>%CI</w:t>
      </w:r>
      <w:r w:rsidR="00AC1601" w:rsidRPr="00FA13B7">
        <w:rPr>
          <w:rFonts w:ascii="Arial" w:hAnsi="Arial" w:cs="Arial"/>
          <w:sz w:val="22"/>
          <w:szCs w:val="22"/>
          <w:lang w:val="en-US"/>
        </w:rPr>
        <w:t xml:space="preserve"> </w:t>
      </w:r>
      <w:r w:rsidR="00862F8E" w:rsidRPr="00FA13B7">
        <w:rPr>
          <w:rFonts w:ascii="Arial" w:hAnsi="Arial" w:cs="Arial"/>
          <w:color w:val="000000"/>
          <w:sz w:val="22"/>
          <w:szCs w:val="22"/>
          <w:shd w:val="clear" w:color="auto" w:fill="FFFFFF"/>
        </w:rPr>
        <w:t>86.8</w:t>
      </w:r>
      <w:r w:rsidR="00AC1601" w:rsidRPr="00FA13B7">
        <w:rPr>
          <w:rFonts w:ascii="Arial" w:hAnsi="Arial" w:cs="Arial"/>
          <w:color w:val="000000"/>
          <w:sz w:val="22"/>
          <w:szCs w:val="22"/>
          <w:shd w:val="clear" w:color="auto" w:fill="FFFFFF"/>
        </w:rPr>
        <w:t>-</w:t>
      </w:r>
      <w:r w:rsidR="00862F8E" w:rsidRPr="00FA13B7">
        <w:rPr>
          <w:rFonts w:ascii="Arial" w:hAnsi="Arial" w:cs="Arial"/>
          <w:color w:val="000000"/>
          <w:sz w:val="22"/>
          <w:szCs w:val="22"/>
          <w:shd w:val="clear" w:color="auto" w:fill="FFFFFF"/>
        </w:rPr>
        <w:t>99.9</w:t>
      </w:r>
      <w:r w:rsidR="003A2565" w:rsidRPr="00FA13B7">
        <w:rPr>
          <w:rFonts w:ascii="Arial" w:hAnsi="Arial" w:cs="Arial"/>
          <w:sz w:val="22"/>
          <w:szCs w:val="22"/>
          <w:lang w:val="en-US"/>
        </w:rPr>
        <w:t>)</w:t>
      </w:r>
      <w:r w:rsidR="00FB1819" w:rsidRPr="00FA13B7">
        <w:rPr>
          <w:rFonts w:ascii="Arial" w:hAnsi="Arial" w:cs="Arial"/>
          <w:sz w:val="22"/>
          <w:szCs w:val="22"/>
          <w:lang w:val="en-US"/>
        </w:rPr>
        <w:t xml:space="preserve"> </w:t>
      </w:r>
      <w:r w:rsidR="0090337B" w:rsidRPr="00FA13B7">
        <w:rPr>
          <w:rFonts w:ascii="Arial" w:hAnsi="Arial" w:cs="Arial"/>
          <w:sz w:val="22"/>
          <w:szCs w:val="22"/>
          <w:lang w:val="en-US"/>
        </w:rPr>
        <w:t>in patients with contemporaneous biopsies</w:t>
      </w:r>
      <w:r w:rsidR="00041B3F" w:rsidRPr="00FA13B7">
        <w:rPr>
          <w:rFonts w:ascii="Arial" w:hAnsi="Arial" w:cs="Arial"/>
          <w:sz w:val="22"/>
          <w:szCs w:val="22"/>
          <w:lang w:val="en-US"/>
        </w:rPr>
        <w:t xml:space="preserve"> (</w:t>
      </w:r>
      <w:r w:rsidR="002C3238" w:rsidRPr="00FA13B7">
        <w:rPr>
          <w:rFonts w:ascii="Arial" w:hAnsi="Arial" w:cs="Arial"/>
          <w:sz w:val="22"/>
          <w:szCs w:val="22"/>
          <w:lang w:val="en-US"/>
        </w:rPr>
        <w:t>appendix p</w:t>
      </w:r>
      <w:r w:rsidR="0067473B">
        <w:rPr>
          <w:rFonts w:ascii="Arial" w:hAnsi="Arial" w:cs="Arial"/>
          <w:sz w:val="22"/>
          <w:szCs w:val="22"/>
          <w:lang w:val="en-US"/>
        </w:rPr>
        <w:t>17</w:t>
      </w:r>
      <w:r w:rsidR="00041B3F" w:rsidRPr="00FA13B7">
        <w:rPr>
          <w:rFonts w:ascii="Arial" w:hAnsi="Arial" w:cs="Arial"/>
          <w:sz w:val="22"/>
          <w:szCs w:val="22"/>
          <w:lang w:val="en-US"/>
        </w:rPr>
        <w:t>)</w:t>
      </w:r>
      <w:r w:rsidR="003A2565" w:rsidRPr="00FA13B7">
        <w:rPr>
          <w:rFonts w:ascii="Arial" w:hAnsi="Arial" w:cs="Arial"/>
          <w:sz w:val="22"/>
          <w:szCs w:val="22"/>
          <w:lang w:val="en-US"/>
        </w:rPr>
        <w:t>.</w:t>
      </w:r>
      <w:r w:rsidR="007337BB" w:rsidRPr="00FA13B7">
        <w:rPr>
          <w:rFonts w:ascii="Arial" w:hAnsi="Arial" w:cs="Arial"/>
          <w:sz w:val="22"/>
          <w:szCs w:val="22"/>
          <w:lang w:val="en-US"/>
        </w:rPr>
        <w:t xml:space="preserve"> </w:t>
      </w:r>
      <w:r w:rsidR="000E6422" w:rsidRPr="00FA13B7">
        <w:rPr>
          <w:rFonts w:ascii="Arial" w:hAnsi="Arial" w:cs="Arial"/>
          <w:sz w:val="22"/>
          <w:szCs w:val="22"/>
          <w:lang w:val="en-US"/>
        </w:rPr>
        <w:t xml:space="preserve">In contrast, </w:t>
      </w:r>
      <w:r w:rsidR="00A478E4" w:rsidRPr="004A5F0D">
        <w:rPr>
          <w:rFonts w:ascii="Arial" w:hAnsi="Arial" w:cs="Arial"/>
          <w:sz w:val="22"/>
          <w:szCs w:val="22"/>
          <w:lang w:val="en-US"/>
        </w:rPr>
        <w:t xml:space="preserve">digital PCR </w:t>
      </w:r>
      <w:r w:rsidR="002839C7" w:rsidRPr="004A5F0D">
        <w:rPr>
          <w:rFonts w:ascii="Arial" w:hAnsi="Arial" w:cs="Arial"/>
          <w:sz w:val="22"/>
          <w:szCs w:val="22"/>
          <w:lang w:val="en-US"/>
        </w:rPr>
        <w:t xml:space="preserve">sensitivity </w:t>
      </w:r>
      <w:r w:rsidR="000E6422" w:rsidRPr="004A5F0D">
        <w:rPr>
          <w:rFonts w:ascii="Arial" w:hAnsi="Arial" w:cs="Arial"/>
          <w:sz w:val="22"/>
          <w:szCs w:val="22"/>
          <w:lang w:val="en-US"/>
        </w:rPr>
        <w:t xml:space="preserve">in patients with time discordant biopsies was 85% (95%CI </w:t>
      </w:r>
      <w:r w:rsidR="000E6422" w:rsidRPr="004A5F0D">
        <w:rPr>
          <w:rFonts w:ascii="Arial" w:hAnsi="Arial" w:cs="Arial"/>
          <w:color w:val="000000"/>
          <w:sz w:val="22"/>
          <w:szCs w:val="22"/>
          <w:shd w:val="clear" w:color="auto" w:fill="FFFFFF"/>
        </w:rPr>
        <w:t>66.3-95.8,</w:t>
      </w:r>
      <w:r w:rsidR="000E6422" w:rsidRPr="004A5F0D">
        <w:rPr>
          <w:rFonts w:ascii="Arial" w:hAnsi="Arial" w:cs="Arial"/>
          <w:sz w:val="22"/>
          <w:szCs w:val="22"/>
          <w:lang w:val="en-US"/>
        </w:rPr>
        <w:t xml:space="preserve"> </w:t>
      </w:r>
      <w:r w:rsidR="00623689" w:rsidRPr="004A5F0D">
        <w:rPr>
          <w:rFonts w:ascii="Arial" w:hAnsi="Arial" w:cs="Arial"/>
          <w:sz w:val="22"/>
          <w:szCs w:val="22"/>
          <w:lang w:val="en-US"/>
        </w:rPr>
        <w:t>appendix p</w:t>
      </w:r>
      <w:r w:rsidR="0067473B">
        <w:rPr>
          <w:rFonts w:ascii="Arial" w:hAnsi="Arial" w:cs="Arial"/>
          <w:sz w:val="22"/>
          <w:szCs w:val="22"/>
          <w:lang w:val="en-US"/>
        </w:rPr>
        <w:t>20</w:t>
      </w:r>
      <w:r w:rsidR="000E6422" w:rsidRPr="004A5F0D">
        <w:rPr>
          <w:rFonts w:ascii="Arial" w:hAnsi="Arial" w:cs="Arial"/>
          <w:sz w:val="22"/>
          <w:szCs w:val="22"/>
          <w:lang w:val="en-US"/>
        </w:rPr>
        <w:t xml:space="preserve">). </w:t>
      </w:r>
      <w:r w:rsidR="007337BB" w:rsidRPr="004A5F0D">
        <w:rPr>
          <w:rFonts w:ascii="Arial" w:hAnsi="Arial" w:cs="Arial"/>
          <w:sz w:val="22"/>
          <w:szCs w:val="22"/>
          <w:lang w:val="en-US"/>
        </w:rPr>
        <w:t xml:space="preserve">Sensitivity for </w:t>
      </w:r>
      <w:r w:rsidR="0027147B" w:rsidRPr="004A5F0D">
        <w:rPr>
          <w:rFonts w:ascii="Arial" w:hAnsi="Arial" w:cs="Arial"/>
          <w:sz w:val="22"/>
          <w:szCs w:val="22"/>
          <w:lang w:val="en-US"/>
        </w:rPr>
        <w:t xml:space="preserve">targeted </w:t>
      </w:r>
      <w:r w:rsidR="007337BB" w:rsidRPr="004A5F0D">
        <w:rPr>
          <w:rFonts w:ascii="Arial" w:hAnsi="Arial" w:cs="Arial"/>
          <w:sz w:val="22"/>
          <w:szCs w:val="22"/>
          <w:lang w:val="en-US"/>
        </w:rPr>
        <w:t>sequencing was 95% overall (95%</w:t>
      </w:r>
      <w:r w:rsidR="00A83217" w:rsidRPr="004A5F0D">
        <w:rPr>
          <w:rFonts w:ascii="Arial" w:hAnsi="Arial" w:cs="Arial"/>
          <w:sz w:val="22"/>
          <w:szCs w:val="22"/>
          <w:lang w:val="en-US"/>
        </w:rPr>
        <w:t xml:space="preserve">CI </w:t>
      </w:r>
      <w:r w:rsidR="00A83217" w:rsidRPr="004A5F0D">
        <w:rPr>
          <w:rFonts w:ascii="Arial" w:hAnsi="Arial" w:cs="Arial"/>
          <w:color w:val="000000"/>
          <w:sz w:val="22"/>
          <w:szCs w:val="22"/>
          <w:shd w:val="clear" w:color="auto" w:fill="FFFFFF"/>
        </w:rPr>
        <w:t>87.1</w:t>
      </w:r>
      <w:r w:rsidR="00AC1601" w:rsidRPr="004A5F0D">
        <w:rPr>
          <w:rFonts w:ascii="Arial" w:hAnsi="Arial" w:cs="Arial"/>
          <w:color w:val="000000"/>
          <w:sz w:val="22"/>
          <w:szCs w:val="22"/>
          <w:shd w:val="clear" w:color="auto" w:fill="FFFFFF"/>
        </w:rPr>
        <w:t>-</w:t>
      </w:r>
      <w:r w:rsidR="00A83217" w:rsidRPr="004A5F0D">
        <w:rPr>
          <w:rFonts w:ascii="Arial" w:hAnsi="Arial" w:cs="Arial"/>
          <w:color w:val="000000"/>
          <w:sz w:val="22"/>
          <w:szCs w:val="22"/>
          <w:shd w:val="clear" w:color="auto" w:fill="FFFFFF"/>
        </w:rPr>
        <w:t>99.0</w:t>
      </w:r>
      <w:r w:rsidR="007337BB" w:rsidRPr="004A5F0D">
        <w:rPr>
          <w:rFonts w:ascii="Arial" w:hAnsi="Arial" w:cs="Arial"/>
          <w:sz w:val="22"/>
          <w:szCs w:val="22"/>
          <w:lang w:val="en-US"/>
        </w:rPr>
        <w:t>) and 100% contemporaneous (95</w:t>
      </w:r>
      <w:r w:rsidR="00B0359A" w:rsidRPr="004A5F0D">
        <w:rPr>
          <w:rFonts w:ascii="Arial" w:hAnsi="Arial" w:cs="Arial"/>
          <w:sz w:val="22"/>
          <w:szCs w:val="22"/>
          <w:lang w:val="en-US"/>
        </w:rPr>
        <w:t>%</w:t>
      </w:r>
      <w:r w:rsidR="007337BB" w:rsidRPr="004A5F0D">
        <w:rPr>
          <w:rFonts w:ascii="Arial" w:hAnsi="Arial" w:cs="Arial"/>
          <w:sz w:val="22"/>
          <w:szCs w:val="22"/>
          <w:lang w:val="en-US"/>
        </w:rPr>
        <w:t>CI</w:t>
      </w:r>
      <w:r w:rsidR="00BC1521" w:rsidRPr="004A5F0D">
        <w:rPr>
          <w:rFonts w:ascii="Arial" w:hAnsi="Arial" w:cs="Arial"/>
          <w:sz w:val="22"/>
          <w:szCs w:val="22"/>
          <w:lang w:val="en-US"/>
        </w:rPr>
        <w:t xml:space="preserve"> </w:t>
      </w:r>
      <w:r w:rsidR="00BC1521" w:rsidRPr="004A5F0D">
        <w:rPr>
          <w:rFonts w:ascii="Arial" w:hAnsi="Arial" w:cs="Arial"/>
          <w:color w:val="000000"/>
          <w:sz w:val="22"/>
          <w:szCs w:val="22"/>
          <w:shd w:val="clear" w:color="auto" w:fill="FFFFFF"/>
        </w:rPr>
        <w:t>91.</w:t>
      </w:r>
      <w:r w:rsidR="00B0359A" w:rsidRPr="004A5F0D">
        <w:rPr>
          <w:rFonts w:ascii="Arial" w:hAnsi="Arial" w:cs="Arial"/>
          <w:color w:val="000000"/>
          <w:sz w:val="22"/>
          <w:szCs w:val="22"/>
          <w:shd w:val="clear" w:color="auto" w:fill="FFFFFF"/>
        </w:rPr>
        <w:t>6</w:t>
      </w:r>
      <w:r w:rsidR="00AC1601" w:rsidRPr="004A5F0D">
        <w:rPr>
          <w:rFonts w:ascii="Arial" w:hAnsi="Arial" w:cs="Arial"/>
          <w:color w:val="000000"/>
          <w:sz w:val="22"/>
          <w:szCs w:val="22"/>
          <w:shd w:val="clear" w:color="auto" w:fill="FFFFFF"/>
        </w:rPr>
        <w:t>-</w:t>
      </w:r>
      <w:r w:rsidR="00BC1521" w:rsidRPr="004A5F0D">
        <w:rPr>
          <w:rFonts w:ascii="Arial" w:hAnsi="Arial" w:cs="Arial"/>
          <w:color w:val="000000"/>
          <w:sz w:val="22"/>
          <w:szCs w:val="22"/>
          <w:shd w:val="clear" w:color="auto" w:fill="FFFFFF"/>
        </w:rPr>
        <w:t>100.0</w:t>
      </w:r>
      <w:r w:rsidR="00690496" w:rsidRPr="004A5F0D">
        <w:rPr>
          <w:rFonts w:ascii="Arial" w:hAnsi="Arial" w:cs="Arial"/>
          <w:sz w:val="22"/>
          <w:szCs w:val="22"/>
          <w:lang w:val="en-US"/>
        </w:rPr>
        <w:t xml:space="preserve">, </w:t>
      </w:r>
      <w:r w:rsidR="00623689" w:rsidRPr="004A5F0D">
        <w:rPr>
          <w:rFonts w:ascii="Arial" w:hAnsi="Arial" w:cs="Arial"/>
          <w:sz w:val="22"/>
          <w:szCs w:val="22"/>
          <w:lang w:val="en-US"/>
        </w:rPr>
        <w:t>appendix p</w:t>
      </w:r>
      <w:r w:rsidR="0067473B">
        <w:rPr>
          <w:rFonts w:ascii="Arial" w:hAnsi="Arial" w:cs="Arial"/>
          <w:sz w:val="22"/>
          <w:szCs w:val="22"/>
          <w:lang w:val="en-US"/>
        </w:rPr>
        <w:t>21</w:t>
      </w:r>
      <w:r w:rsidR="007337BB" w:rsidRPr="004A5F0D">
        <w:rPr>
          <w:rFonts w:ascii="Arial" w:hAnsi="Arial" w:cs="Arial"/>
          <w:sz w:val="22"/>
          <w:szCs w:val="22"/>
          <w:lang w:val="en-US"/>
        </w:rPr>
        <w:t>).</w:t>
      </w:r>
      <w:r w:rsidR="00C40A56" w:rsidRPr="004A5F0D">
        <w:rPr>
          <w:rFonts w:ascii="Arial" w:hAnsi="Arial" w:cs="Arial"/>
          <w:sz w:val="22"/>
          <w:szCs w:val="22"/>
          <w:lang w:val="en-US"/>
        </w:rPr>
        <w:t xml:space="preserve"> </w:t>
      </w:r>
      <w:r w:rsidR="00AC1601" w:rsidRPr="004A5F0D">
        <w:rPr>
          <w:rFonts w:ascii="Arial" w:hAnsi="Arial" w:cs="Arial"/>
          <w:sz w:val="22"/>
          <w:szCs w:val="22"/>
          <w:lang w:val="en-US"/>
        </w:rPr>
        <w:t>Specificity</w:t>
      </w:r>
      <w:r w:rsidR="00AC1601">
        <w:rPr>
          <w:rFonts w:ascii="Arial" w:hAnsi="Arial" w:cs="Arial"/>
          <w:sz w:val="22"/>
          <w:szCs w:val="22"/>
          <w:lang w:val="en-US"/>
        </w:rPr>
        <w:t xml:space="preserve"> </w:t>
      </w:r>
      <w:r w:rsidR="00D17168">
        <w:rPr>
          <w:rFonts w:ascii="Arial" w:hAnsi="Arial" w:cs="Arial"/>
          <w:sz w:val="22"/>
          <w:szCs w:val="22"/>
          <w:lang w:val="en-US"/>
        </w:rPr>
        <w:t xml:space="preserve">(or percent negative agreement reflecting the lack of gold standard) </w:t>
      </w:r>
      <w:r w:rsidR="00C40A56">
        <w:rPr>
          <w:rFonts w:ascii="Arial" w:hAnsi="Arial" w:cs="Arial"/>
          <w:sz w:val="22"/>
          <w:szCs w:val="22"/>
          <w:lang w:val="en-US"/>
        </w:rPr>
        <w:t>was high, varying by gene (</w:t>
      </w:r>
      <w:r w:rsidR="004A5F0D">
        <w:rPr>
          <w:rFonts w:ascii="Arial" w:hAnsi="Arial" w:cs="Arial"/>
          <w:sz w:val="22"/>
          <w:szCs w:val="22"/>
          <w:lang w:val="en-US"/>
        </w:rPr>
        <w:t>appendix p</w:t>
      </w:r>
      <w:r w:rsidR="0067473B">
        <w:rPr>
          <w:rFonts w:ascii="Arial" w:hAnsi="Arial" w:cs="Arial"/>
          <w:sz w:val="22"/>
          <w:szCs w:val="22"/>
          <w:lang w:val="en-US"/>
        </w:rPr>
        <w:t>17</w:t>
      </w:r>
      <w:r w:rsidR="00C40A56">
        <w:rPr>
          <w:rFonts w:ascii="Arial" w:hAnsi="Arial" w:cs="Arial"/>
          <w:sz w:val="22"/>
          <w:szCs w:val="22"/>
          <w:lang w:val="en-US"/>
        </w:rPr>
        <w:t>)</w:t>
      </w:r>
      <w:r w:rsidR="00CB3EA1">
        <w:rPr>
          <w:rFonts w:ascii="Arial" w:hAnsi="Arial" w:cs="Arial"/>
          <w:sz w:val="22"/>
          <w:szCs w:val="22"/>
          <w:lang w:val="en-US"/>
        </w:rPr>
        <w:t>.</w:t>
      </w:r>
    </w:p>
    <w:p w14:paraId="5E6AE596" w14:textId="77777777" w:rsidR="00442595" w:rsidRDefault="00442595" w:rsidP="004B43C4">
      <w:pPr>
        <w:jc w:val="both"/>
        <w:rPr>
          <w:rFonts w:ascii="Arial" w:hAnsi="Arial" w:cs="Arial"/>
          <w:sz w:val="22"/>
          <w:szCs w:val="22"/>
          <w:lang w:val="en-US"/>
        </w:rPr>
      </w:pPr>
    </w:p>
    <w:p w14:paraId="00F03F4B" w14:textId="55761D34" w:rsidR="009347DF" w:rsidRPr="008C7FCA" w:rsidRDefault="0052472F" w:rsidP="004B43C4">
      <w:pPr>
        <w:jc w:val="both"/>
        <w:rPr>
          <w:rFonts w:ascii="Arial" w:hAnsi="Arial" w:cs="Arial"/>
          <w:sz w:val="22"/>
          <w:szCs w:val="22"/>
          <w:lang w:val="en-US"/>
        </w:rPr>
      </w:pPr>
      <w:r>
        <w:rPr>
          <w:rFonts w:ascii="Arial" w:hAnsi="Arial" w:cs="Arial"/>
          <w:sz w:val="22"/>
          <w:szCs w:val="22"/>
          <w:lang w:val="en-US"/>
        </w:rPr>
        <w:t xml:space="preserve">Actionable mutations were identified in 357 (34.5%) of 1034 patients and 136 of these entered one of the 5 available cohorts.  </w:t>
      </w:r>
      <w:r w:rsidR="00A77DED">
        <w:rPr>
          <w:rFonts w:ascii="Arial" w:hAnsi="Arial" w:cs="Arial"/>
          <w:sz w:val="22"/>
          <w:szCs w:val="22"/>
          <w:lang w:val="en-US"/>
        </w:rPr>
        <w:t xml:space="preserve">In those that entered cohorts A-D combined median follow-up was 14.4 months (IQR: 7.0-23.7).  </w:t>
      </w:r>
      <w:r w:rsidR="000D3995">
        <w:rPr>
          <w:rFonts w:ascii="Arial" w:hAnsi="Arial" w:cs="Arial"/>
          <w:sz w:val="22"/>
          <w:szCs w:val="22"/>
          <w:lang w:val="en-US"/>
        </w:rPr>
        <w:t xml:space="preserve">The most common reason </w:t>
      </w:r>
      <w:r>
        <w:rPr>
          <w:rFonts w:ascii="Arial" w:hAnsi="Arial" w:cs="Arial"/>
          <w:sz w:val="22"/>
          <w:szCs w:val="22"/>
          <w:lang w:val="en-US"/>
        </w:rPr>
        <w:t>for</w:t>
      </w:r>
      <w:r w:rsidR="000D3995">
        <w:rPr>
          <w:rFonts w:ascii="Arial" w:hAnsi="Arial" w:cs="Arial"/>
          <w:sz w:val="22"/>
          <w:szCs w:val="22"/>
          <w:lang w:val="en-US"/>
        </w:rPr>
        <w:t xml:space="preserve"> not entering a cohort was that the patient was ineligible based on the specific eligibility criteria for the relevant cohort </w:t>
      </w:r>
      <w:r w:rsidR="00E35384">
        <w:rPr>
          <w:rFonts w:ascii="Arial" w:hAnsi="Arial" w:cs="Arial"/>
          <w:sz w:val="22"/>
          <w:szCs w:val="22"/>
          <w:lang w:val="en-US"/>
        </w:rPr>
        <w:t xml:space="preserve">or in the case of cohort A (ESR1 mutation), 64 patients did not enter due to cohort A being </w:t>
      </w:r>
      <w:r w:rsidR="00E35384" w:rsidRPr="004A5F0D">
        <w:rPr>
          <w:rFonts w:ascii="Arial" w:hAnsi="Arial" w:cs="Arial"/>
          <w:sz w:val="22"/>
          <w:szCs w:val="22"/>
          <w:lang w:val="en-US"/>
        </w:rPr>
        <w:t>suspended (while the protocol amendment to change the design was ongoing) or closed (appendix p</w:t>
      </w:r>
      <w:r w:rsidR="0067473B">
        <w:rPr>
          <w:rFonts w:ascii="Arial" w:hAnsi="Arial" w:cs="Arial"/>
          <w:sz w:val="22"/>
          <w:szCs w:val="22"/>
          <w:lang w:val="en-US"/>
        </w:rPr>
        <w:t>7</w:t>
      </w:r>
      <w:r w:rsidR="00E35384" w:rsidRPr="004A5F0D">
        <w:rPr>
          <w:rFonts w:ascii="Arial" w:hAnsi="Arial" w:cs="Arial"/>
          <w:sz w:val="22"/>
          <w:szCs w:val="22"/>
          <w:lang w:val="en-US"/>
        </w:rPr>
        <w:t>).</w:t>
      </w:r>
      <w:r>
        <w:rPr>
          <w:rFonts w:ascii="Arial" w:hAnsi="Arial" w:cs="Arial"/>
          <w:sz w:val="22"/>
          <w:szCs w:val="22"/>
          <w:lang w:val="en-US"/>
        </w:rPr>
        <w:t xml:space="preserve">  </w:t>
      </w:r>
    </w:p>
    <w:p w14:paraId="0AB4F8B1" w14:textId="77777777" w:rsidR="00442595" w:rsidRDefault="00442595" w:rsidP="003141D6">
      <w:pPr>
        <w:jc w:val="both"/>
        <w:rPr>
          <w:rFonts w:ascii="Arial" w:hAnsi="Arial" w:cs="Arial"/>
          <w:b/>
          <w:sz w:val="22"/>
          <w:szCs w:val="22"/>
          <w:lang w:val="en-US"/>
        </w:rPr>
      </w:pPr>
    </w:p>
    <w:p w14:paraId="713B9274" w14:textId="5BA535BE" w:rsidR="003141D6" w:rsidRPr="00921A9E" w:rsidRDefault="00B839F3" w:rsidP="003141D6">
      <w:pPr>
        <w:jc w:val="both"/>
        <w:rPr>
          <w:rFonts w:ascii="Arial" w:hAnsi="Arial" w:cs="Arial"/>
          <w:sz w:val="22"/>
          <w:szCs w:val="22"/>
          <w:lang w:val="en-US"/>
        </w:rPr>
      </w:pPr>
      <w:r w:rsidRPr="00A3163A">
        <w:rPr>
          <w:rFonts w:ascii="Arial" w:hAnsi="Arial" w:cs="Arial"/>
          <w:sz w:val="22"/>
          <w:szCs w:val="22"/>
          <w:lang w:val="en-US"/>
        </w:rPr>
        <w:t xml:space="preserve">Of the </w:t>
      </w:r>
      <w:r w:rsidR="001D1B66">
        <w:rPr>
          <w:rFonts w:ascii="Arial" w:hAnsi="Arial" w:cs="Arial"/>
          <w:sz w:val="22"/>
          <w:szCs w:val="22"/>
          <w:lang w:val="en-US"/>
        </w:rPr>
        <w:t>222</w:t>
      </w:r>
      <w:r w:rsidR="001D1B66" w:rsidRPr="00442EF7">
        <w:rPr>
          <w:rFonts w:ascii="Arial" w:hAnsi="Arial" w:cs="Arial"/>
          <w:sz w:val="22"/>
          <w:szCs w:val="22"/>
          <w:lang w:val="en-US"/>
        </w:rPr>
        <w:t xml:space="preserve"> </w:t>
      </w:r>
      <w:r w:rsidRPr="00442EF7">
        <w:rPr>
          <w:rFonts w:ascii="Arial" w:hAnsi="Arial" w:cs="Arial"/>
          <w:sz w:val="22"/>
          <w:szCs w:val="22"/>
          <w:lang w:val="en-US"/>
        </w:rPr>
        <w:t xml:space="preserve">patients </w:t>
      </w:r>
      <w:r w:rsidR="00B72E94" w:rsidRPr="00442EF7">
        <w:rPr>
          <w:rFonts w:ascii="Arial" w:hAnsi="Arial" w:cs="Arial"/>
          <w:sz w:val="22"/>
          <w:szCs w:val="22"/>
          <w:lang w:val="en-US"/>
        </w:rPr>
        <w:t>with</w:t>
      </w:r>
      <w:r w:rsidR="00CB3EA1">
        <w:rPr>
          <w:rFonts w:ascii="Arial" w:hAnsi="Arial" w:cs="Arial"/>
          <w:sz w:val="22"/>
          <w:szCs w:val="22"/>
          <w:lang w:val="en-US"/>
        </w:rPr>
        <w:t xml:space="preserve"> an</w:t>
      </w:r>
      <w:r w:rsidRPr="00E8542D">
        <w:rPr>
          <w:rFonts w:ascii="Arial" w:hAnsi="Arial" w:cs="Arial"/>
          <w:sz w:val="22"/>
          <w:szCs w:val="22"/>
          <w:lang w:val="en-US"/>
        </w:rPr>
        <w:t xml:space="preserve"> </w:t>
      </w:r>
      <w:r w:rsidRPr="009479D7">
        <w:rPr>
          <w:rFonts w:ascii="Arial" w:hAnsi="Arial" w:cs="Arial"/>
          <w:i/>
          <w:iCs/>
          <w:sz w:val="22"/>
          <w:szCs w:val="22"/>
          <w:lang w:val="en-US"/>
        </w:rPr>
        <w:t>ESR1</w:t>
      </w:r>
      <w:r w:rsidRPr="009479D7">
        <w:rPr>
          <w:rFonts w:ascii="Arial" w:hAnsi="Arial" w:cs="Arial"/>
          <w:sz w:val="22"/>
          <w:szCs w:val="22"/>
          <w:lang w:val="en-US"/>
        </w:rPr>
        <w:t xml:space="preserve"> mutation </w:t>
      </w:r>
      <w:r w:rsidR="00B72E94" w:rsidRPr="000F6A77">
        <w:rPr>
          <w:rFonts w:ascii="Arial" w:hAnsi="Arial" w:cs="Arial"/>
          <w:sz w:val="22"/>
          <w:szCs w:val="22"/>
          <w:lang w:val="en-US"/>
        </w:rPr>
        <w:t xml:space="preserve">in ctDNA whilst </w:t>
      </w:r>
      <w:r w:rsidR="00CB3EA1" w:rsidRPr="000F6A77">
        <w:rPr>
          <w:rFonts w:ascii="Arial" w:hAnsi="Arial" w:cs="Arial"/>
          <w:sz w:val="22"/>
          <w:szCs w:val="22"/>
          <w:lang w:val="en-US"/>
        </w:rPr>
        <w:t xml:space="preserve">Cohort </w:t>
      </w:r>
      <w:r w:rsidR="00B72E94" w:rsidRPr="000F6A77">
        <w:rPr>
          <w:rFonts w:ascii="Arial" w:hAnsi="Arial" w:cs="Arial"/>
          <w:sz w:val="22"/>
          <w:szCs w:val="22"/>
          <w:lang w:val="en-US"/>
        </w:rPr>
        <w:t xml:space="preserve">A was </w:t>
      </w:r>
      <w:r w:rsidR="003E2468">
        <w:rPr>
          <w:rFonts w:ascii="Arial" w:hAnsi="Arial" w:cs="Arial"/>
          <w:sz w:val="22"/>
          <w:szCs w:val="22"/>
          <w:lang w:val="en-US"/>
        </w:rPr>
        <w:t>open to rec</w:t>
      </w:r>
      <w:r w:rsidR="004A7B1B">
        <w:rPr>
          <w:rFonts w:ascii="Arial" w:hAnsi="Arial" w:cs="Arial"/>
          <w:sz w:val="22"/>
          <w:szCs w:val="22"/>
          <w:lang w:val="en-US"/>
        </w:rPr>
        <w:t>r</w:t>
      </w:r>
      <w:r w:rsidR="003E2468">
        <w:rPr>
          <w:rFonts w:ascii="Arial" w:hAnsi="Arial" w:cs="Arial"/>
          <w:sz w:val="22"/>
          <w:szCs w:val="22"/>
          <w:lang w:val="en-US"/>
        </w:rPr>
        <w:t>uitment</w:t>
      </w:r>
      <w:r w:rsidR="0072782E">
        <w:rPr>
          <w:rFonts w:ascii="Arial" w:hAnsi="Arial" w:cs="Arial"/>
          <w:sz w:val="22"/>
          <w:szCs w:val="22"/>
          <w:lang w:val="en-US"/>
        </w:rPr>
        <w:t>,</w:t>
      </w:r>
      <w:r w:rsidR="009D2FD7">
        <w:rPr>
          <w:rFonts w:ascii="Arial" w:hAnsi="Arial" w:cs="Arial"/>
          <w:sz w:val="22"/>
          <w:szCs w:val="22"/>
          <w:lang w:val="en-US"/>
        </w:rPr>
        <w:t xml:space="preserve"> </w:t>
      </w:r>
      <w:r w:rsidR="003141D6" w:rsidRPr="00A3163A">
        <w:rPr>
          <w:rFonts w:ascii="Arial" w:hAnsi="Arial" w:cs="Arial"/>
          <w:sz w:val="22"/>
          <w:szCs w:val="22"/>
          <w:lang w:val="en-US"/>
        </w:rPr>
        <w:t>84</w:t>
      </w:r>
      <w:r w:rsidR="003141D6" w:rsidRPr="008C7FCA">
        <w:rPr>
          <w:rFonts w:ascii="Arial" w:hAnsi="Arial" w:cs="Arial"/>
          <w:sz w:val="22"/>
          <w:szCs w:val="22"/>
          <w:lang w:val="en-US"/>
        </w:rPr>
        <w:t xml:space="preserve"> </w:t>
      </w:r>
      <w:r w:rsidRPr="008C7FCA">
        <w:rPr>
          <w:rFonts w:ascii="Arial" w:hAnsi="Arial" w:cs="Arial"/>
          <w:sz w:val="22"/>
          <w:szCs w:val="22"/>
          <w:lang w:val="en-US"/>
        </w:rPr>
        <w:t>(3</w:t>
      </w:r>
      <w:r w:rsidR="00951DB6">
        <w:rPr>
          <w:rFonts w:ascii="Arial" w:hAnsi="Arial" w:cs="Arial"/>
          <w:sz w:val="22"/>
          <w:szCs w:val="22"/>
          <w:lang w:val="en-US"/>
        </w:rPr>
        <w:t>7.</w:t>
      </w:r>
      <w:r w:rsidRPr="008C7FCA">
        <w:rPr>
          <w:rFonts w:ascii="Arial" w:hAnsi="Arial" w:cs="Arial"/>
          <w:sz w:val="22"/>
          <w:szCs w:val="22"/>
          <w:lang w:val="en-US"/>
        </w:rPr>
        <w:t xml:space="preserve">8%) </w:t>
      </w:r>
      <w:r w:rsidR="00107A7A">
        <w:rPr>
          <w:rFonts w:ascii="Arial" w:hAnsi="Arial" w:cs="Arial"/>
          <w:sz w:val="22"/>
          <w:szCs w:val="22"/>
          <w:lang w:val="en-US"/>
        </w:rPr>
        <w:t xml:space="preserve">were </w:t>
      </w:r>
      <w:r w:rsidR="003141D6" w:rsidRPr="008C7FCA">
        <w:rPr>
          <w:rFonts w:ascii="Arial" w:hAnsi="Arial" w:cs="Arial"/>
          <w:sz w:val="22"/>
          <w:szCs w:val="22"/>
          <w:lang w:val="en-US"/>
        </w:rPr>
        <w:t>enrolled</w:t>
      </w:r>
      <w:r w:rsidR="0072782E">
        <w:rPr>
          <w:rFonts w:ascii="Arial" w:hAnsi="Arial" w:cs="Arial"/>
          <w:sz w:val="22"/>
          <w:szCs w:val="22"/>
          <w:lang w:val="en-US"/>
        </w:rPr>
        <w:t xml:space="preserve"> (details in </w:t>
      </w:r>
      <w:r w:rsidR="0072782E" w:rsidRPr="0067473B">
        <w:rPr>
          <w:rFonts w:ascii="Arial" w:hAnsi="Arial" w:cs="Arial"/>
          <w:sz w:val="22"/>
          <w:szCs w:val="22"/>
          <w:lang w:val="en-US"/>
        </w:rPr>
        <w:t>Figure</w:t>
      </w:r>
      <w:r w:rsidR="009E0F6F" w:rsidRPr="0067473B">
        <w:rPr>
          <w:rFonts w:ascii="Arial" w:hAnsi="Arial" w:cs="Arial"/>
          <w:sz w:val="22"/>
          <w:szCs w:val="22"/>
          <w:lang w:val="en-US"/>
        </w:rPr>
        <w:t xml:space="preserve"> </w:t>
      </w:r>
      <w:r w:rsidR="0072782E" w:rsidRPr="0067473B">
        <w:rPr>
          <w:rFonts w:ascii="Arial" w:hAnsi="Arial" w:cs="Arial"/>
          <w:sz w:val="22"/>
          <w:szCs w:val="22"/>
          <w:lang w:val="en-US"/>
        </w:rPr>
        <w:t>1</w:t>
      </w:r>
      <w:r w:rsidR="0072782E">
        <w:rPr>
          <w:rFonts w:ascii="Arial" w:hAnsi="Arial" w:cs="Arial"/>
          <w:sz w:val="22"/>
          <w:szCs w:val="22"/>
          <w:lang w:val="en-US"/>
        </w:rPr>
        <w:t>)</w:t>
      </w:r>
      <w:r w:rsidR="00484C3E">
        <w:rPr>
          <w:rFonts w:ascii="Arial" w:hAnsi="Arial" w:cs="Arial"/>
          <w:sz w:val="22"/>
          <w:szCs w:val="22"/>
          <w:lang w:val="en-US"/>
        </w:rPr>
        <w:t xml:space="preserve">; </w:t>
      </w:r>
      <w:r w:rsidR="0072782E">
        <w:rPr>
          <w:rFonts w:ascii="Arial" w:hAnsi="Arial" w:cs="Arial"/>
          <w:sz w:val="22"/>
          <w:szCs w:val="22"/>
          <w:lang w:val="en-US"/>
        </w:rPr>
        <w:t>a</w:t>
      </w:r>
      <w:r w:rsidR="003141D6" w:rsidRPr="008C7FCA">
        <w:rPr>
          <w:rFonts w:ascii="Arial" w:hAnsi="Arial" w:cs="Arial"/>
          <w:sz w:val="22"/>
          <w:szCs w:val="22"/>
          <w:lang w:val="en-US"/>
        </w:rPr>
        <w:t xml:space="preserve">ll </w:t>
      </w:r>
      <w:r w:rsidRPr="008C7FCA">
        <w:rPr>
          <w:rFonts w:ascii="Arial" w:hAnsi="Arial" w:cs="Arial"/>
          <w:sz w:val="22"/>
          <w:szCs w:val="22"/>
          <w:lang w:val="en-US"/>
        </w:rPr>
        <w:t xml:space="preserve">had </w:t>
      </w:r>
      <w:r w:rsidR="0031076F" w:rsidRPr="008C7FCA">
        <w:rPr>
          <w:rFonts w:ascii="Arial" w:hAnsi="Arial" w:cs="Arial"/>
          <w:sz w:val="22"/>
          <w:szCs w:val="22"/>
          <w:lang w:val="en-US"/>
        </w:rPr>
        <w:t>ER</w:t>
      </w:r>
      <w:r w:rsidR="0031076F">
        <w:rPr>
          <w:rFonts w:ascii="Arial" w:hAnsi="Arial" w:cs="Arial"/>
          <w:sz w:val="22"/>
          <w:szCs w:val="22"/>
          <w:lang w:val="en-US"/>
        </w:rPr>
        <w:t>-</w:t>
      </w:r>
      <w:r w:rsidR="003141D6" w:rsidRPr="008C7FCA">
        <w:rPr>
          <w:rFonts w:ascii="Arial" w:hAnsi="Arial" w:cs="Arial"/>
          <w:sz w:val="22"/>
          <w:szCs w:val="22"/>
          <w:lang w:val="en-US"/>
        </w:rPr>
        <w:t>positive</w:t>
      </w:r>
      <w:r w:rsidRPr="008C7FCA">
        <w:rPr>
          <w:rFonts w:ascii="Arial" w:hAnsi="Arial" w:cs="Arial"/>
          <w:sz w:val="22"/>
          <w:szCs w:val="22"/>
          <w:lang w:val="en-US"/>
        </w:rPr>
        <w:t xml:space="preserve"> cancers</w:t>
      </w:r>
      <w:r w:rsidR="003141D6" w:rsidRPr="00A3163A">
        <w:rPr>
          <w:rFonts w:ascii="Arial" w:hAnsi="Arial" w:cs="Arial"/>
          <w:sz w:val="22"/>
          <w:szCs w:val="22"/>
          <w:lang w:val="en-US"/>
        </w:rPr>
        <w:t xml:space="preserve">, </w:t>
      </w:r>
      <w:r w:rsidR="00143D1E">
        <w:rPr>
          <w:rFonts w:ascii="Arial" w:hAnsi="Arial" w:cs="Arial"/>
          <w:sz w:val="22"/>
          <w:szCs w:val="22"/>
          <w:lang w:val="en-US"/>
        </w:rPr>
        <w:t>three (3.6%)</w:t>
      </w:r>
      <w:r w:rsidR="00143D1E" w:rsidRPr="00A3163A">
        <w:rPr>
          <w:rFonts w:ascii="Arial" w:hAnsi="Arial" w:cs="Arial"/>
          <w:sz w:val="22"/>
          <w:szCs w:val="22"/>
          <w:lang w:val="en-US"/>
        </w:rPr>
        <w:t xml:space="preserve"> </w:t>
      </w:r>
      <w:r w:rsidR="003141D6" w:rsidRPr="00A3163A">
        <w:rPr>
          <w:rFonts w:ascii="Arial" w:hAnsi="Arial" w:cs="Arial"/>
          <w:sz w:val="22"/>
          <w:szCs w:val="22"/>
          <w:lang w:val="en-US"/>
        </w:rPr>
        <w:t xml:space="preserve">were </w:t>
      </w:r>
      <w:r w:rsidR="0031076F" w:rsidRPr="008C7FCA">
        <w:rPr>
          <w:rFonts w:ascii="Arial" w:hAnsi="Arial" w:cs="Arial"/>
          <w:iCs/>
          <w:sz w:val="22"/>
          <w:szCs w:val="22"/>
          <w:lang w:val="en-US"/>
        </w:rPr>
        <w:t>HER2</w:t>
      </w:r>
      <w:r w:rsidR="0031076F">
        <w:rPr>
          <w:rFonts w:ascii="Arial" w:hAnsi="Arial" w:cs="Arial"/>
          <w:sz w:val="22"/>
          <w:szCs w:val="22"/>
          <w:lang w:val="en-US"/>
        </w:rPr>
        <w:t>-</w:t>
      </w:r>
      <w:r w:rsidR="00D60CFC">
        <w:rPr>
          <w:rFonts w:ascii="Arial" w:hAnsi="Arial" w:cs="Arial"/>
          <w:sz w:val="22"/>
          <w:szCs w:val="22"/>
          <w:lang w:val="en-US"/>
        </w:rPr>
        <w:t>positive (</w:t>
      </w:r>
      <w:r w:rsidR="00F052CD">
        <w:rPr>
          <w:rFonts w:ascii="Arial" w:hAnsi="Arial" w:cs="Arial"/>
          <w:sz w:val="22"/>
          <w:szCs w:val="22"/>
          <w:lang w:val="en-US"/>
        </w:rPr>
        <w:t>over-expressed/</w:t>
      </w:r>
      <w:r w:rsidR="00D60CFC">
        <w:rPr>
          <w:rFonts w:ascii="Arial" w:hAnsi="Arial" w:cs="Arial"/>
          <w:sz w:val="22"/>
          <w:szCs w:val="22"/>
          <w:lang w:val="en-US"/>
        </w:rPr>
        <w:t>amplified)</w:t>
      </w:r>
      <w:r w:rsidR="003141D6" w:rsidRPr="00442EF7">
        <w:rPr>
          <w:rFonts w:ascii="Arial" w:hAnsi="Arial" w:cs="Arial"/>
          <w:sz w:val="22"/>
          <w:szCs w:val="22"/>
          <w:lang w:val="en-US"/>
        </w:rPr>
        <w:t xml:space="preserve">, </w:t>
      </w:r>
      <w:r w:rsidR="0031076F">
        <w:rPr>
          <w:rFonts w:ascii="Arial" w:hAnsi="Arial" w:cs="Arial"/>
          <w:sz w:val="22"/>
          <w:szCs w:val="22"/>
          <w:lang w:val="en-US"/>
        </w:rPr>
        <w:t xml:space="preserve">and </w:t>
      </w:r>
      <w:r w:rsidR="003141D6" w:rsidRPr="00442EF7">
        <w:rPr>
          <w:rFonts w:ascii="Arial" w:hAnsi="Arial" w:cs="Arial"/>
          <w:sz w:val="22"/>
          <w:szCs w:val="22"/>
          <w:lang w:val="en-US"/>
        </w:rPr>
        <w:t>78 (</w:t>
      </w:r>
      <w:r w:rsidR="00EB42B2">
        <w:rPr>
          <w:rFonts w:ascii="Arial" w:hAnsi="Arial" w:cs="Arial"/>
          <w:sz w:val="22"/>
          <w:szCs w:val="22"/>
          <w:lang w:val="en-US"/>
        </w:rPr>
        <w:t>9</w:t>
      </w:r>
      <w:r w:rsidR="002B7502">
        <w:rPr>
          <w:rFonts w:ascii="Arial" w:hAnsi="Arial" w:cs="Arial"/>
          <w:sz w:val="22"/>
          <w:szCs w:val="22"/>
          <w:lang w:val="en-US"/>
        </w:rPr>
        <w:t>2.9</w:t>
      </w:r>
      <w:r w:rsidR="003141D6" w:rsidRPr="00442EF7">
        <w:rPr>
          <w:rFonts w:ascii="Arial" w:hAnsi="Arial" w:cs="Arial"/>
          <w:sz w:val="22"/>
          <w:szCs w:val="22"/>
          <w:lang w:val="en-US"/>
        </w:rPr>
        <w:t>%) had visceral metastases</w:t>
      </w:r>
      <w:r w:rsidR="003141D6" w:rsidRPr="00D856EB">
        <w:rPr>
          <w:rFonts w:ascii="Arial" w:hAnsi="Arial" w:cs="Arial"/>
          <w:sz w:val="22"/>
          <w:szCs w:val="22"/>
          <w:lang w:val="en-US"/>
        </w:rPr>
        <w:t xml:space="preserve"> (</w:t>
      </w:r>
      <w:r w:rsidR="00AE5196" w:rsidRPr="00E27B44">
        <w:rPr>
          <w:rFonts w:ascii="Arial" w:hAnsi="Arial" w:cs="Arial"/>
          <w:sz w:val="22"/>
          <w:szCs w:val="22"/>
          <w:lang w:val="en-US"/>
        </w:rPr>
        <w:t>Table</w:t>
      </w:r>
      <w:r w:rsidR="002522D6">
        <w:rPr>
          <w:rFonts w:ascii="Arial" w:hAnsi="Arial" w:cs="Arial"/>
          <w:sz w:val="22"/>
          <w:szCs w:val="22"/>
          <w:lang w:val="en-US"/>
        </w:rPr>
        <w:t xml:space="preserve"> </w:t>
      </w:r>
      <w:r w:rsidR="00AE5196" w:rsidRPr="00E27B44">
        <w:rPr>
          <w:rFonts w:ascii="Arial" w:hAnsi="Arial" w:cs="Arial"/>
          <w:sz w:val="22"/>
          <w:szCs w:val="22"/>
          <w:lang w:val="en-US"/>
        </w:rPr>
        <w:t>1</w:t>
      </w:r>
      <w:r w:rsidR="003141D6" w:rsidRPr="00E27B44">
        <w:rPr>
          <w:rFonts w:ascii="Arial" w:hAnsi="Arial" w:cs="Arial"/>
          <w:sz w:val="22"/>
          <w:szCs w:val="22"/>
          <w:lang w:val="en-US"/>
        </w:rPr>
        <w:t>).</w:t>
      </w:r>
      <w:r w:rsidR="00442595">
        <w:rPr>
          <w:rFonts w:ascii="Arial" w:hAnsi="Arial" w:cs="Arial"/>
          <w:sz w:val="22"/>
          <w:szCs w:val="22"/>
          <w:lang w:val="en-US"/>
        </w:rPr>
        <w:t xml:space="preserve"> </w:t>
      </w:r>
      <w:r w:rsidR="003141D6" w:rsidRPr="00E27B44">
        <w:rPr>
          <w:rFonts w:ascii="Arial" w:hAnsi="Arial" w:cs="Arial"/>
          <w:sz w:val="22"/>
          <w:szCs w:val="22"/>
          <w:lang w:val="en-US"/>
        </w:rPr>
        <w:t xml:space="preserve">The most common </w:t>
      </w:r>
      <w:r w:rsidR="003141D6" w:rsidRPr="00E27B44">
        <w:rPr>
          <w:rFonts w:ascii="Arial" w:hAnsi="Arial" w:cs="Arial"/>
          <w:i/>
          <w:sz w:val="22"/>
          <w:szCs w:val="22"/>
          <w:lang w:val="en-US"/>
        </w:rPr>
        <w:t>ESR1</w:t>
      </w:r>
      <w:r w:rsidR="003141D6" w:rsidRPr="00DF48EA">
        <w:rPr>
          <w:rFonts w:ascii="Arial" w:hAnsi="Arial" w:cs="Arial"/>
          <w:sz w:val="22"/>
          <w:szCs w:val="22"/>
          <w:lang w:val="en-US"/>
        </w:rPr>
        <w:t xml:space="preserve"> mutations detected in plasma were D538G (</w:t>
      </w:r>
      <w:r w:rsidR="00EB42B2">
        <w:rPr>
          <w:rFonts w:ascii="Arial" w:hAnsi="Arial" w:cs="Arial"/>
          <w:sz w:val="22"/>
          <w:szCs w:val="22"/>
          <w:lang w:val="en-US"/>
        </w:rPr>
        <w:t>5</w:t>
      </w:r>
      <w:r w:rsidR="002B7502">
        <w:rPr>
          <w:rFonts w:ascii="Arial" w:hAnsi="Arial" w:cs="Arial"/>
          <w:sz w:val="22"/>
          <w:szCs w:val="22"/>
          <w:lang w:val="en-US"/>
        </w:rPr>
        <w:t>3.6</w:t>
      </w:r>
      <w:r w:rsidR="003141D6" w:rsidRPr="00DF48EA">
        <w:rPr>
          <w:rFonts w:ascii="Arial" w:hAnsi="Arial" w:cs="Arial"/>
          <w:sz w:val="22"/>
          <w:szCs w:val="22"/>
          <w:lang w:val="en-US"/>
        </w:rPr>
        <w:t>%</w:t>
      </w:r>
      <w:r w:rsidR="00C402BF" w:rsidRPr="00DF48EA">
        <w:rPr>
          <w:rFonts w:ascii="Arial" w:hAnsi="Arial" w:cs="Arial"/>
          <w:sz w:val="22"/>
          <w:szCs w:val="22"/>
          <w:lang w:val="en-US"/>
        </w:rPr>
        <w:t>,</w:t>
      </w:r>
      <w:r w:rsidR="007826F1">
        <w:rPr>
          <w:rFonts w:ascii="Arial" w:hAnsi="Arial" w:cs="Arial"/>
          <w:sz w:val="22"/>
          <w:szCs w:val="22"/>
          <w:lang w:val="en-US"/>
        </w:rPr>
        <w:t>45</w:t>
      </w:r>
      <w:r w:rsidR="00C402BF" w:rsidRPr="00DF48EA">
        <w:rPr>
          <w:rFonts w:ascii="Arial" w:hAnsi="Arial" w:cs="Arial"/>
          <w:sz w:val="22"/>
          <w:szCs w:val="22"/>
          <w:lang w:val="en-US"/>
        </w:rPr>
        <w:t>/</w:t>
      </w:r>
      <w:r w:rsidR="007826F1">
        <w:rPr>
          <w:rFonts w:ascii="Arial" w:hAnsi="Arial" w:cs="Arial"/>
          <w:sz w:val="22"/>
          <w:szCs w:val="22"/>
          <w:lang w:val="en-US"/>
        </w:rPr>
        <w:t>84</w:t>
      </w:r>
      <w:r w:rsidR="003141D6" w:rsidRPr="00DF48EA">
        <w:rPr>
          <w:rFonts w:ascii="Arial" w:hAnsi="Arial" w:cs="Arial"/>
          <w:sz w:val="22"/>
          <w:szCs w:val="22"/>
          <w:lang w:val="en-US"/>
        </w:rPr>
        <w:t>),</w:t>
      </w:r>
      <w:r w:rsidR="000E31DB">
        <w:rPr>
          <w:rFonts w:ascii="Arial" w:hAnsi="Arial" w:cs="Arial"/>
          <w:sz w:val="22"/>
          <w:szCs w:val="22"/>
          <w:lang w:val="en-US"/>
        </w:rPr>
        <w:t xml:space="preserve"> </w:t>
      </w:r>
      <w:r w:rsidR="000E31DB" w:rsidRPr="00DF48EA">
        <w:rPr>
          <w:rFonts w:ascii="Arial" w:hAnsi="Arial" w:cs="Arial"/>
          <w:sz w:val="22"/>
          <w:szCs w:val="22"/>
          <w:lang w:val="en-US"/>
        </w:rPr>
        <w:t>Y537S (</w:t>
      </w:r>
      <w:r w:rsidR="00EB42B2">
        <w:rPr>
          <w:rFonts w:ascii="Arial" w:hAnsi="Arial" w:cs="Arial"/>
          <w:sz w:val="22"/>
          <w:szCs w:val="22"/>
          <w:lang w:val="en-US"/>
        </w:rPr>
        <w:t>3</w:t>
      </w:r>
      <w:r w:rsidR="002B7502">
        <w:rPr>
          <w:rFonts w:ascii="Arial" w:hAnsi="Arial" w:cs="Arial"/>
          <w:sz w:val="22"/>
          <w:szCs w:val="22"/>
          <w:lang w:val="en-US"/>
        </w:rPr>
        <w:t>6.9</w:t>
      </w:r>
      <w:r w:rsidR="000E31DB" w:rsidRPr="00DF48EA">
        <w:rPr>
          <w:rFonts w:ascii="Arial" w:hAnsi="Arial" w:cs="Arial"/>
          <w:sz w:val="22"/>
          <w:szCs w:val="22"/>
          <w:lang w:val="en-US"/>
        </w:rPr>
        <w:t>%</w:t>
      </w:r>
      <w:r w:rsidR="000E31DB" w:rsidRPr="007769F1">
        <w:rPr>
          <w:rFonts w:ascii="Arial" w:hAnsi="Arial" w:cs="Arial"/>
          <w:sz w:val="22"/>
          <w:szCs w:val="22"/>
          <w:lang w:val="en-US"/>
        </w:rPr>
        <w:t>,</w:t>
      </w:r>
      <w:r w:rsidR="000E31DB">
        <w:rPr>
          <w:rFonts w:ascii="Arial" w:hAnsi="Arial" w:cs="Arial"/>
          <w:sz w:val="22"/>
          <w:szCs w:val="22"/>
          <w:lang w:val="en-US"/>
        </w:rPr>
        <w:t>31</w:t>
      </w:r>
      <w:r w:rsidR="000E31DB" w:rsidRPr="007769F1">
        <w:rPr>
          <w:rFonts w:ascii="Arial" w:hAnsi="Arial" w:cs="Arial"/>
          <w:sz w:val="22"/>
          <w:szCs w:val="22"/>
          <w:lang w:val="en-US"/>
        </w:rPr>
        <w:t>/</w:t>
      </w:r>
      <w:r w:rsidR="000E31DB">
        <w:rPr>
          <w:rFonts w:ascii="Arial" w:hAnsi="Arial" w:cs="Arial"/>
          <w:sz w:val="22"/>
          <w:szCs w:val="22"/>
          <w:lang w:val="en-US"/>
        </w:rPr>
        <w:t>84</w:t>
      </w:r>
      <w:r w:rsidR="000E31DB" w:rsidRPr="007769F1">
        <w:rPr>
          <w:rFonts w:ascii="Arial" w:hAnsi="Arial" w:cs="Arial"/>
          <w:sz w:val="22"/>
          <w:szCs w:val="22"/>
          <w:lang w:val="en-US"/>
        </w:rPr>
        <w:t>)</w:t>
      </w:r>
      <w:r w:rsidR="000E31DB">
        <w:rPr>
          <w:rFonts w:ascii="Arial" w:hAnsi="Arial" w:cs="Arial"/>
          <w:sz w:val="22"/>
          <w:szCs w:val="22"/>
          <w:lang w:val="en-US"/>
        </w:rPr>
        <w:t>,</w:t>
      </w:r>
      <w:r w:rsidR="00532070">
        <w:rPr>
          <w:rFonts w:ascii="Arial" w:hAnsi="Arial" w:cs="Arial"/>
          <w:sz w:val="22"/>
          <w:szCs w:val="22"/>
          <w:lang w:val="en-US"/>
        </w:rPr>
        <w:t xml:space="preserve"> </w:t>
      </w:r>
      <w:r w:rsidR="00532070" w:rsidRPr="007769F1">
        <w:rPr>
          <w:rFonts w:ascii="Arial" w:hAnsi="Arial" w:cs="Arial"/>
          <w:sz w:val="22"/>
          <w:szCs w:val="22"/>
          <w:lang w:val="en-US"/>
        </w:rPr>
        <w:t>E380Q (</w:t>
      </w:r>
      <w:r w:rsidR="00EB42B2">
        <w:rPr>
          <w:rFonts w:ascii="Arial" w:hAnsi="Arial" w:cs="Arial"/>
          <w:sz w:val="22"/>
          <w:szCs w:val="22"/>
          <w:lang w:val="en-US"/>
        </w:rPr>
        <w:t>3</w:t>
      </w:r>
      <w:r w:rsidR="002B7502">
        <w:rPr>
          <w:rFonts w:ascii="Arial" w:hAnsi="Arial" w:cs="Arial"/>
          <w:sz w:val="22"/>
          <w:szCs w:val="22"/>
          <w:lang w:val="en-US"/>
        </w:rPr>
        <w:t>4.5</w:t>
      </w:r>
      <w:r w:rsidR="00532070" w:rsidRPr="007769F1">
        <w:rPr>
          <w:rFonts w:ascii="Arial" w:hAnsi="Arial" w:cs="Arial"/>
          <w:sz w:val="22"/>
          <w:szCs w:val="22"/>
          <w:lang w:val="en-US"/>
        </w:rPr>
        <w:t>%,</w:t>
      </w:r>
      <w:r w:rsidR="00532070">
        <w:rPr>
          <w:rFonts w:ascii="Arial" w:hAnsi="Arial" w:cs="Arial"/>
          <w:sz w:val="22"/>
          <w:szCs w:val="22"/>
          <w:lang w:val="en-US"/>
        </w:rPr>
        <w:t>29/84</w:t>
      </w:r>
      <w:r w:rsidR="00532070" w:rsidRPr="007769F1">
        <w:rPr>
          <w:rFonts w:ascii="Arial" w:hAnsi="Arial" w:cs="Arial"/>
          <w:sz w:val="22"/>
          <w:szCs w:val="22"/>
          <w:lang w:val="en-US"/>
        </w:rPr>
        <w:t>)</w:t>
      </w:r>
      <w:r w:rsidR="000E31DB">
        <w:rPr>
          <w:rFonts w:ascii="Arial" w:hAnsi="Arial" w:cs="Arial"/>
          <w:sz w:val="22"/>
          <w:szCs w:val="22"/>
          <w:lang w:val="en-US"/>
        </w:rPr>
        <w:t xml:space="preserve">. </w:t>
      </w:r>
      <w:r w:rsidR="002A08D3">
        <w:rPr>
          <w:rFonts w:ascii="Arial" w:hAnsi="Arial" w:cs="Arial"/>
          <w:sz w:val="22"/>
          <w:szCs w:val="22"/>
          <w:lang w:val="en-US"/>
        </w:rPr>
        <w:t>74</w:t>
      </w:r>
      <w:r w:rsidR="009C05D0" w:rsidRPr="00442EF7">
        <w:rPr>
          <w:rFonts w:ascii="Arial" w:hAnsi="Arial" w:cs="Arial"/>
          <w:sz w:val="22"/>
          <w:szCs w:val="22"/>
          <w:lang w:val="en-US"/>
        </w:rPr>
        <w:t xml:space="preserve"> </w:t>
      </w:r>
      <w:r w:rsidR="003141D6" w:rsidRPr="00442EF7">
        <w:rPr>
          <w:rFonts w:ascii="Arial" w:hAnsi="Arial" w:cs="Arial"/>
          <w:sz w:val="22"/>
          <w:szCs w:val="22"/>
          <w:lang w:val="en-US"/>
        </w:rPr>
        <w:t>patients</w:t>
      </w:r>
      <w:r w:rsidR="00F03955" w:rsidRPr="00442EF7">
        <w:rPr>
          <w:rFonts w:ascii="Arial" w:hAnsi="Arial" w:cs="Arial"/>
          <w:sz w:val="22"/>
          <w:szCs w:val="22"/>
          <w:lang w:val="en-US"/>
        </w:rPr>
        <w:t xml:space="preserve"> </w:t>
      </w:r>
      <w:r w:rsidR="00434B2E" w:rsidRPr="00E8542D">
        <w:rPr>
          <w:rFonts w:ascii="Arial" w:hAnsi="Arial" w:cs="Arial"/>
          <w:sz w:val="22"/>
          <w:szCs w:val="22"/>
          <w:lang w:val="en-US"/>
        </w:rPr>
        <w:t xml:space="preserve">were </w:t>
      </w:r>
      <w:r w:rsidR="00F03955" w:rsidRPr="009479D7">
        <w:rPr>
          <w:rFonts w:ascii="Arial" w:hAnsi="Arial" w:cs="Arial"/>
          <w:sz w:val="22"/>
          <w:szCs w:val="22"/>
          <w:lang w:val="en-US"/>
        </w:rPr>
        <w:t>evaluable for response</w:t>
      </w:r>
      <w:r w:rsidR="00D60CFC">
        <w:rPr>
          <w:rFonts w:ascii="Arial" w:hAnsi="Arial" w:cs="Arial"/>
          <w:sz w:val="22"/>
          <w:szCs w:val="22"/>
          <w:lang w:val="en-US"/>
        </w:rPr>
        <w:t xml:space="preserve">, </w:t>
      </w:r>
      <w:r w:rsidR="000C2221">
        <w:rPr>
          <w:rFonts w:ascii="Arial" w:hAnsi="Arial" w:cs="Arial"/>
          <w:sz w:val="22"/>
          <w:szCs w:val="22"/>
          <w:lang w:val="en-US"/>
        </w:rPr>
        <w:t xml:space="preserve">since </w:t>
      </w:r>
      <w:r w:rsidR="002A08D3">
        <w:rPr>
          <w:rFonts w:ascii="Arial" w:hAnsi="Arial" w:cs="Arial"/>
          <w:sz w:val="22"/>
          <w:szCs w:val="22"/>
          <w:lang w:val="en-US"/>
        </w:rPr>
        <w:t>four</w:t>
      </w:r>
      <w:r w:rsidR="00D60CFC">
        <w:rPr>
          <w:rFonts w:ascii="Arial" w:hAnsi="Arial" w:cs="Arial"/>
          <w:sz w:val="22"/>
          <w:szCs w:val="22"/>
          <w:lang w:val="en-US"/>
        </w:rPr>
        <w:t xml:space="preserve"> patients did not start treatment and </w:t>
      </w:r>
      <w:r w:rsidR="002A08D3">
        <w:rPr>
          <w:rFonts w:ascii="Arial" w:hAnsi="Arial" w:cs="Arial"/>
          <w:sz w:val="22"/>
          <w:szCs w:val="22"/>
          <w:lang w:val="en-US"/>
        </w:rPr>
        <w:t>six</w:t>
      </w:r>
      <w:r w:rsidR="00D60CFC">
        <w:rPr>
          <w:rFonts w:ascii="Arial" w:hAnsi="Arial" w:cs="Arial"/>
          <w:sz w:val="22"/>
          <w:szCs w:val="22"/>
          <w:lang w:val="en-US"/>
        </w:rPr>
        <w:t xml:space="preserve"> </w:t>
      </w:r>
      <w:r w:rsidR="00FE508D">
        <w:rPr>
          <w:rFonts w:ascii="Arial" w:hAnsi="Arial" w:cs="Arial"/>
          <w:sz w:val="22"/>
          <w:szCs w:val="22"/>
          <w:lang w:val="en-US"/>
        </w:rPr>
        <w:t xml:space="preserve">did not have </w:t>
      </w:r>
      <w:r w:rsidR="00D60CFC">
        <w:rPr>
          <w:rFonts w:ascii="Arial" w:hAnsi="Arial" w:cs="Arial"/>
          <w:sz w:val="22"/>
          <w:szCs w:val="22"/>
          <w:lang w:val="en-US"/>
        </w:rPr>
        <w:t>on</w:t>
      </w:r>
      <w:r w:rsidR="00FE508D">
        <w:rPr>
          <w:rFonts w:ascii="Arial" w:hAnsi="Arial" w:cs="Arial"/>
          <w:sz w:val="22"/>
          <w:szCs w:val="22"/>
          <w:lang w:val="en-US"/>
        </w:rPr>
        <w:t>-</w:t>
      </w:r>
      <w:r w:rsidR="00D60CFC">
        <w:rPr>
          <w:rFonts w:ascii="Arial" w:hAnsi="Arial" w:cs="Arial"/>
          <w:sz w:val="22"/>
          <w:szCs w:val="22"/>
          <w:lang w:val="en-US"/>
        </w:rPr>
        <w:t xml:space="preserve">treatment </w:t>
      </w:r>
      <w:r w:rsidR="000B0EE9">
        <w:rPr>
          <w:rFonts w:ascii="Arial" w:hAnsi="Arial" w:cs="Arial"/>
          <w:sz w:val="22"/>
          <w:szCs w:val="22"/>
          <w:lang w:val="en-US"/>
        </w:rPr>
        <w:t xml:space="preserve">RECIST </w:t>
      </w:r>
      <w:r w:rsidR="0031076F">
        <w:rPr>
          <w:rFonts w:ascii="Arial" w:hAnsi="Arial" w:cs="Arial"/>
          <w:sz w:val="22"/>
          <w:szCs w:val="22"/>
          <w:lang w:val="en-US"/>
        </w:rPr>
        <w:t xml:space="preserve">assessable </w:t>
      </w:r>
      <w:r w:rsidR="000B0EE9">
        <w:rPr>
          <w:rFonts w:ascii="Arial" w:hAnsi="Arial" w:cs="Arial"/>
          <w:sz w:val="22"/>
          <w:szCs w:val="22"/>
          <w:lang w:val="en-US"/>
        </w:rPr>
        <w:t xml:space="preserve">imaging. </w:t>
      </w:r>
      <w:r w:rsidR="00434B2E" w:rsidRPr="009479D7">
        <w:rPr>
          <w:rFonts w:ascii="Arial" w:hAnsi="Arial" w:cs="Arial"/>
          <w:sz w:val="22"/>
          <w:szCs w:val="22"/>
          <w:lang w:val="en-US"/>
        </w:rPr>
        <w:t xml:space="preserve">Six patients had a </w:t>
      </w:r>
      <w:r w:rsidR="003141D6" w:rsidRPr="00D856EB">
        <w:rPr>
          <w:rFonts w:ascii="Arial" w:hAnsi="Arial" w:cs="Arial"/>
          <w:sz w:val="22"/>
          <w:szCs w:val="22"/>
          <w:lang w:val="en-US"/>
        </w:rPr>
        <w:t xml:space="preserve">confirmed response </w:t>
      </w:r>
      <w:r w:rsidR="000B0EE9">
        <w:rPr>
          <w:rFonts w:ascii="Arial" w:hAnsi="Arial" w:cs="Arial"/>
          <w:sz w:val="22"/>
          <w:szCs w:val="22"/>
          <w:lang w:val="en-US"/>
        </w:rPr>
        <w:t>giving</w:t>
      </w:r>
      <w:r w:rsidR="00184804" w:rsidRPr="00E27B44">
        <w:rPr>
          <w:rFonts w:ascii="Arial" w:hAnsi="Arial" w:cs="Arial"/>
          <w:sz w:val="22"/>
          <w:szCs w:val="22"/>
          <w:lang w:val="en-US"/>
        </w:rPr>
        <w:t xml:space="preserve"> </w:t>
      </w:r>
      <w:r w:rsidR="00434B2E" w:rsidRPr="00E27B44">
        <w:rPr>
          <w:rFonts w:ascii="Arial" w:hAnsi="Arial" w:cs="Arial"/>
          <w:sz w:val="22"/>
          <w:szCs w:val="22"/>
          <w:lang w:val="en-US"/>
        </w:rPr>
        <w:t xml:space="preserve">a response </w:t>
      </w:r>
      <w:r w:rsidR="003141D6" w:rsidRPr="00E27B44">
        <w:rPr>
          <w:rFonts w:ascii="Arial" w:hAnsi="Arial" w:cs="Arial"/>
          <w:sz w:val="22"/>
          <w:szCs w:val="22"/>
          <w:lang w:val="en-US"/>
        </w:rPr>
        <w:t xml:space="preserve">rate </w:t>
      </w:r>
      <w:r w:rsidR="00434B2E" w:rsidRPr="00E27B44">
        <w:rPr>
          <w:rFonts w:ascii="Arial" w:hAnsi="Arial" w:cs="Arial"/>
          <w:sz w:val="22"/>
          <w:szCs w:val="22"/>
          <w:lang w:val="en-US"/>
        </w:rPr>
        <w:t xml:space="preserve">of </w:t>
      </w:r>
      <w:r w:rsidR="003141D6" w:rsidRPr="00DF48EA">
        <w:rPr>
          <w:rFonts w:ascii="Arial" w:hAnsi="Arial" w:cs="Arial"/>
          <w:sz w:val="22"/>
          <w:szCs w:val="22"/>
          <w:lang w:val="en-US"/>
        </w:rPr>
        <w:t>8.1% (95%CI</w:t>
      </w:r>
      <w:r w:rsidR="000A4DE2">
        <w:rPr>
          <w:rFonts w:ascii="Arial" w:hAnsi="Arial" w:cs="Arial"/>
          <w:sz w:val="22"/>
          <w:szCs w:val="22"/>
          <w:lang w:val="en-US"/>
        </w:rPr>
        <w:t>,</w:t>
      </w:r>
      <w:r w:rsidR="003141D6" w:rsidRPr="00DF48EA">
        <w:rPr>
          <w:rFonts w:ascii="Arial" w:hAnsi="Arial" w:cs="Arial"/>
          <w:sz w:val="22"/>
          <w:szCs w:val="22"/>
          <w:lang w:val="en-US"/>
        </w:rPr>
        <w:t>3.0</w:t>
      </w:r>
      <w:r w:rsidR="00863965">
        <w:rPr>
          <w:rFonts w:ascii="Arial" w:hAnsi="Arial" w:cs="Arial"/>
          <w:sz w:val="22"/>
          <w:szCs w:val="22"/>
          <w:lang w:val="en-US"/>
        </w:rPr>
        <w:t>-</w:t>
      </w:r>
      <w:r w:rsidR="003141D6" w:rsidRPr="00DF48EA">
        <w:rPr>
          <w:rFonts w:ascii="Arial" w:hAnsi="Arial" w:cs="Arial"/>
          <w:sz w:val="22"/>
          <w:szCs w:val="22"/>
          <w:lang w:val="en-US"/>
        </w:rPr>
        <w:t>1</w:t>
      </w:r>
      <w:r w:rsidR="00861E99">
        <w:rPr>
          <w:rFonts w:ascii="Arial" w:hAnsi="Arial" w:cs="Arial"/>
          <w:sz w:val="22"/>
          <w:szCs w:val="22"/>
          <w:lang w:val="en-US"/>
        </w:rPr>
        <w:t>6.8</w:t>
      </w:r>
      <w:r w:rsidR="00EB42B2">
        <w:rPr>
          <w:rFonts w:ascii="Arial" w:hAnsi="Arial" w:cs="Arial"/>
          <w:sz w:val="22"/>
          <w:szCs w:val="22"/>
          <w:lang w:val="en-US"/>
        </w:rPr>
        <w:t>%</w:t>
      </w:r>
      <w:r w:rsidR="003141D6" w:rsidRPr="00DF48EA">
        <w:rPr>
          <w:rFonts w:ascii="Arial" w:hAnsi="Arial" w:cs="Arial"/>
          <w:sz w:val="22"/>
          <w:szCs w:val="22"/>
          <w:lang w:val="en-US"/>
        </w:rPr>
        <w:t xml:space="preserve">, </w:t>
      </w:r>
      <w:r w:rsidR="00F03955" w:rsidRPr="007769F1">
        <w:rPr>
          <w:rFonts w:ascii="Arial" w:hAnsi="Arial" w:cs="Arial"/>
          <w:sz w:val="22"/>
          <w:szCs w:val="22"/>
          <w:lang w:val="en-US"/>
        </w:rPr>
        <w:t>Figure</w:t>
      </w:r>
      <w:r w:rsidR="002522D6">
        <w:rPr>
          <w:rFonts w:ascii="Arial" w:hAnsi="Arial" w:cs="Arial"/>
          <w:sz w:val="22"/>
          <w:szCs w:val="22"/>
          <w:lang w:val="en-US"/>
        </w:rPr>
        <w:t xml:space="preserve"> </w:t>
      </w:r>
      <w:r w:rsidR="00F03955" w:rsidRPr="007769F1">
        <w:rPr>
          <w:rFonts w:ascii="Arial" w:hAnsi="Arial" w:cs="Arial"/>
          <w:sz w:val="22"/>
          <w:szCs w:val="22"/>
          <w:lang w:val="en-US"/>
        </w:rPr>
        <w:t>2)</w:t>
      </w:r>
      <w:r w:rsidR="00833BEB" w:rsidRPr="007769F1">
        <w:rPr>
          <w:rFonts w:ascii="Arial" w:hAnsi="Arial" w:cs="Arial"/>
          <w:sz w:val="22"/>
          <w:szCs w:val="22"/>
          <w:lang w:val="en-US"/>
        </w:rPr>
        <w:t xml:space="preserve"> with a </w:t>
      </w:r>
      <w:r w:rsidR="00833BEB" w:rsidRPr="008C7FCA">
        <w:rPr>
          <w:rFonts w:ascii="Arial" w:hAnsi="Arial" w:cs="Arial"/>
          <w:sz w:val="22"/>
          <w:szCs w:val="22"/>
          <w:lang w:val="en-US"/>
        </w:rPr>
        <w:t xml:space="preserve">median duration of response of </w:t>
      </w:r>
      <w:r w:rsidR="00AD2387">
        <w:rPr>
          <w:rFonts w:ascii="Arial" w:hAnsi="Arial" w:cs="Arial"/>
          <w:sz w:val="22"/>
          <w:szCs w:val="22"/>
          <w:lang w:val="en-US"/>
        </w:rPr>
        <w:t>7.0</w:t>
      </w:r>
      <w:r w:rsidR="00833BEB" w:rsidRPr="008C7FCA">
        <w:rPr>
          <w:rFonts w:ascii="Arial" w:hAnsi="Arial" w:cs="Arial"/>
          <w:sz w:val="22"/>
          <w:szCs w:val="22"/>
          <w:lang w:val="en-US"/>
        </w:rPr>
        <w:t xml:space="preserve"> months (IQR</w:t>
      </w:r>
      <w:r w:rsidR="00655765">
        <w:rPr>
          <w:rFonts w:ascii="Arial" w:hAnsi="Arial" w:cs="Arial"/>
          <w:sz w:val="22"/>
          <w:szCs w:val="22"/>
          <w:lang w:val="en-US"/>
        </w:rPr>
        <w:t>:</w:t>
      </w:r>
      <w:r w:rsidR="00833BEB" w:rsidRPr="008C7FCA">
        <w:rPr>
          <w:rFonts w:ascii="Arial" w:hAnsi="Arial" w:cs="Arial"/>
          <w:sz w:val="22"/>
          <w:szCs w:val="22"/>
          <w:lang w:val="en-US"/>
        </w:rPr>
        <w:t xml:space="preserve"> 3.7-8.3) and </w:t>
      </w:r>
      <w:r w:rsidR="002A08D3">
        <w:rPr>
          <w:rFonts w:ascii="Arial" w:hAnsi="Arial" w:cs="Arial"/>
          <w:sz w:val="22"/>
          <w:szCs w:val="22"/>
          <w:lang w:val="en-US"/>
        </w:rPr>
        <w:t>four</w:t>
      </w:r>
      <w:r w:rsidR="00833BEB" w:rsidRPr="008C7FCA">
        <w:rPr>
          <w:rFonts w:ascii="Arial" w:hAnsi="Arial" w:cs="Arial"/>
          <w:sz w:val="22"/>
          <w:szCs w:val="22"/>
          <w:lang w:val="en-US"/>
        </w:rPr>
        <w:t xml:space="preserve"> patients continuing on treatment.</w:t>
      </w:r>
      <w:r w:rsidR="002A08D3">
        <w:rPr>
          <w:rFonts w:ascii="Arial" w:hAnsi="Arial" w:cs="Arial"/>
          <w:sz w:val="22"/>
          <w:szCs w:val="22"/>
          <w:lang w:val="en-US"/>
        </w:rPr>
        <w:t xml:space="preserve"> </w:t>
      </w:r>
      <w:r w:rsidR="00AD2387">
        <w:rPr>
          <w:rFonts w:ascii="Arial" w:hAnsi="Arial" w:cs="Arial"/>
          <w:sz w:val="22"/>
          <w:szCs w:val="22"/>
          <w:lang w:val="en-US"/>
        </w:rPr>
        <w:t xml:space="preserve">Clinical benefit rate was </w:t>
      </w:r>
      <w:r w:rsidR="00361FEC">
        <w:rPr>
          <w:rFonts w:ascii="Arial" w:hAnsi="Arial" w:cs="Arial"/>
          <w:sz w:val="22"/>
          <w:szCs w:val="22"/>
          <w:lang w:val="en-US"/>
        </w:rPr>
        <w:t>16</w:t>
      </w:r>
      <w:r w:rsidR="00861E99">
        <w:rPr>
          <w:rFonts w:ascii="Arial" w:hAnsi="Arial" w:cs="Arial"/>
          <w:sz w:val="22"/>
          <w:szCs w:val="22"/>
          <w:lang w:val="en-US"/>
        </w:rPr>
        <w:t>.2</w:t>
      </w:r>
      <w:r w:rsidR="00361FEC">
        <w:rPr>
          <w:rFonts w:ascii="Arial" w:hAnsi="Arial" w:cs="Arial"/>
          <w:sz w:val="22"/>
          <w:szCs w:val="22"/>
          <w:lang w:val="en-US"/>
        </w:rPr>
        <w:t>% (95%CI</w:t>
      </w:r>
      <w:r w:rsidR="000A4DE2">
        <w:rPr>
          <w:rFonts w:ascii="Arial" w:hAnsi="Arial" w:cs="Arial"/>
          <w:sz w:val="22"/>
          <w:szCs w:val="22"/>
          <w:lang w:val="en-US"/>
        </w:rPr>
        <w:t>,</w:t>
      </w:r>
      <w:r w:rsidR="00361FEC">
        <w:rPr>
          <w:rFonts w:ascii="Arial" w:hAnsi="Arial" w:cs="Arial"/>
          <w:sz w:val="22"/>
          <w:szCs w:val="22"/>
          <w:lang w:val="en-US"/>
        </w:rPr>
        <w:t>8.7</w:t>
      </w:r>
      <w:r w:rsidR="00AD1150">
        <w:rPr>
          <w:rFonts w:ascii="Arial" w:hAnsi="Arial" w:cs="Arial"/>
          <w:sz w:val="22"/>
          <w:szCs w:val="22"/>
          <w:lang w:val="en-US"/>
        </w:rPr>
        <w:t>-</w:t>
      </w:r>
      <w:r w:rsidR="00EB42B2">
        <w:rPr>
          <w:rFonts w:ascii="Arial" w:hAnsi="Arial" w:cs="Arial"/>
          <w:sz w:val="22"/>
          <w:szCs w:val="22"/>
          <w:lang w:val="en-US"/>
        </w:rPr>
        <w:t>2</w:t>
      </w:r>
      <w:r w:rsidR="00861E99">
        <w:rPr>
          <w:rFonts w:ascii="Arial" w:hAnsi="Arial" w:cs="Arial"/>
          <w:sz w:val="22"/>
          <w:szCs w:val="22"/>
          <w:lang w:val="en-US"/>
        </w:rPr>
        <w:t>6.6</w:t>
      </w:r>
      <w:r w:rsidR="00EB42B2">
        <w:rPr>
          <w:rFonts w:ascii="Arial" w:hAnsi="Arial" w:cs="Arial"/>
          <w:sz w:val="22"/>
          <w:szCs w:val="22"/>
          <w:lang w:val="en-US"/>
        </w:rPr>
        <w:t>%</w:t>
      </w:r>
      <w:r w:rsidR="002A08D3">
        <w:rPr>
          <w:rFonts w:ascii="Arial" w:hAnsi="Arial" w:cs="Arial"/>
          <w:sz w:val="22"/>
          <w:szCs w:val="22"/>
          <w:lang w:val="en-US"/>
        </w:rPr>
        <w:t>;12/74 patients).</w:t>
      </w:r>
      <w:r w:rsidR="00361FEC">
        <w:rPr>
          <w:rFonts w:ascii="Arial" w:hAnsi="Arial" w:cs="Arial"/>
          <w:sz w:val="22"/>
          <w:szCs w:val="22"/>
          <w:lang w:val="en-US"/>
        </w:rPr>
        <w:t xml:space="preserve"> </w:t>
      </w:r>
      <w:r w:rsidR="00E273FC" w:rsidRPr="00E273FC">
        <w:rPr>
          <w:rFonts w:ascii="Arial" w:hAnsi="Arial" w:cs="Arial"/>
          <w:sz w:val="22"/>
          <w:szCs w:val="22"/>
          <w:lang w:val="en-US"/>
        </w:rPr>
        <w:t>A total of 69/84 (82.1%) patients have</w:t>
      </w:r>
      <w:r w:rsidR="00D664F6">
        <w:rPr>
          <w:rFonts w:ascii="Arial" w:hAnsi="Arial" w:cs="Arial"/>
          <w:sz w:val="22"/>
          <w:szCs w:val="22"/>
          <w:lang w:val="en-US"/>
        </w:rPr>
        <w:t xml:space="preserve"> had</w:t>
      </w:r>
      <w:r w:rsidR="00E273FC" w:rsidRPr="00E273FC">
        <w:rPr>
          <w:rFonts w:ascii="Arial" w:hAnsi="Arial" w:cs="Arial"/>
          <w:sz w:val="22"/>
          <w:szCs w:val="22"/>
          <w:lang w:val="en-US"/>
        </w:rPr>
        <w:t xml:space="preserve"> a RECIST-confirmed </w:t>
      </w:r>
      <w:r w:rsidR="00E273FC" w:rsidRPr="00921A9E">
        <w:rPr>
          <w:rFonts w:ascii="Arial" w:hAnsi="Arial" w:cs="Arial"/>
          <w:sz w:val="22"/>
          <w:szCs w:val="22"/>
          <w:lang w:val="en-US"/>
        </w:rPr>
        <w:t xml:space="preserve">progression event or death. </w:t>
      </w:r>
      <w:r w:rsidR="00184804" w:rsidRPr="00921A9E">
        <w:rPr>
          <w:rFonts w:ascii="Arial" w:hAnsi="Arial" w:cs="Arial"/>
          <w:sz w:val="22"/>
          <w:szCs w:val="22"/>
          <w:lang w:val="en-US"/>
        </w:rPr>
        <w:t>M</w:t>
      </w:r>
      <w:r w:rsidR="003141D6" w:rsidRPr="00921A9E">
        <w:rPr>
          <w:rFonts w:ascii="Arial" w:hAnsi="Arial" w:cs="Arial"/>
          <w:sz w:val="22"/>
          <w:szCs w:val="22"/>
          <w:lang w:val="en-US"/>
        </w:rPr>
        <w:t xml:space="preserve">edian </w:t>
      </w:r>
      <w:r w:rsidR="00AD2387" w:rsidRPr="00921A9E">
        <w:rPr>
          <w:rFonts w:ascii="Arial" w:hAnsi="Arial" w:cs="Arial"/>
          <w:sz w:val="22"/>
          <w:szCs w:val="22"/>
          <w:lang w:val="en-US"/>
        </w:rPr>
        <w:t>PFS in all 84 patients</w:t>
      </w:r>
      <w:r w:rsidR="003141D6" w:rsidRPr="00921A9E">
        <w:rPr>
          <w:rFonts w:ascii="Arial" w:hAnsi="Arial" w:cs="Arial"/>
          <w:sz w:val="22"/>
          <w:szCs w:val="22"/>
          <w:lang w:val="en-US"/>
        </w:rPr>
        <w:t xml:space="preserve"> was </w:t>
      </w:r>
      <w:r w:rsidR="00BD4BE1" w:rsidRPr="00921A9E">
        <w:rPr>
          <w:rFonts w:ascii="Arial" w:hAnsi="Arial" w:cs="Arial"/>
          <w:sz w:val="22"/>
          <w:szCs w:val="22"/>
        </w:rPr>
        <w:t>2.2 months (</w:t>
      </w:r>
      <w:r w:rsidR="00CE7C80" w:rsidRPr="00921A9E">
        <w:rPr>
          <w:rFonts w:ascii="Arial" w:hAnsi="Arial" w:cs="Arial"/>
          <w:sz w:val="22"/>
          <w:szCs w:val="22"/>
        </w:rPr>
        <w:t>IQR:</w:t>
      </w:r>
      <w:r w:rsidR="003D5ABC" w:rsidRPr="00921A9E">
        <w:rPr>
          <w:rFonts w:ascii="Arial" w:hAnsi="Arial" w:cs="Arial"/>
          <w:sz w:val="22"/>
          <w:szCs w:val="22"/>
        </w:rPr>
        <w:t xml:space="preserve"> </w:t>
      </w:r>
      <w:r w:rsidR="00BD4BE1" w:rsidRPr="00921A9E">
        <w:rPr>
          <w:rFonts w:ascii="Arial" w:hAnsi="Arial" w:cs="Arial"/>
          <w:sz w:val="22"/>
          <w:szCs w:val="22"/>
        </w:rPr>
        <w:t>1.7</w:t>
      </w:r>
      <w:r w:rsidR="00863965" w:rsidRPr="00921A9E">
        <w:rPr>
          <w:rFonts w:ascii="Arial" w:hAnsi="Arial" w:cs="Arial"/>
          <w:sz w:val="22"/>
          <w:szCs w:val="22"/>
        </w:rPr>
        <w:t>-</w:t>
      </w:r>
      <w:r w:rsidR="00BD4BE1" w:rsidRPr="00921A9E">
        <w:rPr>
          <w:rFonts w:ascii="Arial" w:hAnsi="Arial" w:cs="Arial"/>
          <w:sz w:val="22"/>
          <w:szCs w:val="22"/>
        </w:rPr>
        <w:t xml:space="preserve">5.3, </w:t>
      </w:r>
      <w:r w:rsidR="00623689" w:rsidRPr="00921A9E">
        <w:rPr>
          <w:rFonts w:ascii="Arial" w:hAnsi="Arial" w:cs="Arial"/>
          <w:sz w:val="22"/>
          <w:szCs w:val="22"/>
          <w:lang w:val="en-US"/>
        </w:rPr>
        <w:t>appendix p</w:t>
      </w:r>
      <w:r w:rsidR="0005617B" w:rsidRPr="00921A9E">
        <w:rPr>
          <w:rFonts w:ascii="Arial" w:hAnsi="Arial" w:cs="Arial"/>
          <w:sz w:val="22"/>
          <w:szCs w:val="22"/>
          <w:lang w:val="en-US"/>
        </w:rPr>
        <w:t>22</w:t>
      </w:r>
      <w:r w:rsidR="003141D6" w:rsidRPr="00921A9E">
        <w:rPr>
          <w:rFonts w:ascii="Arial" w:hAnsi="Arial" w:cs="Arial"/>
          <w:sz w:val="22"/>
          <w:szCs w:val="22"/>
          <w:lang w:val="en-US"/>
        </w:rPr>
        <w:t>)</w:t>
      </w:r>
      <w:r w:rsidR="00833BEB" w:rsidRPr="00921A9E">
        <w:rPr>
          <w:rFonts w:ascii="Arial" w:hAnsi="Arial" w:cs="Arial"/>
          <w:sz w:val="22"/>
          <w:szCs w:val="22"/>
          <w:lang w:val="en-US"/>
        </w:rPr>
        <w:t xml:space="preserve">. </w:t>
      </w:r>
      <w:r w:rsidR="003141D6" w:rsidRPr="00921A9E">
        <w:rPr>
          <w:rFonts w:ascii="Arial" w:hAnsi="Arial" w:cs="Arial"/>
          <w:sz w:val="22"/>
          <w:szCs w:val="22"/>
          <w:lang w:val="en-US"/>
        </w:rPr>
        <w:t>In</w:t>
      </w:r>
      <w:r w:rsidR="0031076F" w:rsidRPr="00921A9E">
        <w:rPr>
          <w:rFonts w:ascii="Arial" w:hAnsi="Arial" w:cs="Arial"/>
          <w:sz w:val="22"/>
          <w:szCs w:val="22"/>
          <w:lang w:val="en-US"/>
        </w:rPr>
        <w:t xml:space="preserve"> a</w:t>
      </w:r>
      <w:r w:rsidR="003141D6" w:rsidRPr="00921A9E">
        <w:rPr>
          <w:rFonts w:ascii="Arial" w:hAnsi="Arial" w:cs="Arial"/>
          <w:sz w:val="22"/>
          <w:szCs w:val="22"/>
          <w:lang w:val="en-US"/>
        </w:rPr>
        <w:t xml:space="preserve"> </w:t>
      </w:r>
      <w:r w:rsidR="00205043" w:rsidRPr="00921A9E">
        <w:rPr>
          <w:rFonts w:ascii="Arial" w:hAnsi="Arial" w:cs="Arial"/>
          <w:sz w:val="22"/>
          <w:szCs w:val="22"/>
          <w:lang w:val="en-US"/>
        </w:rPr>
        <w:t xml:space="preserve">pre-planned </w:t>
      </w:r>
      <w:r w:rsidR="003141D6" w:rsidRPr="00921A9E">
        <w:rPr>
          <w:rFonts w:ascii="Arial" w:hAnsi="Arial" w:cs="Arial"/>
          <w:sz w:val="22"/>
          <w:szCs w:val="22"/>
          <w:lang w:val="en-US"/>
        </w:rPr>
        <w:t>exploratory analysis</w:t>
      </w:r>
      <w:r w:rsidR="002C2361" w:rsidRPr="00921A9E">
        <w:rPr>
          <w:rFonts w:ascii="Arial" w:hAnsi="Arial" w:cs="Arial"/>
          <w:sz w:val="22"/>
          <w:szCs w:val="22"/>
          <w:lang w:val="en-US"/>
        </w:rPr>
        <w:t xml:space="preserve"> </w:t>
      </w:r>
      <w:r w:rsidR="003141D6" w:rsidRPr="00921A9E">
        <w:rPr>
          <w:rFonts w:ascii="Arial" w:hAnsi="Arial" w:cs="Arial"/>
          <w:sz w:val="22"/>
          <w:szCs w:val="22"/>
          <w:lang w:val="en-US"/>
        </w:rPr>
        <w:t xml:space="preserve">response rate in those with clonally dominant </w:t>
      </w:r>
      <w:r w:rsidR="003141D6" w:rsidRPr="00921A9E">
        <w:rPr>
          <w:rFonts w:ascii="Arial" w:hAnsi="Arial" w:cs="Arial"/>
          <w:i/>
          <w:sz w:val="22"/>
          <w:szCs w:val="22"/>
          <w:lang w:val="en-US"/>
        </w:rPr>
        <w:t xml:space="preserve">ESR1 </w:t>
      </w:r>
      <w:r w:rsidR="003141D6" w:rsidRPr="00921A9E">
        <w:rPr>
          <w:rFonts w:ascii="Arial" w:hAnsi="Arial" w:cs="Arial"/>
          <w:sz w:val="22"/>
          <w:szCs w:val="22"/>
          <w:lang w:val="en-US"/>
        </w:rPr>
        <w:t>mutations was 1</w:t>
      </w:r>
      <w:r w:rsidR="00E3410E" w:rsidRPr="00921A9E">
        <w:rPr>
          <w:rFonts w:ascii="Arial" w:hAnsi="Arial" w:cs="Arial"/>
          <w:sz w:val="22"/>
          <w:szCs w:val="22"/>
          <w:lang w:val="en-US"/>
        </w:rPr>
        <w:t>2</w:t>
      </w:r>
      <w:r w:rsidR="00861E99" w:rsidRPr="00921A9E">
        <w:rPr>
          <w:rFonts w:ascii="Arial" w:hAnsi="Arial" w:cs="Arial"/>
          <w:sz w:val="22"/>
          <w:szCs w:val="22"/>
          <w:lang w:val="en-US"/>
        </w:rPr>
        <w:t>.2</w:t>
      </w:r>
      <w:r w:rsidR="003141D6" w:rsidRPr="00921A9E">
        <w:rPr>
          <w:rFonts w:ascii="Arial" w:hAnsi="Arial" w:cs="Arial"/>
          <w:sz w:val="22"/>
          <w:szCs w:val="22"/>
          <w:lang w:val="en-US"/>
        </w:rPr>
        <w:t>% (</w:t>
      </w:r>
      <w:r w:rsidR="00E3410E" w:rsidRPr="00921A9E">
        <w:rPr>
          <w:rFonts w:ascii="Arial" w:hAnsi="Arial" w:cs="Arial"/>
          <w:sz w:val="22"/>
          <w:szCs w:val="22"/>
          <w:lang w:val="en-US"/>
        </w:rPr>
        <w:t>5</w:t>
      </w:r>
      <w:r w:rsidR="003141D6" w:rsidRPr="00921A9E">
        <w:rPr>
          <w:rFonts w:ascii="Arial" w:hAnsi="Arial" w:cs="Arial"/>
          <w:sz w:val="22"/>
          <w:szCs w:val="22"/>
          <w:lang w:val="en-US"/>
        </w:rPr>
        <w:t>/4</w:t>
      </w:r>
      <w:r w:rsidR="00E3410E" w:rsidRPr="00921A9E">
        <w:rPr>
          <w:rFonts w:ascii="Arial" w:hAnsi="Arial" w:cs="Arial"/>
          <w:sz w:val="22"/>
          <w:szCs w:val="22"/>
          <w:lang w:val="en-US"/>
        </w:rPr>
        <w:t>1,</w:t>
      </w:r>
      <w:r w:rsidR="00FA2520" w:rsidRPr="00921A9E">
        <w:rPr>
          <w:rFonts w:ascii="Arial" w:hAnsi="Arial" w:cs="Arial"/>
          <w:sz w:val="22"/>
          <w:szCs w:val="22"/>
          <w:lang w:val="en-US"/>
        </w:rPr>
        <w:t xml:space="preserve"> </w:t>
      </w:r>
      <w:r w:rsidR="00E3410E" w:rsidRPr="00921A9E">
        <w:rPr>
          <w:rFonts w:ascii="Arial" w:hAnsi="Arial" w:cs="Arial"/>
          <w:sz w:val="22"/>
          <w:szCs w:val="22"/>
          <w:lang w:val="en-US"/>
        </w:rPr>
        <w:t>95%CI</w:t>
      </w:r>
      <w:r w:rsidR="000A4DE2" w:rsidRPr="00921A9E">
        <w:rPr>
          <w:rFonts w:ascii="Arial" w:hAnsi="Arial" w:cs="Arial"/>
          <w:sz w:val="22"/>
          <w:szCs w:val="22"/>
          <w:lang w:val="en-US"/>
        </w:rPr>
        <w:t>,</w:t>
      </w:r>
      <w:r w:rsidR="00E3410E" w:rsidRPr="00921A9E">
        <w:rPr>
          <w:rFonts w:ascii="Arial" w:hAnsi="Arial" w:cs="Arial"/>
          <w:sz w:val="22"/>
          <w:szCs w:val="22"/>
          <w:lang w:val="en-US"/>
        </w:rPr>
        <w:t>4.1</w:t>
      </w:r>
      <w:r w:rsidR="00AD1150" w:rsidRPr="00921A9E">
        <w:rPr>
          <w:rFonts w:ascii="Arial" w:hAnsi="Arial" w:cs="Arial"/>
          <w:sz w:val="22"/>
          <w:szCs w:val="22"/>
          <w:lang w:val="en-US"/>
        </w:rPr>
        <w:t>-</w:t>
      </w:r>
      <w:r w:rsidR="00E3410E" w:rsidRPr="00921A9E">
        <w:rPr>
          <w:rFonts w:ascii="Arial" w:hAnsi="Arial" w:cs="Arial"/>
          <w:sz w:val="22"/>
          <w:szCs w:val="22"/>
          <w:lang w:val="en-US"/>
        </w:rPr>
        <w:t>26</w:t>
      </w:r>
      <w:r w:rsidR="00861E99" w:rsidRPr="00921A9E">
        <w:rPr>
          <w:rFonts w:ascii="Arial" w:hAnsi="Arial" w:cs="Arial"/>
          <w:sz w:val="22"/>
          <w:szCs w:val="22"/>
          <w:lang w:val="en-US"/>
        </w:rPr>
        <w:t>.2</w:t>
      </w:r>
      <w:r w:rsidR="00EB42B2" w:rsidRPr="00921A9E">
        <w:rPr>
          <w:rFonts w:ascii="Arial" w:hAnsi="Arial" w:cs="Arial"/>
          <w:sz w:val="22"/>
          <w:szCs w:val="22"/>
          <w:lang w:val="en-US"/>
        </w:rPr>
        <w:t>%</w:t>
      </w:r>
      <w:r w:rsidR="003141D6" w:rsidRPr="00921A9E">
        <w:rPr>
          <w:rFonts w:ascii="Arial" w:hAnsi="Arial" w:cs="Arial"/>
          <w:sz w:val="22"/>
          <w:szCs w:val="22"/>
          <w:lang w:val="en-US"/>
        </w:rPr>
        <w:t xml:space="preserve">) with no responses </w:t>
      </w:r>
      <w:r w:rsidR="00F03955" w:rsidRPr="00921A9E">
        <w:rPr>
          <w:rFonts w:ascii="Arial" w:hAnsi="Arial" w:cs="Arial"/>
          <w:sz w:val="22"/>
          <w:szCs w:val="22"/>
          <w:lang w:val="en-US"/>
        </w:rPr>
        <w:t>(0/2</w:t>
      </w:r>
      <w:r w:rsidR="004106F5" w:rsidRPr="00921A9E">
        <w:rPr>
          <w:rFonts w:ascii="Arial" w:hAnsi="Arial" w:cs="Arial"/>
          <w:sz w:val="22"/>
          <w:szCs w:val="22"/>
          <w:lang w:val="en-US"/>
        </w:rPr>
        <w:t>7</w:t>
      </w:r>
      <w:r w:rsidR="00E3410E" w:rsidRPr="00921A9E">
        <w:rPr>
          <w:rFonts w:ascii="Arial" w:hAnsi="Arial" w:cs="Arial"/>
          <w:sz w:val="22"/>
          <w:szCs w:val="22"/>
          <w:lang w:val="en-US"/>
        </w:rPr>
        <w:t>,</w:t>
      </w:r>
      <w:r w:rsidR="001857C4" w:rsidRPr="00921A9E">
        <w:rPr>
          <w:rFonts w:ascii="Arial" w:hAnsi="Arial" w:cs="Arial"/>
          <w:sz w:val="22"/>
          <w:szCs w:val="22"/>
          <w:lang w:val="en-US"/>
        </w:rPr>
        <w:t xml:space="preserve"> </w:t>
      </w:r>
      <w:r w:rsidR="00E3410E" w:rsidRPr="00921A9E">
        <w:rPr>
          <w:rFonts w:ascii="Arial" w:hAnsi="Arial" w:cs="Arial"/>
          <w:sz w:val="22"/>
          <w:szCs w:val="22"/>
          <w:lang w:val="en-US"/>
        </w:rPr>
        <w:t>95%CI</w:t>
      </w:r>
      <w:r w:rsidR="000A4DE2" w:rsidRPr="00921A9E">
        <w:rPr>
          <w:rFonts w:ascii="Arial" w:hAnsi="Arial" w:cs="Arial"/>
          <w:sz w:val="22"/>
          <w:szCs w:val="22"/>
          <w:lang w:val="en-US"/>
        </w:rPr>
        <w:t>,</w:t>
      </w:r>
      <w:r w:rsidR="00E3410E" w:rsidRPr="00921A9E">
        <w:rPr>
          <w:rFonts w:ascii="Arial" w:hAnsi="Arial" w:cs="Arial"/>
          <w:sz w:val="22"/>
          <w:szCs w:val="22"/>
          <w:lang w:val="en-US"/>
        </w:rPr>
        <w:t>0</w:t>
      </w:r>
      <w:r w:rsidR="00AD1150" w:rsidRPr="00921A9E">
        <w:rPr>
          <w:rFonts w:ascii="Arial" w:hAnsi="Arial" w:cs="Arial"/>
          <w:sz w:val="22"/>
          <w:szCs w:val="22"/>
          <w:lang w:val="en-US"/>
        </w:rPr>
        <w:t>-</w:t>
      </w:r>
      <w:r w:rsidR="00EB42B2" w:rsidRPr="00921A9E">
        <w:rPr>
          <w:rFonts w:ascii="Arial" w:hAnsi="Arial" w:cs="Arial"/>
          <w:sz w:val="22"/>
          <w:szCs w:val="22"/>
          <w:lang w:val="en-US"/>
        </w:rPr>
        <w:t>1</w:t>
      </w:r>
      <w:r w:rsidR="00861E99" w:rsidRPr="00921A9E">
        <w:rPr>
          <w:rFonts w:ascii="Arial" w:hAnsi="Arial" w:cs="Arial"/>
          <w:sz w:val="22"/>
          <w:szCs w:val="22"/>
          <w:lang w:val="en-US"/>
        </w:rPr>
        <w:t>2.8</w:t>
      </w:r>
      <w:r w:rsidR="00EB42B2" w:rsidRPr="00921A9E">
        <w:rPr>
          <w:rFonts w:ascii="Arial" w:hAnsi="Arial" w:cs="Arial"/>
          <w:sz w:val="22"/>
          <w:szCs w:val="22"/>
          <w:lang w:val="en-US"/>
        </w:rPr>
        <w:t>%</w:t>
      </w:r>
      <w:r w:rsidR="00F03955" w:rsidRPr="00921A9E">
        <w:rPr>
          <w:rFonts w:ascii="Arial" w:hAnsi="Arial" w:cs="Arial"/>
          <w:sz w:val="22"/>
          <w:szCs w:val="22"/>
          <w:lang w:val="en-US"/>
        </w:rPr>
        <w:t xml:space="preserve">) </w:t>
      </w:r>
      <w:r w:rsidR="003141D6" w:rsidRPr="00921A9E">
        <w:rPr>
          <w:rFonts w:ascii="Arial" w:hAnsi="Arial" w:cs="Arial"/>
          <w:sz w:val="22"/>
          <w:szCs w:val="22"/>
          <w:lang w:val="en-US"/>
        </w:rPr>
        <w:t>in those with sub</w:t>
      </w:r>
      <w:r w:rsidR="00C1089E" w:rsidRPr="00921A9E">
        <w:rPr>
          <w:rFonts w:ascii="Arial" w:hAnsi="Arial" w:cs="Arial"/>
          <w:sz w:val="22"/>
          <w:szCs w:val="22"/>
          <w:lang w:val="en-US"/>
        </w:rPr>
        <w:t>-</w:t>
      </w:r>
      <w:r w:rsidR="003141D6" w:rsidRPr="00921A9E">
        <w:rPr>
          <w:rFonts w:ascii="Arial" w:hAnsi="Arial" w:cs="Arial"/>
          <w:sz w:val="22"/>
          <w:szCs w:val="22"/>
          <w:lang w:val="en-US"/>
        </w:rPr>
        <w:t>clonal mutations</w:t>
      </w:r>
      <w:r w:rsidR="00205043" w:rsidRPr="00921A9E">
        <w:rPr>
          <w:rFonts w:ascii="Arial" w:hAnsi="Arial" w:cs="Arial"/>
          <w:sz w:val="22"/>
          <w:szCs w:val="22"/>
          <w:lang w:val="en-US"/>
        </w:rPr>
        <w:t xml:space="preserve"> (</w:t>
      </w:r>
      <w:r w:rsidR="00346264" w:rsidRPr="00921A9E">
        <w:rPr>
          <w:rFonts w:ascii="Arial" w:hAnsi="Arial" w:cs="Arial"/>
          <w:sz w:val="22"/>
          <w:szCs w:val="22"/>
          <w:lang w:val="en-US"/>
        </w:rPr>
        <w:t>p</w:t>
      </w:r>
      <w:r w:rsidR="00205043" w:rsidRPr="00921A9E">
        <w:rPr>
          <w:rFonts w:ascii="Arial" w:hAnsi="Arial" w:cs="Arial"/>
          <w:sz w:val="22"/>
          <w:szCs w:val="22"/>
          <w:lang w:val="en-US"/>
        </w:rPr>
        <w:t>=</w:t>
      </w:r>
      <w:r w:rsidR="00346264" w:rsidRPr="00921A9E">
        <w:rPr>
          <w:rFonts w:ascii="Arial" w:hAnsi="Arial" w:cs="Arial"/>
          <w:sz w:val="22"/>
          <w:szCs w:val="22"/>
          <w:lang w:val="en-US"/>
        </w:rPr>
        <w:t>0.15</w:t>
      </w:r>
      <w:r w:rsidR="00CC45F0" w:rsidRPr="00921A9E">
        <w:rPr>
          <w:rFonts w:ascii="Arial" w:hAnsi="Arial" w:cs="Arial"/>
          <w:sz w:val="22"/>
          <w:szCs w:val="22"/>
          <w:lang w:val="en-US"/>
        </w:rPr>
        <w:t xml:space="preserve">, </w:t>
      </w:r>
      <w:r w:rsidR="00213966" w:rsidRPr="00921A9E">
        <w:rPr>
          <w:rFonts w:ascii="Arial" w:hAnsi="Arial" w:cs="Arial"/>
          <w:sz w:val="22"/>
          <w:szCs w:val="22"/>
          <w:lang w:val="en-US"/>
        </w:rPr>
        <w:t>40</w:t>
      </w:r>
      <w:r w:rsidR="00CC45F0" w:rsidRPr="00921A9E">
        <w:rPr>
          <w:rFonts w:ascii="Arial" w:hAnsi="Arial" w:cs="Arial"/>
          <w:sz w:val="22"/>
          <w:szCs w:val="22"/>
          <w:lang w:val="en-US"/>
        </w:rPr>
        <w:t>% subclonal</w:t>
      </w:r>
      <w:r w:rsidR="00205043" w:rsidRPr="00921A9E">
        <w:rPr>
          <w:rFonts w:ascii="Arial" w:hAnsi="Arial" w:cs="Arial"/>
          <w:sz w:val="22"/>
          <w:szCs w:val="22"/>
          <w:lang w:val="en-US"/>
        </w:rPr>
        <w:t>)</w:t>
      </w:r>
      <w:r w:rsidR="00F37537" w:rsidRPr="00921A9E">
        <w:rPr>
          <w:rFonts w:ascii="Arial" w:hAnsi="Arial" w:cs="Arial"/>
          <w:sz w:val="22"/>
          <w:szCs w:val="22"/>
          <w:lang w:val="en-US"/>
        </w:rPr>
        <w:t>;</w:t>
      </w:r>
      <w:r w:rsidR="004106F5" w:rsidRPr="00921A9E">
        <w:rPr>
          <w:rFonts w:ascii="Arial" w:hAnsi="Arial" w:cs="Arial"/>
          <w:sz w:val="22"/>
          <w:szCs w:val="22"/>
          <w:lang w:val="en-US"/>
        </w:rPr>
        <w:t xml:space="preserve"> </w:t>
      </w:r>
      <w:r w:rsidR="002A08D3" w:rsidRPr="00921A9E">
        <w:rPr>
          <w:rFonts w:ascii="Arial" w:hAnsi="Arial" w:cs="Arial"/>
          <w:sz w:val="22"/>
          <w:szCs w:val="22"/>
          <w:lang w:val="en-US"/>
        </w:rPr>
        <w:t>six</w:t>
      </w:r>
      <w:r w:rsidR="004106F5" w:rsidRPr="00921A9E">
        <w:rPr>
          <w:rFonts w:ascii="Arial" w:hAnsi="Arial" w:cs="Arial"/>
          <w:sz w:val="22"/>
          <w:szCs w:val="22"/>
          <w:lang w:val="en-US"/>
        </w:rPr>
        <w:t xml:space="preserve"> </w:t>
      </w:r>
      <w:r w:rsidR="00D83819" w:rsidRPr="00921A9E">
        <w:rPr>
          <w:rFonts w:ascii="Arial" w:hAnsi="Arial" w:cs="Arial"/>
          <w:sz w:val="22"/>
          <w:szCs w:val="22"/>
          <w:lang w:val="en-US"/>
        </w:rPr>
        <w:t xml:space="preserve">patients had </w:t>
      </w:r>
      <w:r w:rsidR="004106F5" w:rsidRPr="00921A9E">
        <w:rPr>
          <w:rFonts w:ascii="Arial" w:hAnsi="Arial" w:cs="Arial"/>
          <w:sz w:val="22"/>
          <w:szCs w:val="22"/>
          <w:lang w:val="en-US"/>
        </w:rPr>
        <w:t xml:space="preserve">unknown clonality. </w:t>
      </w:r>
      <w:r w:rsidR="003141D6" w:rsidRPr="00921A9E">
        <w:rPr>
          <w:rFonts w:ascii="Arial" w:hAnsi="Arial" w:cs="Arial"/>
          <w:sz w:val="22"/>
          <w:szCs w:val="22"/>
          <w:lang w:val="en-US"/>
        </w:rPr>
        <w:t>The most common grade 3</w:t>
      </w:r>
      <w:r w:rsidR="00843426" w:rsidRPr="00921A9E">
        <w:rPr>
          <w:rFonts w:ascii="Arial" w:hAnsi="Arial" w:cs="Arial"/>
          <w:sz w:val="22"/>
          <w:szCs w:val="22"/>
          <w:lang w:val="en-US"/>
        </w:rPr>
        <w:t>/</w:t>
      </w:r>
      <w:r w:rsidR="003141D6" w:rsidRPr="00921A9E">
        <w:rPr>
          <w:rFonts w:ascii="Arial" w:hAnsi="Arial" w:cs="Arial"/>
          <w:sz w:val="22"/>
          <w:szCs w:val="22"/>
          <w:lang w:val="en-US"/>
        </w:rPr>
        <w:t>4 adverse event was hypertension</w:t>
      </w:r>
      <w:r w:rsidR="008A5623" w:rsidRPr="00921A9E">
        <w:rPr>
          <w:rFonts w:ascii="Arial" w:hAnsi="Arial" w:cs="Arial"/>
          <w:sz w:val="22"/>
          <w:szCs w:val="22"/>
          <w:lang w:val="en-US"/>
        </w:rPr>
        <w:t xml:space="preserve"> (</w:t>
      </w:r>
      <w:r w:rsidR="00E42DE3" w:rsidRPr="00921A9E">
        <w:rPr>
          <w:rFonts w:ascii="Arial" w:hAnsi="Arial" w:cs="Arial"/>
          <w:sz w:val="22"/>
          <w:szCs w:val="22"/>
          <w:lang w:val="en-US"/>
        </w:rPr>
        <w:t xml:space="preserve">10/80, </w:t>
      </w:r>
      <w:r w:rsidR="008A5623" w:rsidRPr="00921A9E">
        <w:rPr>
          <w:rFonts w:ascii="Arial" w:hAnsi="Arial" w:cs="Arial"/>
          <w:sz w:val="22"/>
          <w:szCs w:val="22"/>
          <w:lang w:val="en-US"/>
        </w:rPr>
        <w:t>12.5%)</w:t>
      </w:r>
      <w:r w:rsidR="00F03955" w:rsidRPr="00921A9E">
        <w:rPr>
          <w:rFonts w:ascii="Arial" w:hAnsi="Arial" w:cs="Arial"/>
          <w:sz w:val="22"/>
          <w:szCs w:val="22"/>
          <w:lang w:val="en-US"/>
        </w:rPr>
        <w:t xml:space="preserve"> (</w:t>
      </w:r>
      <w:r w:rsidR="00623689" w:rsidRPr="00921A9E">
        <w:rPr>
          <w:rFonts w:ascii="Arial" w:hAnsi="Arial" w:cs="Arial"/>
          <w:sz w:val="22"/>
          <w:szCs w:val="22"/>
          <w:lang w:val="en-US"/>
        </w:rPr>
        <w:t>appendix p</w:t>
      </w:r>
      <w:r w:rsidR="0005617B" w:rsidRPr="00921A9E">
        <w:rPr>
          <w:rFonts w:ascii="Arial" w:hAnsi="Arial" w:cs="Arial"/>
          <w:sz w:val="22"/>
          <w:szCs w:val="22"/>
          <w:lang w:val="en-US"/>
        </w:rPr>
        <w:t>9</w:t>
      </w:r>
      <w:r w:rsidR="00F03955" w:rsidRPr="00921A9E">
        <w:rPr>
          <w:rFonts w:ascii="Arial" w:hAnsi="Arial" w:cs="Arial"/>
          <w:sz w:val="22"/>
          <w:szCs w:val="22"/>
          <w:lang w:val="en-US"/>
        </w:rPr>
        <w:t>)</w:t>
      </w:r>
      <w:r w:rsidR="003141D6" w:rsidRPr="00921A9E">
        <w:rPr>
          <w:rFonts w:ascii="Arial" w:hAnsi="Arial" w:cs="Arial"/>
          <w:sz w:val="22"/>
          <w:szCs w:val="22"/>
          <w:lang w:val="en-US"/>
        </w:rPr>
        <w:t xml:space="preserve">. </w:t>
      </w:r>
      <w:r w:rsidR="00E42DE3" w:rsidRPr="00921A9E">
        <w:rPr>
          <w:rFonts w:ascii="Arial" w:hAnsi="Arial" w:cs="Arial"/>
          <w:sz w:val="22"/>
          <w:szCs w:val="22"/>
          <w:lang w:val="en-US"/>
        </w:rPr>
        <w:t>One patient had a serious adverse reaction due to grade 3 superior sagital sinus thrombosis.  There were no treatment-related deaths</w:t>
      </w:r>
      <w:r w:rsidR="009E4345" w:rsidRPr="00921A9E">
        <w:rPr>
          <w:rFonts w:ascii="Arial" w:hAnsi="Arial" w:cs="Arial"/>
          <w:sz w:val="22"/>
          <w:szCs w:val="22"/>
          <w:lang w:val="en-US"/>
        </w:rPr>
        <w:t xml:space="preserve"> and 41/84 (48.8%) deaths reported (38 breast cancer and 3 unknown cause)</w:t>
      </w:r>
      <w:r w:rsidR="00E42DE3" w:rsidRPr="00921A9E">
        <w:rPr>
          <w:rFonts w:ascii="Arial" w:hAnsi="Arial" w:cs="Arial"/>
          <w:sz w:val="22"/>
          <w:szCs w:val="22"/>
          <w:lang w:val="en-US"/>
        </w:rPr>
        <w:t xml:space="preserve">. </w:t>
      </w:r>
      <w:r w:rsidR="00344C4D" w:rsidRPr="00921A9E">
        <w:rPr>
          <w:rFonts w:ascii="Arial" w:hAnsi="Arial" w:cs="Arial"/>
          <w:sz w:val="22"/>
          <w:szCs w:val="22"/>
          <w:lang w:val="en-US"/>
        </w:rPr>
        <w:t>The main reason for treatment discontinuation was disease progression (</w:t>
      </w:r>
      <w:r w:rsidR="00FA65B0" w:rsidRPr="00921A9E">
        <w:rPr>
          <w:rFonts w:ascii="Arial" w:hAnsi="Arial" w:cs="Arial"/>
          <w:sz w:val="22"/>
          <w:szCs w:val="22"/>
          <w:lang w:val="en-US"/>
        </w:rPr>
        <w:t>72/76 (</w:t>
      </w:r>
      <w:r w:rsidR="00D67852" w:rsidRPr="00921A9E">
        <w:rPr>
          <w:rFonts w:ascii="Arial" w:hAnsi="Arial" w:cs="Arial"/>
          <w:sz w:val="22"/>
          <w:szCs w:val="22"/>
          <w:lang w:val="en-US"/>
        </w:rPr>
        <w:t>94.7%)</w:t>
      </w:r>
      <w:r w:rsidR="00B803E9" w:rsidRPr="00921A9E">
        <w:rPr>
          <w:rFonts w:ascii="Arial" w:hAnsi="Arial" w:cs="Arial"/>
          <w:sz w:val="22"/>
          <w:szCs w:val="22"/>
          <w:lang w:val="en-US"/>
        </w:rPr>
        <w:t xml:space="preserve">, </w:t>
      </w:r>
      <w:r w:rsidR="0005617B" w:rsidRPr="00921A9E">
        <w:rPr>
          <w:rFonts w:ascii="Arial" w:hAnsi="Arial" w:cs="Arial"/>
          <w:sz w:val="22"/>
          <w:szCs w:val="22"/>
          <w:lang w:val="en-US"/>
        </w:rPr>
        <w:t>(</w:t>
      </w:r>
      <w:r w:rsidR="00B803E9" w:rsidRPr="00921A9E">
        <w:rPr>
          <w:rFonts w:ascii="Arial" w:hAnsi="Arial" w:cs="Arial"/>
          <w:sz w:val="22"/>
          <w:szCs w:val="22"/>
          <w:lang w:val="en-US"/>
        </w:rPr>
        <w:t>appendix p</w:t>
      </w:r>
      <w:r w:rsidR="0005617B" w:rsidRPr="00921A9E">
        <w:rPr>
          <w:rFonts w:ascii="Arial" w:hAnsi="Arial" w:cs="Arial"/>
          <w:sz w:val="22"/>
          <w:szCs w:val="22"/>
          <w:lang w:val="en-US"/>
        </w:rPr>
        <w:t>8</w:t>
      </w:r>
      <w:r w:rsidR="00DC270C" w:rsidRPr="00921A9E">
        <w:rPr>
          <w:rFonts w:ascii="Arial" w:hAnsi="Arial" w:cs="Arial"/>
          <w:sz w:val="22"/>
          <w:szCs w:val="22"/>
          <w:lang w:val="en-US"/>
        </w:rPr>
        <w:t>). Two patients had frequency reductions</w:t>
      </w:r>
      <w:r w:rsidR="00AE4F41" w:rsidRPr="00921A9E">
        <w:rPr>
          <w:rFonts w:ascii="Arial" w:hAnsi="Arial" w:cs="Arial"/>
          <w:sz w:val="22"/>
          <w:szCs w:val="22"/>
          <w:lang w:val="en-US"/>
        </w:rPr>
        <w:t xml:space="preserve"> of fulvestrant</w:t>
      </w:r>
      <w:r w:rsidR="00B803E9" w:rsidRPr="00921A9E">
        <w:rPr>
          <w:rFonts w:ascii="Arial" w:hAnsi="Arial" w:cs="Arial"/>
          <w:sz w:val="22"/>
          <w:szCs w:val="22"/>
          <w:lang w:val="en-US"/>
        </w:rPr>
        <w:t xml:space="preserve">, one due to bone pain and increased fatigue, the other due to low BMI and pain due to injections. </w:t>
      </w:r>
      <w:r w:rsidR="00DC270C" w:rsidRPr="00921A9E">
        <w:rPr>
          <w:rFonts w:ascii="Arial" w:hAnsi="Arial" w:cs="Arial"/>
          <w:sz w:val="22"/>
          <w:szCs w:val="22"/>
          <w:lang w:val="en-US"/>
        </w:rPr>
        <w:t xml:space="preserve"> 29 patients did not have a day 15 injection given on at least 1 occasion</w:t>
      </w:r>
      <w:r w:rsidR="002C3238" w:rsidRPr="00921A9E">
        <w:rPr>
          <w:rFonts w:ascii="Arial" w:hAnsi="Arial" w:cs="Arial"/>
          <w:sz w:val="22"/>
          <w:szCs w:val="22"/>
          <w:lang w:val="en-US"/>
        </w:rPr>
        <w:t>, with</w:t>
      </w:r>
      <w:r w:rsidR="00B803E9" w:rsidRPr="00921A9E">
        <w:rPr>
          <w:rFonts w:ascii="Arial" w:hAnsi="Arial" w:cs="Arial"/>
          <w:sz w:val="22"/>
          <w:szCs w:val="22"/>
          <w:lang w:val="en-US"/>
        </w:rPr>
        <w:t xml:space="preserve">  </w:t>
      </w:r>
      <w:r w:rsidR="002C3238" w:rsidRPr="00921A9E">
        <w:rPr>
          <w:rFonts w:ascii="Arial" w:hAnsi="Arial" w:cs="Arial"/>
          <w:sz w:val="22"/>
          <w:szCs w:val="22"/>
          <w:lang w:val="en-US"/>
        </w:rPr>
        <w:t>t</w:t>
      </w:r>
      <w:r w:rsidR="00B803E9" w:rsidRPr="00921A9E">
        <w:rPr>
          <w:rFonts w:ascii="Arial" w:hAnsi="Arial" w:cs="Arial"/>
          <w:sz w:val="22"/>
          <w:szCs w:val="22"/>
          <w:lang w:val="en-US"/>
        </w:rPr>
        <w:t>he main reason w</w:t>
      </w:r>
      <w:r w:rsidR="00A0181B" w:rsidRPr="00921A9E">
        <w:rPr>
          <w:rFonts w:ascii="Arial" w:hAnsi="Arial" w:cs="Arial"/>
          <w:sz w:val="22"/>
          <w:szCs w:val="22"/>
          <w:lang w:val="en-US"/>
        </w:rPr>
        <w:t>as</w:t>
      </w:r>
      <w:r w:rsidR="00B803E9" w:rsidRPr="00921A9E">
        <w:rPr>
          <w:rFonts w:ascii="Arial" w:hAnsi="Arial" w:cs="Arial"/>
          <w:sz w:val="22"/>
          <w:szCs w:val="22"/>
          <w:lang w:val="en-US"/>
        </w:rPr>
        <w:t xml:space="preserve"> disease progression</w:t>
      </w:r>
      <w:r w:rsidR="00A0181B" w:rsidRPr="00921A9E">
        <w:rPr>
          <w:rFonts w:ascii="Arial" w:hAnsi="Arial" w:cs="Arial"/>
          <w:sz w:val="22"/>
          <w:szCs w:val="22"/>
          <w:lang w:val="en-US"/>
        </w:rPr>
        <w:t>.</w:t>
      </w:r>
      <w:r w:rsidR="00B803E9" w:rsidRPr="00921A9E">
        <w:rPr>
          <w:rFonts w:ascii="Arial" w:hAnsi="Arial" w:cs="Arial"/>
          <w:sz w:val="22"/>
          <w:szCs w:val="22"/>
          <w:lang w:val="en-US"/>
        </w:rPr>
        <w:t xml:space="preserve"> </w:t>
      </w:r>
      <w:r w:rsidR="002C3238" w:rsidRPr="00921A9E">
        <w:rPr>
          <w:rFonts w:ascii="Arial" w:hAnsi="Arial" w:cs="Arial"/>
          <w:sz w:val="22"/>
          <w:szCs w:val="22"/>
          <w:lang w:val="en-US"/>
        </w:rPr>
        <w:t>Ten</w:t>
      </w:r>
      <w:r w:rsidR="00AE4F41" w:rsidRPr="00921A9E">
        <w:rPr>
          <w:rFonts w:ascii="Arial" w:hAnsi="Arial" w:cs="Arial"/>
          <w:sz w:val="22"/>
          <w:szCs w:val="22"/>
          <w:lang w:val="en-US"/>
        </w:rPr>
        <w:t xml:space="preserve"> delays to treatment were reported in 9 patients</w:t>
      </w:r>
      <w:r w:rsidR="002C3238" w:rsidRPr="00921A9E">
        <w:rPr>
          <w:rFonts w:ascii="Arial" w:hAnsi="Arial" w:cs="Arial"/>
          <w:sz w:val="22"/>
          <w:szCs w:val="22"/>
          <w:lang w:val="en-US"/>
        </w:rPr>
        <w:t>, with</w:t>
      </w:r>
      <w:r w:rsidR="00A0181B" w:rsidRPr="00921A9E">
        <w:rPr>
          <w:rFonts w:ascii="Arial" w:hAnsi="Arial" w:cs="Arial"/>
          <w:sz w:val="22"/>
          <w:szCs w:val="22"/>
          <w:lang w:val="en-US"/>
        </w:rPr>
        <w:t xml:space="preserve"> the main reason being patient choice</w:t>
      </w:r>
      <w:r w:rsidR="00AE4F41" w:rsidRPr="00921A9E">
        <w:rPr>
          <w:rFonts w:ascii="Arial" w:hAnsi="Arial" w:cs="Arial"/>
          <w:sz w:val="22"/>
          <w:szCs w:val="22"/>
          <w:lang w:val="en-US"/>
        </w:rPr>
        <w:t>.</w:t>
      </w:r>
      <w:r w:rsidR="00DC270C" w:rsidRPr="00921A9E">
        <w:rPr>
          <w:rFonts w:ascii="Arial" w:hAnsi="Arial" w:cs="Arial"/>
          <w:sz w:val="22"/>
          <w:szCs w:val="22"/>
          <w:lang w:val="en-US"/>
        </w:rPr>
        <w:t xml:space="preserve"> </w:t>
      </w:r>
      <w:r w:rsidR="001B503A" w:rsidRPr="00921A9E">
        <w:rPr>
          <w:rFonts w:ascii="Arial" w:hAnsi="Arial" w:cs="Arial"/>
          <w:sz w:val="22"/>
          <w:szCs w:val="22"/>
          <w:lang w:val="en-US"/>
        </w:rPr>
        <w:t xml:space="preserve">The </w:t>
      </w:r>
      <w:r w:rsidR="001B503A" w:rsidRPr="00921A9E">
        <w:rPr>
          <w:rFonts w:ascii="Arial" w:hAnsi="Arial"/>
          <w:sz w:val="22"/>
          <w:lang w:val="en-US"/>
        </w:rPr>
        <w:t>median</w:t>
      </w:r>
      <w:r w:rsidR="001B503A" w:rsidRPr="00921A9E">
        <w:rPr>
          <w:rFonts w:ascii="Arial" w:hAnsi="Arial" w:cs="Arial"/>
          <w:sz w:val="22"/>
          <w:szCs w:val="22"/>
          <w:lang w:val="en-US"/>
        </w:rPr>
        <w:t xml:space="preserve"> relative dose intensity </w:t>
      </w:r>
      <w:r w:rsidR="00833730" w:rsidRPr="00921A9E">
        <w:rPr>
          <w:rFonts w:ascii="Arial" w:hAnsi="Arial" w:cs="Arial"/>
          <w:sz w:val="22"/>
          <w:szCs w:val="22"/>
          <w:lang w:val="en-US"/>
        </w:rPr>
        <w:t xml:space="preserve">in patients starting treatment </w:t>
      </w:r>
      <w:r w:rsidR="001B503A" w:rsidRPr="00921A9E">
        <w:rPr>
          <w:rFonts w:ascii="Arial" w:hAnsi="Arial" w:cs="Arial"/>
          <w:sz w:val="22"/>
          <w:szCs w:val="22"/>
          <w:lang w:val="en-US"/>
        </w:rPr>
        <w:t xml:space="preserve">was </w:t>
      </w:r>
      <w:r w:rsidR="00743789" w:rsidRPr="00921A9E">
        <w:rPr>
          <w:rFonts w:ascii="Arial" w:hAnsi="Arial" w:cs="Arial"/>
          <w:sz w:val="22"/>
          <w:szCs w:val="22"/>
          <w:lang w:val="en-US"/>
        </w:rPr>
        <w:t>100</w:t>
      </w:r>
      <w:r w:rsidR="002B7502" w:rsidRPr="00921A9E">
        <w:rPr>
          <w:rFonts w:ascii="Arial" w:hAnsi="Arial" w:cs="Arial"/>
          <w:sz w:val="22"/>
          <w:szCs w:val="22"/>
          <w:lang w:val="en-US"/>
        </w:rPr>
        <w:t>.0</w:t>
      </w:r>
      <w:r w:rsidR="00743789" w:rsidRPr="00921A9E">
        <w:rPr>
          <w:rFonts w:ascii="Arial" w:hAnsi="Arial" w:cs="Arial"/>
          <w:sz w:val="22"/>
          <w:szCs w:val="22"/>
          <w:lang w:val="en-US"/>
        </w:rPr>
        <w:t>% (IQR:96.7-100</w:t>
      </w:r>
      <w:r w:rsidR="002B7502" w:rsidRPr="00921A9E">
        <w:rPr>
          <w:rFonts w:ascii="Arial" w:hAnsi="Arial" w:cs="Arial"/>
          <w:sz w:val="22"/>
          <w:szCs w:val="22"/>
          <w:lang w:val="en-US"/>
        </w:rPr>
        <w:t>.0</w:t>
      </w:r>
      <w:r w:rsidR="00833730" w:rsidRPr="00921A9E">
        <w:rPr>
          <w:rFonts w:ascii="Arial" w:hAnsi="Arial" w:cs="Arial"/>
          <w:sz w:val="22"/>
          <w:szCs w:val="22"/>
          <w:lang w:val="en-US"/>
        </w:rPr>
        <w:t>, min-max:33.3-103.8</w:t>
      </w:r>
      <w:r w:rsidR="00743789" w:rsidRPr="00921A9E">
        <w:rPr>
          <w:rFonts w:ascii="Arial" w:hAnsi="Arial" w:cs="Arial"/>
          <w:sz w:val="22"/>
          <w:szCs w:val="22"/>
          <w:lang w:val="en-US"/>
        </w:rPr>
        <w:t>)</w:t>
      </w:r>
      <w:r w:rsidR="001B503A" w:rsidRPr="00921A9E">
        <w:rPr>
          <w:rFonts w:ascii="Arial" w:hAnsi="Arial" w:cs="Arial"/>
          <w:sz w:val="22"/>
          <w:szCs w:val="22"/>
          <w:lang w:val="en-US"/>
        </w:rPr>
        <w:t xml:space="preserve">. </w:t>
      </w:r>
      <w:r w:rsidR="003141D6" w:rsidRPr="00921A9E">
        <w:rPr>
          <w:rFonts w:ascii="Arial" w:hAnsi="Arial" w:cs="Arial"/>
          <w:sz w:val="22"/>
          <w:szCs w:val="22"/>
          <w:lang w:val="en-US"/>
        </w:rPr>
        <w:t xml:space="preserve">Pharmacokinetic analysis was consistent with elevated fulvestrant exposure compared </w:t>
      </w:r>
      <w:r w:rsidR="00523C28" w:rsidRPr="00921A9E">
        <w:rPr>
          <w:rFonts w:ascii="Arial" w:hAnsi="Arial" w:cs="Arial"/>
          <w:sz w:val="22"/>
          <w:szCs w:val="22"/>
          <w:lang w:val="en-US"/>
        </w:rPr>
        <w:t>with</w:t>
      </w:r>
      <w:r w:rsidR="003141D6" w:rsidRPr="00921A9E">
        <w:rPr>
          <w:rFonts w:ascii="Arial" w:hAnsi="Arial" w:cs="Arial"/>
          <w:sz w:val="22"/>
          <w:szCs w:val="22"/>
          <w:lang w:val="en-US"/>
        </w:rPr>
        <w:t xml:space="preserve"> </w:t>
      </w:r>
      <w:r w:rsidR="00D83819" w:rsidRPr="00921A9E">
        <w:rPr>
          <w:rFonts w:ascii="Arial" w:hAnsi="Arial" w:cs="Arial"/>
          <w:sz w:val="22"/>
          <w:szCs w:val="22"/>
          <w:lang w:val="en-US"/>
        </w:rPr>
        <w:t xml:space="preserve">standard </w:t>
      </w:r>
      <w:r w:rsidR="003141D6" w:rsidRPr="00921A9E">
        <w:rPr>
          <w:rFonts w:ascii="Arial" w:hAnsi="Arial" w:cs="Arial"/>
          <w:sz w:val="22"/>
          <w:szCs w:val="22"/>
          <w:lang w:val="en-US"/>
        </w:rPr>
        <w:t xml:space="preserve">500mg PopPk </w:t>
      </w:r>
      <w:r w:rsidR="00D83819" w:rsidRPr="00921A9E">
        <w:rPr>
          <w:rFonts w:ascii="Arial" w:hAnsi="Arial" w:cs="Arial"/>
          <w:sz w:val="22"/>
          <w:szCs w:val="22"/>
          <w:lang w:val="en-US"/>
        </w:rPr>
        <w:t xml:space="preserve">fulvestrant </w:t>
      </w:r>
      <w:r w:rsidR="003141D6" w:rsidRPr="00921A9E">
        <w:rPr>
          <w:rFonts w:ascii="Arial" w:hAnsi="Arial" w:cs="Arial"/>
          <w:sz w:val="22"/>
          <w:szCs w:val="22"/>
          <w:lang w:val="en-US"/>
        </w:rPr>
        <w:t>(</w:t>
      </w:r>
      <w:r w:rsidR="00623689" w:rsidRPr="00921A9E">
        <w:rPr>
          <w:rFonts w:ascii="Arial" w:hAnsi="Arial" w:cs="Arial"/>
          <w:sz w:val="22"/>
          <w:szCs w:val="22"/>
          <w:lang w:val="en-US"/>
        </w:rPr>
        <w:t>appendix p</w:t>
      </w:r>
      <w:r w:rsidR="00445127" w:rsidRPr="00921A9E">
        <w:rPr>
          <w:rFonts w:ascii="Arial" w:hAnsi="Arial" w:cs="Arial"/>
          <w:sz w:val="22"/>
          <w:szCs w:val="22"/>
          <w:lang w:val="en-US"/>
        </w:rPr>
        <w:t>10</w:t>
      </w:r>
      <w:r w:rsidR="003141D6" w:rsidRPr="00921A9E">
        <w:rPr>
          <w:rFonts w:ascii="Arial" w:hAnsi="Arial" w:cs="Arial"/>
          <w:sz w:val="22"/>
          <w:szCs w:val="22"/>
          <w:lang w:val="en-US"/>
        </w:rPr>
        <w:t xml:space="preserve">). </w:t>
      </w:r>
    </w:p>
    <w:p w14:paraId="76C720D3" w14:textId="1893562A" w:rsidR="003141D6" w:rsidRPr="00921A9E" w:rsidRDefault="003141D6" w:rsidP="004B43C4">
      <w:pPr>
        <w:jc w:val="both"/>
        <w:rPr>
          <w:rFonts w:ascii="Arial" w:hAnsi="Arial" w:cs="Arial"/>
          <w:sz w:val="22"/>
          <w:szCs w:val="22"/>
          <w:lang w:val="en-US"/>
        </w:rPr>
      </w:pPr>
    </w:p>
    <w:p w14:paraId="50B0E4F2" w14:textId="02FC9E40" w:rsidR="00F03955" w:rsidRPr="008C7FCA" w:rsidRDefault="00B72E94" w:rsidP="00AE4F41">
      <w:pPr>
        <w:jc w:val="both"/>
        <w:rPr>
          <w:rFonts w:ascii="Arial" w:hAnsi="Arial" w:cs="Arial"/>
          <w:sz w:val="22"/>
          <w:szCs w:val="22"/>
          <w:lang w:val="en-US"/>
        </w:rPr>
      </w:pPr>
      <w:r w:rsidRPr="00921A9E">
        <w:rPr>
          <w:rFonts w:ascii="Arial" w:hAnsi="Arial" w:cs="Arial"/>
          <w:sz w:val="22"/>
          <w:szCs w:val="22"/>
          <w:lang w:val="en-US"/>
        </w:rPr>
        <w:t xml:space="preserve">Of the </w:t>
      </w:r>
      <w:r w:rsidR="00951DB6" w:rsidRPr="00921A9E">
        <w:rPr>
          <w:rFonts w:ascii="Arial" w:hAnsi="Arial" w:cs="Arial"/>
          <w:sz w:val="22"/>
          <w:szCs w:val="22"/>
          <w:lang w:val="en-US"/>
        </w:rPr>
        <w:t xml:space="preserve">36 </w:t>
      </w:r>
      <w:r w:rsidRPr="00921A9E">
        <w:rPr>
          <w:rFonts w:ascii="Arial" w:hAnsi="Arial" w:cs="Arial"/>
          <w:sz w:val="22"/>
          <w:szCs w:val="22"/>
          <w:lang w:val="en-US"/>
        </w:rPr>
        <w:t xml:space="preserve">patients with </w:t>
      </w:r>
      <w:r w:rsidR="00942B8B" w:rsidRPr="00921A9E">
        <w:rPr>
          <w:rFonts w:ascii="Arial" w:hAnsi="Arial" w:cs="Arial"/>
          <w:i/>
          <w:iCs/>
          <w:sz w:val="22"/>
          <w:szCs w:val="22"/>
          <w:lang w:val="en-US"/>
        </w:rPr>
        <w:t>ERBB2</w:t>
      </w:r>
      <w:r w:rsidR="00942B8B" w:rsidRPr="00921A9E">
        <w:rPr>
          <w:rFonts w:ascii="Arial" w:hAnsi="Arial" w:cs="Arial"/>
          <w:sz w:val="22"/>
          <w:szCs w:val="22"/>
          <w:lang w:val="en-US"/>
        </w:rPr>
        <w:t xml:space="preserve"> </w:t>
      </w:r>
      <w:r w:rsidRPr="00921A9E">
        <w:rPr>
          <w:rFonts w:ascii="Arial" w:hAnsi="Arial" w:cs="Arial"/>
          <w:sz w:val="22"/>
          <w:szCs w:val="22"/>
          <w:lang w:val="en-US"/>
        </w:rPr>
        <w:t>mutation in ctDNA, 21 (5</w:t>
      </w:r>
      <w:r w:rsidR="002B7502" w:rsidRPr="00921A9E">
        <w:rPr>
          <w:rFonts w:ascii="Arial" w:hAnsi="Arial" w:cs="Arial"/>
          <w:sz w:val="22"/>
          <w:szCs w:val="22"/>
          <w:lang w:val="en-US"/>
        </w:rPr>
        <w:t>8.3</w:t>
      </w:r>
      <w:r w:rsidRPr="00921A9E">
        <w:rPr>
          <w:rFonts w:ascii="Arial" w:hAnsi="Arial" w:cs="Arial"/>
          <w:sz w:val="22"/>
          <w:szCs w:val="22"/>
          <w:lang w:val="en-US"/>
        </w:rPr>
        <w:t>%) enrolled in Cohort B</w:t>
      </w:r>
      <w:r w:rsidR="0072782E" w:rsidRPr="00921A9E">
        <w:rPr>
          <w:rFonts w:ascii="Arial" w:hAnsi="Arial" w:cs="Arial"/>
          <w:sz w:val="22"/>
          <w:szCs w:val="22"/>
          <w:lang w:val="en-US"/>
        </w:rPr>
        <w:t xml:space="preserve"> (Figure</w:t>
      </w:r>
      <w:r w:rsidR="002522D6" w:rsidRPr="00921A9E">
        <w:rPr>
          <w:rFonts w:ascii="Arial" w:hAnsi="Arial" w:cs="Arial"/>
          <w:sz w:val="22"/>
          <w:szCs w:val="22"/>
          <w:lang w:val="en-US"/>
        </w:rPr>
        <w:t xml:space="preserve"> </w:t>
      </w:r>
      <w:r w:rsidR="0072782E" w:rsidRPr="00921A9E">
        <w:rPr>
          <w:rFonts w:ascii="Arial" w:hAnsi="Arial" w:cs="Arial"/>
          <w:sz w:val="22"/>
          <w:szCs w:val="22"/>
          <w:lang w:val="en-US"/>
        </w:rPr>
        <w:t>1)</w:t>
      </w:r>
      <w:r w:rsidR="00484C3E" w:rsidRPr="00921A9E">
        <w:rPr>
          <w:rFonts w:ascii="Arial" w:hAnsi="Arial" w:cs="Arial"/>
          <w:sz w:val="22"/>
          <w:szCs w:val="22"/>
          <w:lang w:val="en-US"/>
        </w:rPr>
        <w:t>;</w:t>
      </w:r>
      <w:r w:rsidR="00484C3E">
        <w:rPr>
          <w:rFonts w:ascii="Arial" w:hAnsi="Arial" w:cs="Arial"/>
          <w:sz w:val="22"/>
          <w:szCs w:val="22"/>
          <w:lang w:val="en-US"/>
        </w:rPr>
        <w:t xml:space="preserve"> </w:t>
      </w:r>
      <w:r w:rsidR="0072782E">
        <w:rPr>
          <w:rFonts w:ascii="Arial" w:hAnsi="Arial" w:cs="Arial"/>
          <w:sz w:val="22"/>
          <w:szCs w:val="22"/>
          <w:lang w:val="en-US"/>
        </w:rPr>
        <w:t>18</w:t>
      </w:r>
      <w:r w:rsidR="0072782E" w:rsidRPr="008C7FCA">
        <w:rPr>
          <w:rFonts w:ascii="Arial" w:hAnsi="Arial" w:cs="Arial"/>
          <w:sz w:val="22"/>
          <w:szCs w:val="22"/>
          <w:lang w:val="en-US"/>
        </w:rPr>
        <w:t xml:space="preserve"> </w:t>
      </w:r>
      <w:r w:rsidR="00F03955" w:rsidRPr="008C7FCA">
        <w:rPr>
          <w:rFonts w:ascii="Arial" w:hAnsi="Arial" w:cs="Arial"/>
          <w:sz w:val="22"/>
          <w:szCs w:val="22"/>
          <w:lang w:val="en-US"/>
        </w:rPr>
        <w:t>(</w:t>
      </w:r>
      <w:r w:rsidR="00EB42B2">
        <w:rPr>
          <w:rFonts w:ascii="Arial" w:hAnsi="Arial" w:cs="Arial"/>
          <w:sz w:val="22"/>
          <w:szCs w:val="22"/>
          <w:lang w:val="en-US"/>
        </w:rPr>
        <w:t>8</w:t>
      </w:r>
      <w:r w:rsidR="002B7502">
        <w:rPr>
          <w:rFonts w:ascii="Arial" w:hAnsi="Arial" w:cs="Arial"/>
          <w:sz w:val="22"/>
          <w:szCs w:val="22"/>
          <w:lang w:val="en-US"/>
        </w:rPr>
        <w:t>5.7</w:t>
      </w:r>
      <w:r w:rsidR="00F03955" w:rsidRPr="008C7FCA">
        <w:rPr>
          <w:rFonts w:ascii="Arial" w:hAnsi="Arial" w:cs="Arial"/>
          <w:sz w:val="22"/>
          <w:szCs w:val="22"/>
          <w:lang w:val="en-US"/>
        </w:rPr>
        <w:t xml:space="preserve">%) </w:t>
      </w:r>
      <w:r w:rsidR="0060132F" w:rsidRPr="008C7FCA">
        <w:rPr>
          <w:rFonts w:ascii="Arial" w:hAnsi="Arial" w:cs="Arial"/>
          <w:sz w:val="22"/>
          <w:szCs w:val="22"/>
          <w:lang w:val="en-US"/>
        </w:rPr>
        <w:t xml:space="preserve">had </w:t>
      </w:r>
      <w:r w:rsidR="00FA2520" w:rsidRPr="008C7FCA">
        <w:rPr>
          <w:rFonts w:ascii="Arial" w:hAnsi="Arial" w:cs="Arial"/>
          <w:sz w:val="22"/>
          <w:szCs w:val="22"/>
          <w:lang w:val="en-US"/>
        </w:rPr>
        <w:t>ER</w:t>
      </w:r>
      <w:r w:rsidR="00FA2520">
        <w:rPr>
          <w:rFonts w:ascii="Arial" w:hAnsi="Arial" w:cs="Arial"/>
          <w:sz w:val="22"/>
          <w:szCs w:val="22"/>
          <w:lang w:val="en-US"/>
        </w:rPr>
        <w:t>-</w:t>
      </w:r>
      <w:r w:rsidR="00F03955" w:rsidRPr="008C7FCA">
        <w:rPr>
          <w:rFonts w:ascii="Arial" w:hAnsi="Arial" w:cs="Arial"/>
          <w:sz w:val="22"/>
          <w:szCs w:val="22"/>
          <w:lang w:val="en-US"/>
        </w:rPr>
        <w:t>positive</w:t>
      </w:r>
      <w:r w:rsidR="0060132F" w:rsidRPr="008C7FCA">
        <w:rPr>
          <w:rFonts w:ascii="Arial" w:hAnsi="Arial" w:cs="Arial"/>
          <w:sz w:val="22"/>
          <w:szCs w:val="22"/>
          <w:lang w:val="en-US"/>
        </w:rPr>
        <w:t xml:space="preserve"> cancers</w:t>
      </w:r>
      <w:r w:rsidR="00F03955" w:rsidRPr="00A3163A">
        <w:rPr>
          <w:rFonts w:ascii="Arial" w:hAnsi="Arial" w:cs="Arial"/>
          <w:sz w:val="22"/>
          <w:szCs w:val="22"/>
          <w:lang w:val="en-US"/>
        </w:rPr>
        <w:t xml:space="preserve">, </w:t>
      </w:r>
      <w:r w:rsidR="002A08D3">
        <w:rPr>
          <w:rFonts w:ascii="Arial" w:hAnsi="Arial" w:cs="Arial"/>
          <w:sz w:val="22"/>
          <w:szCs w:val="22"/>
          <w:lang w:val="en-US"/>
        </w:rPr>
        <w:t>three</w:t>
      </w:r>
      <w:r w:rsidR="00F03955" w:rsidRPr="00A3163A">
        <w:rPr>
          <w:rFonts w:ascii="Arial" w:hAnsi="Arial" w:cs="Arial"/>
          <w:sz w:val="22"/>
          <w:szCs w:val="22"/>
          <w:lang w:val="en-US"/>
        </w:rPr>
        <w:t xml:space="preserve"> (14</w:t>
      </w:r>
      <w:r w:rsidR="002B7502">
        <w:rPr>
          <w:rFonts w:ascii="Arial" w:hAnsi="Arial" w:cs="Arial"/>
          <w:sz w:val="22"/>
          <w:szCs w:val="22"/>
          <w:lang w:val="en-US"/>
        </w:rPr>
        <w:t>.3</w:t>
      </w:r>
      <w:r w:rsidR="00F03955" w:rsidRPr="00A3163A">
        <w:rPr>
          <w:rFonts w:ascii="Arial" w:hAnsi="Arial" w:cs="Arial"/>
          <w:sz w:val="22"/>
          <w:szCs w:val="22"/>
          <w:lang w:val="en-US"/>
        </w:rPr>
        <w:t xml:space="preserve">%) were </w:t>
      </w:r>
      <w:r w:rsidR="00FA2520" w:rsidRPr="008C7FCA">
        <w:rPr>
          <w:rFonts w:ascii="Arial" w:hAnsi="Arial" w:cs="Arial"/>
          <w:iCs/>
          <w:sz w:val="22"/>
          <w:szCs w:val="22"/>
          <w:lang w:val="en-US"/>
        </w:rPr>
        <w:t>HER2</w:t>
      </w:r>
      <w:r w:rsidR="00FA2520">
        <w:rPr>
          <w:rFonts w:ascii="Arial" w:hAnsi="Arial" w:cs="Arial"/>
          <w:sz w:val="22"/>
          <w:szCs w:val="22"/>
          <w:lang w:val="en-US"/>
        </w:rPr>
        <w:t>-</w:t>
      </w:r>
      <w:r w:rsidR="00320480">
        <w:rPr>
          <w:rFonts w:ascii="Arial" w:hAnsi="Arial" w:cs="Arial"/>
          <w:sz w:val="22"/>
          <w:szCs w:val="22"/>
          <w:lang w:val="en-US"/>
        </w:rPr>
        <w:t>positive</w:t>
      </w:r>
      <w:r w:rsidR="009F12F3">
        <w:rPr>
          <w:rFonts w:ascii="Arial" w:hAnsi="Arial" w:cs="Arial"/>
          <w:sz w:val="22"/>
          <w:szCs w:val="22"/>
          <w:lang w:val="en-US"/>
        </w:rPr>
        <w:t xml:space="preserve"> (</w:t>
      </w:r>
      <w:r w:rsidR="00F052CD">
        <w:rPr>
          <w:rFonts w:ascii="Arial" w:hAnsi="Arial" w:cs="Arial"/>
          <w:sz w:val="22"/>
          <w:szCs w:val="22"/>
          <w:lang w:val="en-US"/>
        </w:rPr>
        <w:t>over-expressed/</w:t>
      </w:r>
      <w:r w:rsidR="009F12F3">
        <w:rPr>
          <w:rFonts w:ascii="Arial" w:hAnsi="Arial" w:cs="Arial"/>
          <w:sz w:val="22"/>
          <w:szCs w:val="22"/>
          <w:lang w:val="en-US"/>
        </w:rPr>
        <w:t>amplified)</w:t>
      </w:r>
      <w:r w:rsidR="00F03955" w:rsidRPr="00442EF7">
        <w:rPr>
          <w:rFonts w:ascii="Arial" w:hAnsi="Arial" w:cs="Arial"/>
          <w:sz w:val="22"/>
          <w:szCs w:val="22"/>
          <w:lang w:val="en-US"/>
        </w:rPr>
        <w:t>, and 18 (8</w:t>
      </w:r>
      <w:r w:rsidR="002B7502">
        <w:rPr>
          <w:rFonts w:ascii="Arial" w:hAnsi="Arial" w:cs="Arial"/>
          <w:sz w:val="22"/>
          <w:szCs w:val="22"/>
          <w:lang w:val="en-US"/>
        </w:rPr>
        <w:t>5.7</w:t>
      </w:r>
      <w:r w:rsidR="00F03955" w:rsidRPr="00442EF7">
        <w:rPr>
          <w:rFonts w:ascii="Arial" w:hAnsi="Arial" w:cs="Arial"/>
          <w:sz w:val="22"/>
          <w:szCs w:val="22"/>
          <w:lang w:val="en-US"/>
        </w:rPr>
        <w:t>%) had visceral metastases</w:t>
      </w:r>
      <w:r w:rsidR="00F03955" w:rsidRPr="00D856EB">
        <w:rPr>
          <w:rFonts w:ascii="Arial" w:hAnsi="Arial" w:cs="Arial"/>
          <w:sz w:val="22"/>
          <w:szCs w:val="22"/>
          <w:lang w:val="en-US"/>
        </w:rPr>
        <w:t xml:space="preserve"> (</w:t>
      </w:r>
      <w:r w:rsidR="00A224C1" w:rsidRPr="00E27B44">
        <w:rPr>
          <w:rFonts w:ascii="Arial" w:hAnsi="Arial" w:cs="Arial"/>
          <w:sz w:val="22"/>
          <w:szCs w:val="22"/>
          <w:lang w:val="en-US"/>
        </w:rPr>
        <w:t>Table</w:t>
      </w:r>
      <w:r w:rsidR="002522D6">
        <w:rPr>
          <w:rFonts w:ascii="Arial" w:hAnsi="Arial" w:cs="Arial"/>
          <w:sz w:val="22"/>
          <w:szCs w:val="22"/>
          <w:lang w:val="en-US"/>
        </w:rPr>
        <w:t xml:space="preserve"> </w:t>
      </w:r>
      <w:r w:rsidR="00604A4C">
        <w:rPr>
          <w:rFonts w:ascii="Arial" w:hAnsi="Arial" w:cs="Arial"/>
          <w:sz w:val="22"/>
          <w:szCs w:val="22"/>
          <w:lang w:val="en-US"/>
        </w:rPr>
        <w:t>1</w:t>
      </w:r>
      <w:r w:rsidR="00F03955" w:rsidRPr="00E27B44">
        <w:rPr>
          <w:rFonts w:ascii="Arial" w:hAnsi="Arial" w:cs="Arial"/>
          <w:sz w:val="22"/>
          <w:szCs w:val="22"/>
          <w:lang w:val="en-US"/>
        </w:rPr>
        <w:t xml:space="preserve">). The most common </w:t>
      </w:r>
      <w:r w:rsidR="00942B8B">
        <w:rPr>
          <w:rFonts w:ascii="Arial" w:hAnsi="Arial" w:cs="Arial"/>
          <w:i/>
          <w:sz w:val="22"/>
          <w:szCs w:val="22"/>
          <w:lang w:val="en-US"/>
        </w:rPr>
        <w:t>ERBB2</w:t>
      </w:r>
      <w:r w:rsidR="00942B8B" w:rsidRPr="00DF48EA">
        <w:rPr>
          <w:rFonts w:ascii="Arial" w:hAnsi="Arial" w:cs="Arial"/>
          <w:sz w:val="22"/>
          <w:szCs w:val="22"/>
          <w:lang w:val="en-US"/>
        </w:rPr>
        <w:t xml:space="preserve"> </w:t>
      </w:r>
      <w:r w:rsidR="00F03955" w:rsidRPr="00DF48EA">
        <w:rPr>
          <w:rFonts w:ascii="Arial" w:hAnsi="Arial" w:cs="Arial"/>
          <w:sz w:val="22"/>
          <w:szCs w:val="22"/>
          <w:lang w:val="en-US"/>
        </w:rPr>
        <w:t>mutations detected in baseline plasma were L755S (</w:t>
      </w:r>
      <w:r w:rsidR="00EB42B2">
        <w:rPr>
          <w:rFonts w:ascii="Arial" w:hAnsi="Arial" w:cs="Arial"/>
          <w:sz w:val="22"/>
          <w:szCs w:val="22"/>
          <w:lang w:val="en-US"/>
        </w:rPr>
        <w:t>4</w:t>
      </w:r>
      <w:r w:rsidR="002B7502">
        <w:rPr>
          <w:rFonts w:ascii="Arial" w:hAnsi="Arial" w:cs="Arial"/>
          <w:sz w:val="22"/>
          <w:szCs w:val="22"/>
          <w:lang w:val="en-US"/>
        </w:rPr>
        <w:t>7.6</w:t>
      </w:r>
      <w:r w:rsidR="00F03955" w:rsidRPr="00DF48EA">
        <w:rPr>
          <w:rFonts w:ascii="Arial" w:hAnsi="Arial" w:cs="Arial"/>
          <w:sz w:val="22"/>
          <w:szCs w:val="22"/>
          <w:lang w:val="en-US"/>
        </w:rPr>
        <w:t>%</w:t>
      </w:r>
      <w:r w:rsidR="00D74BD2" w:rsidRPr="007769F1">
        <w:rPr>
          <w:rFonts w:ascii="Arial" w:hAnsi="Arial" w:cs="Arial"/>
          <w:sz w:val="22"/>
          <w:szCs w:val="22"/>
          <w:lang w:val="en-US"/>
        </w:rPr>
        <w:t>,</w:t>
      </w:r>
      <w:r w:rsidR="001B1917">
        <w:rPr>
          <w:rFonts w:ascii="Arial" w:hAnsi="Arial" w:cs="Arial"/>
          <w:sz w:val="22"/>
          <w:szCs w:val="22"/>
          <w:lang w:val="en-US"/>
        </w:rPr>
        <w:t xml:space="preserve"> </w:t>
      </w:r>
      <w:r w:rsidR="00493BA1">
        <w:rPr>
          <w:rFonts w:ascii="Arial" w:hAnsi="Arial" w:cs="Arial"/>
          <w:sz w:val="22"/>
          <w:szCs w:val="22"/>
          <w:lang w:val="en-US"/>
        </w:rPr>
        <w:t>10</w:t>
      </w:r>
      <w:r w:rsidR="00D74BD2" w:rsidRPr="007769F1">
        <w:rPr>
          <w:rFonts w:ascii="Arial" w:hAnsi="Arial" w:cs="Arial"/>
          <w:sz w:val="22"/>
          <w:szCs w:val="22"/>
          <w:lang w:val="en-US"/>
        </w:rPr>
        <w:t>/</w:t>
      </w:r>
      <w:r w:rsidR="00493BA1">
        <w:rPr>
          <w:rFonts w:ascii="Arial" w:hAnsi="Arial" w:cs="Arial"/>
          <w:sz w:val="22"/>
          <w:szCs w:val="22"/>
          <w:lang w:val="en-US"/>
        </w:rPr>
        <w:t>21</w:t>
      </w:r>
      <w:r w:rsidR="00F03955" w:rsidRPr="007769F1">
        <w:rPr>
          <w:rFonts w:ascii="Arial" w:hAnsi="Arial" w:cs="Arial"/>
          <w:sz w:val="22"/>
          <w:szCs w:val="22"/>
          <w:lang w:val="en-US"/>
        </w:rPr>
        <w:t>), V777L (19</w:t>
      </w:r>
      <w:r w:rsidR="002B7502">
        <w:rPr>
          <w:rFonts w:ascii="Arial" w:hAnsi="Arial" w:cs="Arial"/>
          <w:sz w:val="22"/>
          <w:szCs w:val="22"/>
          <w:lang w:val="en-US"/>
        </w:rPr>
        <w:t>.0</w:t>
      </w:r>
      <w:r w:rsidR="00F03955" w:rsidRPr="007769F1">
        <w:rPr>
          <w:rFonts w:ascii="Arial" w:hAnsi="Arial" w:cs="Arial"/>
          <w:sz w:val="22"/>
          <w:szCs w:val="22"/>
          <w:lang w:val="en-US"/>
        </w:rPr>
        <w:t>%</w:t>
      </w:r>
      <w:r w:rsidR="00D74BD2" w:rsidRPr="007769F1">
        <w:rPr>
          <w:rFonts w:ascii="Arial" w:hAnsi="Arial" w:cs="Arial"/>
          <w:sz w:val="22"/>
          <w:szCs w:val="22"/>
          <w:lang w:val="en-US"/>
        </w:rPr>
        <w:t>,</w:t>
      </w:r>
      <w:r w:rsidR="001B1917">
        <w:rPr>
          <w:rFonts w:ascii="Arial" w:hAnsi="Arial" w:cs="Arial"/>
          <w:sz w:val="22"/>
          <w:szCs w:val="22"/>
          <w:lang w:val="en-US"/>
        </w:rPr>
        <w:t xml:space="preserve"> </w:t>
      </w:r>
      <w:r w:rsidR="00493BA1">
        <w:rPr>
          <w:rFonts w:ascii="Arial" w:hAnsi="Arial" w:cs="Arial"/>
          <w:sz w:val="22"/>
          <w:szCs w:val="22"/>
          <w:lang w:val="en-US"/>
        </w:rPr>
        <w:t>4</w:t>
      </w:r>
      <w:r w:rsidR="00D74BD2" w:rsidRPr="007769F1">
        <w:rPr>
          <w:rFonts w:ascii="Arial" w:hAnsi="Arial" w:cs="Arial"/>
          <w:sz w:val="22"/>
          <w:szCs w:val="22"/>
          <w:lang w:val="en-US"/>
        </w:rPr>
        <w:t>/</w:t>
      </w:r>
      <w:r w:rsidR="00493BA1">
        <w:rPr>
          <w:rFonts w:ascii="Arial" w:hAnsi="Arial" w:cs="Arial"/>
          <w:sz w:val="22"/>
          <w:szCs w:val="22"/>
          <w:lang w:val="en-US"/>
        </w:rPr>
        <w:t>21</w:t>
      </w:r>
      <w:r w:rsidR="00F03955" w:rsidRPr="007769F1">
        <w:rPr>
          <w:rFonts w:ascii="Arial" w:hAnsi="Arial" w:cs="Arial"/>
          <w:sz w:val="22"/>
          <w:szCs w:val="22"/>
          <w:lang w:val="en-US"/>
        </w:rPr>
        <w:t>), S310F (14</w:t>
      </w:r>
      <w:r w:rsidR="002B7502">
        <w:rPr>
          <w:rFonts w:ascii="Arial" w:hAnsi="Arial" w:cs="Arial"/>
          <w:sz w:val="22"/>
          <w:szCs w:val="22"/>
          <w:lang w:val="en-US"/>
        </w:rPr>
        <w:t>.3</w:t>
      </w:r>
      <w:r w:rsidR="00F03955" w:rsidRPr="007769F1">
        <w:rPr>
          <w:rFonts w:ascii="Arial" w:hAnsi="Arial" w:cs="Arial"/>
          <w:sz w:val="22"/>
          <w:szCs w:val="22"/>
          <w:lang w:val="en-US"/>
        </w:rPr>
        <w:t>%</w:t>
      </w:r>
      <w:r w:rsidR="00D74BD2" w:rsidRPr="007769F1">
        <w:rPr>
          <w:rFonts w:ascii="Arial" w:hAnsi="Arial" w:cs="Arial"/>
          <w:sz w:val="22"/>
          <w:szCs w:val="22"/>
          <w:lang w:val="en-US"/>
        </w:rPr>
        <w:t>,</w:t>
      </w:r>
      <w:r w:rsidR="001B1917">
        <w:rPr>
          <w:rFonts w:ascii="Arial" w:hAnsi="Arial" w:cs="Arial"/>
          <w:sz w:val="22"/>
          <w:szCs w:val="22"/>
          <w:lang w:val="en-US"/>
        </w:rPr>
        <w:t xml:space="preserve"> </w:t>
      </w:r>
      <w:r w:rsidR="00493BA1">
        <w:rPr>
          <w:rFonts w:ascii="Arial" w:hAnsi="Arial" w:cs="Arial"/>
          <w:sz w:val="22"/>
          <w:szCs w:val="22"/>
          <w:lang w:val="en-US"/>
        </w:rPr>
        <w:t>3</w:t>
      </w:r>
      <w:r w:rsidR="00D74BD2" w:rsidRPr="007769F1">
        <w:rPr>
          <w:rFonts w:ascii="Arial" w:hAnsi="Arial" w:cs="Arial"/>
          <w:sz w:val="22"/>
          <w:szCs w:val="22"/>
          <w:lang w:val="en-US"/>
        </w:rPr>
        <w:t>/</w:t>
      </w:r>
      <w:r w:rsidR="00493BA1">
        <w:rPr>
          <w:rFonts w:ascii="Arial" w:hAnsi="Arial" w:cs="Arial"/>
          <w:sz w:val="22"/>
          <w:szCs w:val="22"/>
          <w:lang w:val="en-US"/>
        </w:rPr>
        <w:t>21</w:t>
      </w:r>
      <w:r w:rsidR="00F03955" w:rsidRPr="007769F1">
        <w:rPr>
          <w:rFonts w:ascii="Arial" w:hAnsi="Arial" w:cs="Arial"/>
          <w:sz w:val="22"/>
          <w:szCs w:val="22"/>
          <w:lang w:val="en-US"/>
        </w:rPr>
        <w:t>)</w:t>
      </w:r>
      <w:r w:rsidR="00A224C1" w:rsidRPr="007769F1">
        <w:rPr>
          <w:rFonts w:ascii="Arial" w:hAnsi="Arial" w:cs="Arial"/>
          <w:sz w:val="22"/>
          <w:szCs w:val="22"/>
          <w:lang w:val="en-US"/>
        </w:rPr>
        <w:t xml:space="preserve">. </w:t>
      </w:r>
      <w:r w:rsidR="002A08D3">
        <w:rPr>
          <w:rFonts w:ascii="Arial" w:hAnsi="Arial" w:cs="Arial"/>
          <w:sz w:val="22"/>
          <w:szCs w:val="22"/>
          <w:lang w:val="en-US"/>
        </w:rPr>
        <w:t>20</w:t>
      </w:r>
      <w:r w:rsidR="006129EB" w:rsidRPr="007769F1">
        <w:rPr>
          <w:rFonts w:ascii="Arial" w:hAnsi="Arial" w:cs="Arial"/>
          <w:sz w:val="22"/>
          <w:szCs w:val="22"/>
          <w:lang w:val="en-US"/>
        </w:rPr>
        <w:t xml:space="preserve"> patients were</w:t>
      </w:r>
      <w:r w:rsidR="00F03955" w:rsidRPr="007769F1">
        <w:rPr>
          <w:rFonts w:ascii="Arial" w:hAnsi="Arial" w:cs="Arial"/>
          <w:sz w:val="22"/>
          <w:szCs w:val="22"/>
          <w:lang w:val="en-US"/>
        </w:rPr>
        <w:t xml:space="preserve"> evaluable </w:t>
      </w:r>
      <w:r w:rsidR="006129EB" w:rsidRPr="007769F1">
        <w:rPr>
          <w:rFonts w:ascii="Arial" w:hAnsi="Arial" w:cs="Arial"/>
          <w:sz w:val="22"/>
          <w:szCs w:val="22"/>
          <w:lang w:val="en-US"/>
        </w:rPr>
        <w:t>for response</w:t>
      </w:r>
      <w:r w:rsidR="000C5133">
        <w:rPr>
          <w:rFonts w:ascii="Arial" w:hAnsi="Arial" w:cs="Arial"/>
          <w:sz w:val="22"/>
          <w:szCs w:val="22"/>
          <w:lang w:val="en-US"/>
        </w:rPr>
        <w:t>,</w:t>
      </w:r>
      <w:r w:rsidR="00B61975">
        <w:rPr>
          <w:rFonts w:ascii="Arial" w:hAnsi="Arial" w:cs="Arial"/>
          <w:sz w:val="22"/>
          <w:szCs w:val="22"/>
          <w:lang w:val="en-US"/>
        </w:rPr>
        <w:t xml:space="preserve"> as</w:t>
      </w:r>
      <w:r w:rsidR="006129EB" w:rsidRPr="007769F1">
        <w:rPr>
          <w:rFonts w:ascii="Arial" w:hAnsi="Arial" w:cs="Arial"/>
          <w:sz w:val="22"/>
          <w:szCs w:val="22"/>
          <w:lang w:val="en-US"/>
        </w:rPr>
        <w:t xml:space="preserve"> </w:t>
      </w:r>
      <w:r w:rsidR="00320480">
        <w:rPr>
          <w:rFonts w:ascii="Arial" w:hAnsi="Arial" w:cs="Arial"/>
          <w:sz w:val="22"/>
          <w:szCs w:val="22"/>
          <w:lang w:val="en-US"/>
        </w:rPr>
        <w:t>one patient did not start treatment</w:t>
      </w:r>
      <w:r w:rsidR="002A08D3">
        <w:rPr>
          <w:rFonts w:ascii="Arial" w:hAnsi="Arial" w:cs="Arial"/>
          <w:sz w:val="22"/>
          <w:szCs w:val="22"/>
          <w:lang w:val="en-US"/>
        </w:rPr>
        <w:t xml:space="preserve">. </w:t>
      </w:r>
      <w:r w:rsidR="00B61975">
        <w:rPr>
          <w:rFonts w:ascii="Arial" w:hAnsi="Arial" w:cs="Arial"/>
          <w:sz w:val="22"/>
          <w:szCs w:val="22"/>
          <w:lang w:val="en-US"/>
        </w:rPr>
        <w:t>C</w:t>
      </w:r>
      <w:r w:rsidR="00F37D6B">
        <w:rPr>
          <w:rFonts w:ascii="Arial" w:hAnsi="Arial" w:cs="Arial"/>
          <w:sz w:val="22"/>
          <w:szCs w:val="22"/>
          <w:lang w:val="en-US"/>
        </w:rPr>
        <w:t>onfirmed</w:t>
      </w:r>
      <w:r w:rsidR="00320480">
        <w:rPr>
          <w:rFonts w:ascii="Arial" w:hAnsi="Arial" w:cs="Arial"/>
          <w:sz w:val="22"/>
          <w:szCs w:val="22"/>
          <w:lang w:val="en-US"/>
        </w:rPr>
        <w:t xml:space="preserve"> </w:t>
      </w:r>
      <w:r w:rsidR="006129EB" w:rsidRPr="00F22465">
        <w:rPr>
          <w:rFonts w:ascii="Arial" w:hAnsi="Arial" w:cs="Arial"/>
          <w:sz w:val="22"/>
          <w:szCs w:val="22"/>
          <w:lang w:val="en-US"/>
        </w:rPr>
        <w:t xml:space="preserve">response </w:t>
      </w:r>
      <w:r w:rsidR="00F03955" w:rsidRPr="008E2861">
        <w:rPr>
          <w:rFonts w:ascii="Arial" w:hAnsi="Arial" w:cs="Arial"/>
          <w:sz w:val="22"/>
          <w:szCs w:val="22"/>
          <w:lang w:val="en-US"/>
        </w:rPr>
        <w:t xml:space="preserve">rate </w:t>
      </w:r>
      <w:r w:rsidR="00B61975">
        <w:rPr>
          <w:rFonts w:ascii="Arial" w:hAnsi="Arial" w:cs="Arial"/>
          <w:sz w:val="22"/>
          <w:szCs w:val="22"/>
          <w:lang w:val="en-US"/>
        </w:rPr>
        <w:t>was</w:t>
      </w:r>
      <w:r w:rsidR="00623F06" w:rsidRPr="0090337B">
        <w:rPr>
          <w:rFonts w:ascii="Arial" w:hAnsi="Arial" w:cs="Arial"/>
          <w:sz w:val="22"/>
          <w:szCs w:val="22"/>
          <w:lang w:val="en-US"/>
        </w:rPr>
        <w:t xml:space="preserve"> </w:t>
      </w:r>
      <w:r w:rsidR="00F03955" w:rsidRPr="0090337B">
        <w:rPr>
          <w:rFonts w:ascii="Arial" w:hAnsi="Arial" w:cs="Arial"/>
          <w:sz w:val="22"/>
          <w:szCs w:val="22"/>
          <w:lang w:val="en-US"/>
        </w:rPr>
        <w:t>25</w:t>
      </w:r>
      <w:r w:rsidR="000A4DE2">
        <w:rPr>
          <w:rFonts w:ascii="Arial" w:hAnsi="Arial" w:cs="Arial"/>
          <w:sz w:val="22"/>
          <w:szCs w:val="22"/>
          <w:lang w:val="en-US"/>
        </w:rPr>
        <w:t>.0</w:t>
      </w:r>
      <w:r w:rsidR="00F03955" w:rsidRPr="0090337B">
        <w:rPr>
          <w:rFonts w:ascii="Arial" w:hAnsi="Arial" w:cs="Arial"/>
          <w:sz w:val="22"/>
          <w:szCs w:val="22"/>
          <w:lang w:val="en-US"/>
        </w:rPr>
        <w:t>% (</w:t>
      </w:r>
      <w:r w:rsidR="006E6414">
        <w:rPr>
          <w:rFonts w:ascii="Arial" w:hAnsi="Arial" w:cs="Arial"/>
          <w:sz w:val="22"/>
          <w:szCs w:val="22"/>
          <w:lang w:val="en-US"/>
        </w:rPr>
        <w:t>5/20,</w:t>
      </w:r>
      <w:r w:rsidR="00B61975">
        <w:rPr>
          <w:rFonts w:ascii="Arial" w:hAnsi="Arial" w:cs="Arial"/>
          <w:sz w:val="22"/>
          <w:szCs w:val="22"/>
          <w:lang w:val="en-US"/>
        </w:rPr>
        <w:t xml:space="preserve"> </w:t>
      </w:r>
      <w:r w:rsidR="00F03955" w:rsidRPr="0090337B">
        <w:rPr>
          <w:rFonts w:ascii="Arial" w:hAnsi="Arial" w:cs="Arial"/>
          <w:sz w:val="22"/>
          <w:szCs w:val="22"/>
          <w:lang w:val="en-US"/>
        </w:rPr>
        <w:t>95%CI</w:t>
      </w:r>
      <w:r w:rsidR="00FA2520">
        <w:rPr>
          <w:rFonts w:ascii="Arial" w:hAnsi="Arial" w:cs="Arial"/>
          <w:sz w:val="22"/>
          <w:szCs w:val="22"/>
          <w:lang w:val="en-US"/>
        </w:rPr>
        <w:t>,</w:t>
      </w:r>
      <w:r w:rsidR="00F03955" w:rsidRPr="008C7FCA">
        <w:rPr>
          <w:rFonts w:ascii="Arial" w:hAnsi="Arial" w:cs="Arial"/>
          <w:sz w:val="22"/>
          <w:szCs w:val="22"/>
          <w:lang w:val="en-US"/>
        </w:rPr>
        <w:t>8.7</w:t>
      </w:r>
      <w:r w:rsidR="00863965">
        <w:rPr>
          <w:rFonts w:ascii="Arial" w:hAnsi="Arial" w:cs="Arial"/>
          <w:sz w:val="22"/>
          <w:szCs w:val="22"/>
          <w:lang w:val="en-US"/>
        </w:rPr>
        <w:t>-</w:t>
      </w:r>
      <w:r w:rsidR="00F03955" w:rsidRPr="008C7FCA">
        <w:rPr>
          <w:rFonts w:ascii="Arial" w:hAnsi="Arial" w:cs="Arial"/>
          <w:sz w:val="22"/>
          <w:szCs w:val="22"/>
          <w:lang w:val="en-US"/>
        </w:rPr>
        <w:t>49</w:t>
      </w:r>
      <w:r w:rsidR="008A08BA">
        <w:rPr>
          <w:rFonts w:ascii="Arial" w:hAnsi="Arial" w:cs="Arial"/>
          <w:sz w:val="22"/>
          <w:szCs w:val="22"/>
          <w:lang w:val="en-US"/>
        </w:rPr>
        <w:t>.1</w:t>
      </w:r>
      <w:r w:rsidR="00EB42B2">
        <w:rPr>
          <w:rFonts w:ascii="Arial" w:hAnsi="Arial" w:cs="Arial"/>
          <w:sz w:val="22"/>
          <w:szCs w:val="22"/>
          <w:lang w:val="en-US"/>
        </w:rPr>
        <w:t>%</w:t>
      </w:r>
      <w:r w:rsidR="00F03955" w:rsidRPr="00442EF7">
        <w:rPr>
          <w:rFonts w:ascii="Arial" w:hAnsi="Arial" w:cs="Arial"/>
          <w:sz w:val="22"/>
          <w:szCs w:val="22"/>
          <w:lang w:val="en-US"/>
        </w:rPr>
        <w:t>)</w:t>
      </w:r>
      <w:r w:rsidR="00623F06" w:rsidRPr="00E8542D">
        <w:rPr>
          <w:rFonts w:ascii="Arial" w:hAnsi="Arial" w:cs="Arial"/>
          <w:sz w:val="22"/>
          <w:szCs w:val="22"/>
          <w:lang w:val="en-US"/>
        </w:rPr>
        <w:t xml:space="preserve">, </w:t>
      </w:r>
      <w:r w:rsidR="00623F06" w:rsidRPr="008C7FCA">
        <w:rPr>
          <w:rFonts w:ascii="Arial" w:hAnsi="Arial" w:cs="Arial"/>
          <w:sz w:val="22"/>
          <w:szCs w:val="22"/>
          <w:lang w:val="en-US"/>
        </w:rPr>
        <w:t xml:space="preserve">an additional </w:t>
      </w:r>
      <w:r w:rsidR="000B4747">
        <w:rPr>
          <w:rFonts w:ascii="Arial" w:hAnsi="Arial" w:cs="Arial"/>
          <w:sz w:val="22"/>
          <w:szCs w:val="22"/>
          <w:lang w:val="en-US"/>
        </w:rPr>
        <w:t>three</w:t>
      </w:r>
      <w:r w:rsidR="00623F06" w:rsidRPr="008C7FCA">
        <w:rPr>
          <w:rFonts w:ascii="Arial" w:hAnsi="Arial" w:cs="Arial"/>
          <w:sz w:val="22"/>
          <w:szCs w:val="22"/>
          <w:lang w:val="en-US"/>
        </w:rPr>
        <w:t xml:space="preserve"> patients had unconfirmed partial responses (Figure 3). </w:t>
      </w:r>
      <w:r w:rsidR="00F608C7" w:rsidRPr="00A3163A">
        <w:rPr>
          <w:rFonts w:ascii="Arial" w:hAnsi="Arial" w:cs="Arial"/>
          <w:sz w:val="22"/>
          <w:szCs w:val="22"/>
          <w:lang w:val="en-US"/>
        </w:rPr>
        <w:t xml:space="preserve">Four of the protocol specified first </w:t>
      </w:r>
      <w:r w:rsidR="00F03955" w:rsidRPr="00442EF7">
        <w:rPr>
          <w:rFonts w:ascii="Arial" w:hAnsi="Arial" w:cs="Arial"/>
          <w:sz w:val="22"/>
          <w:szCs w:val="22"/>
          <w:lang w:val="en-US"/>
        </w:rPr>
        <w:t>16 evaluable patients</w:t>
      </w:r>
      <w:r w:rsidR="00F608C7" w:rsidRPr="00442EF7">
        <w:rPr>
          <w:rFonts w:ascii="Arial" w:hAnsi="Arial" w:cs="Arial"/>
          <w:sz w:val="22"/>
          <w:szCs w:val="22"/>
          <w:lang w:val="en-US"/>
        </w:rPr>
        <w:t xml:space="preserve"> responded</w:t>
      </w:r>
      <w:r w:rsidR="000C5133">
        <w:rPr>
          <w:rFonts w:ascii="Arial" w:hAnsi="Arial" w:cs="Arial"/>
          <w:sz w:val="22"/>
          <w:szCs w:val="22"/>
          <w:lang w:val="en-US"/>
        </w:rPr>
        <w:t xml:space="preserve"> (RR=25</w:t>
      </w:r>
      <w:r w:rsidR="000A4DE2">
        <w:rPr>
          <w:rFonts w:ascii="Arial" w:hAnsi="Arial" w:cs="Arial"/>
          <w:sz w:val="22"/>
          <w:szCs w:val="22"/>
          <w:lang w:val="en-US"/>
        </w:rPr>
        <w:t>.0</w:t>
      </w:r>
      <w:r w:rsidR="000C5133">
        <w:rPr>
          <w:rFonts w:ascii="Arial" w:hAnsi="Arial" w:cs="Arial"/>
          <w:sz w:val="22"/>
          <w:szCs w:val="22"/>
          <w:lang w:val="en-US"/>
        </w:rPr>
        <w:t>%, 95%CI</w:t>
      </w:r>
      <w:r w:rsidR="000A4DE2">
        <w:rPr>
          <w:rFonts w:ascii="Arial" w:hAnsi="Arial" w:cs="Arial"/>
          <w:sz w:val="22"/>
          <w:szCs w:val="22"/>
          <w:lang w:val="en-US"/>
        </w:rPr>
        <w:t>,</w:t>
      </w:r>
      <w:r w:rsidR="000C5133">
        <w:rPr>
          <w:rFonts w:ascii="Arial" w:hAnsi="Arial" w:cs="Arial"/>
          <w:sz w:val="22"/>
          <w:szCs w:val="22"/>
          <w:lang w:val="en-US"/>
        </w:rPr>
        <w:t>7.3</w:t>
      </w:r>
      <w:r w:rsidR="00EB42B2">
        <w:rPr>
          <w:rFonts w:ascii="Arial" w:hAnsi="Arial" w:cs="Arial"/>
          <w:sz w:val="22"/>
          <w:szCs w:val="22"/>
          <w:lang w:val="en-US"/>
        </w:rPr>
        <w:t>-</w:t>
      </w:r>
      <w:r w:rsidR="000C5133">
        <w:rPr>
          <w:rFonts w:ascii="Arial" w:hAnsi="Arial" w:cs="Arial"/>
          <w:sz w:val="22"/>
          <w:szCs w:val="22"/>
          <w:lang w:val="en-US"/>
        </w:rPr>
        <w:t>52</w:t>
      </w:r>
      <w:r w:rsidR="008A08BA">
        <w:rPr>
          <w:rFonts w:ascii="Arial" w:hAnsi="Arial" w:cs="Arial"/>
          <w:sz w:val="22"/>
          <w:szCs w:val="22"/>
          <w:lang w:val="en-US"/>
        </w:rPr>
        <w:t>.4</w:t>
      </w:r>
      <w:r w:rsidR="00EB42B2">
        <w:rPr>
          <w:rFonts w:ascii="Arial" w:hAnsi="Arial" w:cs="Arial"/>
          <w:sz w:val="22"/>
          <w:szCs w:val="22"/>
          <w:lang w:val="en-US"/>
        </w:rPr>
        <w:t>%</w:t>
      </w:r>
      <w:r w:rsidR="000C5133">
        <w:rPr>
          <w:rFonts w:ascii="Arial" w:hAnsi="Arial" w:cs="Arial"/>
          <w:sz w:val="22"/>
          <w:szCs w:val="22"/>
          <w:lang w:val="en-US"/>
        </w:rPr>
        <w:t>)</w:t>
      </w:r>
      <w:r w:rsidR="00623F06" w:rsidRPr="00442EF7">
        <w:rPr>
          <w:rFonts w:ascii="Arial" w:hAnsi="Arial" w:cs="Arial"/>
          <w:sz w:val="22"/>
          <w:szCs w:val="22"/>
          <w:lang w:val="en-US"/>
        </w:rPr>
        <w:t xml:space="preserve">. </w:t>
      </w:r>
      <w:r w:rsidR="00E70904" w:rsidRPr="008C7FCA">
        <w:rPr>
          <w:rFonts w:ascii="Arial" w:hAnsi="Arial" w:cs="Arial"/>
          <w:sz w:val="22"/>
          <w:szCs w:val="22"/>
          <w:lang w:val="en-US"/>
        </w:rPr>
        <w:t xml:space="preserve">One patient had a complete </w:t>
      </w:r>
      <w:r w:rsidR="00E70904" w:rsidRPr="008C7FCA">
        <w:rPr>
          <w:rFonts w:ascii="Arial" w:hAnsi="Arial" w:cs="Arial"/>
          <w:sz w:val="22"/>
          <w:szCs w:val="22"/>
          <w:lang w:val="en-US"/>
        </w:rPr>
        <w:lastRenderedPageBreak/>
        <w:t>response,</w:t>
      </w:r>
      <w:r w:rsidR="001F1D78" w:rsidRPr="008C7FCA">
        <w:rPr>
          <w:rFonts w:ascii="Arial" w:hAnsi="Arial" w:cs="Arial"/>
          <w:sz w:val="22"/>
          <w:szCs w:val="22"/>
          <w:lang w:val="en-US"/>
        </w:rPr>
        <w:t xml:space="preserve"> ongoing at 2</w:t>
      </w:r>
      <w:r w:rsidR="000C5133">
        <w:rPr>
          <w:rFonts w:ascii="Arial" w:hAnsi="Arial" w:cs="Arial"/>
          <w:sz w:val="22"/>
          <w:szCs w:val="22"/>
          <w:lang w:val="en-US"/>
        </w:rPr>
        <w:t>9</w:t>
      </w:r>
      <w:r w:rsidR="001F1D78" w:rsidRPr="008C7FCA">
        <w:rPr>
          <w:rFonts w:ascii="Arial" w:hAnsi="Arial" w:cs="Arial"/>
          <w:sz w:val="22"/>
          <w:szCs w:val="22"/>
          <w:lang w:val="en-US"/>
        </w:rPr>
        <w:t xml:space="preserve"> months duration</w:t>
      </w:r>
      <w:r w:rsidR="00623F06" w:rsidRPr="008C7FCA">
        <w:rPr>
          <w:rFonts w:ascii="Arial" w:hAnsi="Arial" w:cs="Arial"/>
          <w:sz w:val="22"/>
          <w:szCs w:val="22"/>
          <w:lang w:val="en-US"/>
        </w:rPr>
        <w:t>.</w:t>
      </w:r>
      <w:r w:rsidR="00E70904" w:rsidRPr="008C7FCA">
        <w:rPr>
          <w:rFonts w:ascii="Arial" w:hAnsi="Arial" w:cs="Arial"/>
          <w:sz w:val="22"/>
          <w:szCs w:val="22"/>
          <w:lang w:val="en-US"/>
        </w:rPr>
        <w:t xml:space="preserve"> </w:t>
      </w:r>
      <w:r w:rsidR="001F1D78" w:rsidRPr="008C7FCA">
        <w:rPr>
          <w:rFonts w:ascii="Arial" w:hAnsi="Arial" w:cs="Arial"/>
          <w:sz w:val="22"/>
          <w:szCs w:val="22"/>
          <w:lang w:val="en-US"/>
        </w:rPr>
        <w:t>M</w:t>
      </w:r>
      <w:r w:rsidR="00F03955" w:rsidRPr="008C7FCA">
        <w:rPr>
          <w:rFonts w:ascii="Arial" w:hAnsi="Arial" w:cs="Arial"/>
          <w:sz w:val="22"/>
          <w:szCs w:val="22"/>
          <w:lang w:val="en-US"/>
        </w:rPr>
        <w:t xml:space="preserve">edian duration of response was </w:t>
      </w:r>
      <w:r w:rsidR="000C5133">
        <w:rPr>
          <w:rFonts w:ascii="Arial" w:hAnsi="Arial" w:cs="Arial"/>
          <w:sz w:val="22"/>
          <w:szCs w:val="22"/>
          <w:lang w:val="en-US"/>
        </w:rPr>
        <w:t>5.7</w:t>
      </w:r>
      <w:r w:rsidR="00F03955" w:rsidRPr="008C7FCA">
        <w:rPr>
          <w:rFonts w:ascii="Arial" w:hAnsi="Arial" w:cs="Arial"/>
          <w:sz w:val="22"/>
          <w:szCs w:val="22"/>
          <w:lang w:val="en-US"/>
        </w:rPr>
        <w:t xml:space="preserve"> months (IQR</w:t>
      </w:r>
      <w:r w:rsidR="000A4DE2">
        <w:rPr>
          <w:rFonts w:ascii="Arial" w:hAnsi="Arial" w:cs="Arial"/>
          <w:sz w:val="22"/>
          <w:szCs w:val="22"/>
          <w:lang w:val="en-US"/>
        </w:rPr>
        <w:t>:</w:t>
      </w:r>
      <w:r w:rsidR="00F03955" w:rsidRPr="008C7FCA">
        <w:rPr>
          <w:rFonts w:ascii="Arial" w:hAnsi="Arial" w:cs="Arial"/>
          <w:sz w:val="22"/>
          <w:szCs w:val="22"/>
          <w:lang w:val="en-US"/>
        </w:rPr>
        <w:t xml:space="preserve"> 3.7-9.</w:t>
      </w:r>
      <w:r w:rsidR="00C26D0D">
        <w:rPr>
          <w:rFonts w:ascii="Arial" w:hAnsi="Arial" w:cs="Arial"/>
          <w:sz w:val="22"/>
          <w:szCs w:val="22"/>
          <w:lang w:val="en-US"/>
        </w:rPr>
        <w:t>7</w:t>
      </w:r>
      <w:r w:rsidR="00F03955" w:rsidRPr="008C7FCA">
        <w:rPr>
          <w:rFonts w:ascii="Arial" w:hAnsi="Arial" w:cs="Arial"/>
          <w:sz w:val="22"/>
          <w:szCs w:val="22"/>
          <w:lang w:val="en-US"/>
        </w:rPr>
        <w:t xml:space="preserve"> months) with </w:t>
      </w:r>
      <w:r w:rsidR="000B4747">
        <w:rPr>
          <w:rFonts w:ascii="Arial" w:hAnsi="Arial" w:cs="Arial"/>
          <w:sz w:val="22"/>
          <w:szCs w:val="22"/>
          <w:lang w:val="en-US"/>
        </w:rPr>
        <w:t>three</w:t>
      </w:r>
      <w:r w:rsidR="00F03955" w:rsidRPr="008C7FCA">
        <w:rPr>
          <w:rFonts w:ascii="Arial" w:hAnsi="Arial" w:cs="Arial"/>
          <w:sz w:val="22"/>
          <w:szCs w:val="22"/>
          <w:lang w:val="en-US"/>
        </w:rPr>
        <w:t xml:space="preserve"> patients continuing on</w:t>
      </w:r>
      <w:r w:rsidR="00843426">
        <w:rPr>
          <w:rFonts w:ascii="Arial" w:hAnsi="Arial" w:cs="Arial"/>
          <w:sz w:val="22"/>
          <w:szCs w:val="22"/>
          <w:lang w:val="en-US"/>
        </w:rPr>
        <w:t>-</w:t>
      </w:r>
      <w:r w:rsidR="00F03955" w:rsidRPr="008C7FCA">
        <w:rPr>
          <w:rFonts w:ascii="Arial" w:hAnsi="Arial" w:cs="Arial"/>
          <w:sz w:val="22"/>
          <w:szCs w:val="22"/>
          <w:lang w:val="en-US"/>
        </w:rPr>
        <w:t xml:space="preserve">treatment. </w:t>
      </w:r>
      <w:r w:rsidR="00C26D0D">
        <w:rPr>
          <w:rFonts w:ascii="Arial" w:hAnsi="Arial" w:cs="Arial"/>
          <w:sz w:val="22"/>
          <w:szCs w:val="22"/>
          <w:lang w:val="en-US"/>
        </w:rPr>
        <w:t>Clinical benefit rate was 45</w:t>
      </w:r>
      <w:r w:rsidR="000A4DE2">
        <w:rPr>
          <w:rFonts w:ascii="Arial" w:hAnsi="Arial" w:cs="Arial"/>
          <w:sz w:val="22"/>
          <w:szCs w:val="22"/>
          <w:lang w:val="en-US"/>
        </w:rPr>
        <w:t>.0</w:t>
      </w:r>
      <w:r w:rsidR="00C26D0D">
        <w:rPr>
          <w:rFonts w:ascii="Arial" w:hAnsi="Arial" w:cs="Arial"/>
          <w:sz w:val="22"/>
          <w:szCs w:val="22"/>
          <w:lang w:val="en-US"/>
        </w:rPr>
        <w:t>% (95%CI</w:t>
      </w:r>
      <w:r w:rsidR="00F22319">
        <w:rPr>
          <w:rFonts w:ascii="Arial" w:hAnsi="Arial" w:cs="Arial"/>
          <w:sz w:val="22"/>
          <w:szCs w:val="22"/>
          <w:lang w:val="en-US"/>
        </w:rPr>
        <w:t>,</w:t>
      </w:r>
      <w:r w:rsidR="00C26D0D">
        <w:rPr>
          <w:rFonts w:ascii="Arial" w:hAnsi="Arial" w:cs="Arial"/>
          <w:sz w:val="22"/>
          <w:szCs w:val="22"/>
          <w:lang w:val="en-US"/>
        </w:rPr>
        <w:t>23.1</w:t>
      </w:r>
      <w:r w:rsidR="00EB42B2">
        <w:rPr>
          <w:rFonts w:ascii="Arial" w:hAnsi="Arial" w:cs="Arial"/>
          <w:sz w:val="22"/>
          <w:szCs w:val="22"/>
          <w:lang w:val="en-US"/>
        </w:rPr>
        <w:t>-</w:t>
      </w:r>
      <w:r w:rsidR="00C26D0D">
        <w:rPr>
          <w:rFonts w:ascii="Arial" w:hAnsi="Arial" w:cs="Arial"/>
          <w:sz w:val="22"/>
          <w:szCs w:val="22"/>
          <w:lang w:val="en-US"/>
        </w:rPr>
        <w:t>68</w:t>
      </w:r>
      <w:r w:rsidR="008A08BA">
        <w:rPr>
          <w:rFonts w:ascii="Arial" w:hAnsi="Arial" w:cs="Arial"/>
          <w:sz w:val="22"/>
          <w:szCs w:val="22"/>
          <w:lang w:val="en-US"/>
        </w:rPr>
        <w:t>.5</w:t>
      </w:r>
      <w:r w:rsidR="00EB42B2">
        <w:rPr>
          <w:rFonts w:ascii="Arial" w:hAnsi="Arial" w:cs="Arial"/>
          <w:sz w:val="22"/>
          <w:szCs w:val="22"/>
          <w:lang w:val="en-US"/>
        </w:rPr>
        <w:t>%</w:t>
      </w:r>
      <w:r w:rsidR="000B4747">
        <w:rPr>
          <w:rFonts w:ascii="Arial" w:hAnsi="Arial" w:cs="Arial"/>
          <w:sz w:val="22"/>
          <w:szCs w:val="22"/>
          <w:lang w:val="en-US"/>
        </w:rPr>
        <w:t>;9/20 patients).</w:t>
      </w:r>
      <w:r w:rsidR="00C26D0D">
        <w:rPr>
          <w:rFonts w:ascii="Arial" w:hAnsi="Arial" w:cs="Arial"/>
          <w:sz w:val="22"/>
          <w:szCs w:val="22"/>
          <w:lang w:val="en-US"/>
        </w:rPr>
        <w:t xml:space="preserve"> </w:t>
      </w:r>
      <w:r w:rsidR="00D664F6" w:rsidRPr="00D664F6">
        <w:rPr>
          <w:rFonts w:ascii="Arial" w:hAnsi="Arial" w:cs="Arial"/>
          <w:sz w:val="22"/>
          <w:szCs w:val="22"/>
          <w:lang w:val="en-US"/>
        </w:rPr>
        <w:t xml:space="preserve">A total of 16/21 (76.2%) patients have </w:t>
      </w:r>
      <w:r w:rsidR="00D664F6">
        <w:rPr>
          <w:rFonts w:ascii="Arial" w:hAnsi="Arial" w:cs="Arial"/>
          <w:sz w:val="22"/>
          <w:szCs w:val="22"/>
          <w:lang w:val="en-US"/>
        </w:rPr>
        <w:t xml:space="preserve">had </w:t>
      </w:r>
      <w:r w:rsidR="00D664F6" w:rsidRPr="00D664F6">
        <w:rPr>
          <w:rFonts w:ascii="Arial" w:hAnsi="Arial" w:cs="Arial"/>
          <w:sz w:val="22"/>
          <w:szCs w:val="22"/>
          <w:lang w:val="en-US"/>
        </w:rPr>
        <w:t xml:space="preserve">a RECIST-confirmed progression event or death. </w:t>
      </w:r>
      <w:r w:rsidR="001F1D78" w:rsidRPr="00A3163A">
        <w:rPr>
          <w:rFonts w:ascii="Arial" w:hAnsi="Arial" w:cs="Arial"/>
          <w:sz w:val="22"/>
          <w:szCs w:val="22"/>
          <w:lang w:val="en-US"/>
        </w:rPr>
        <w:t xml:space="preserve">Median </w:t>
      </w:r>
      <w:r w:rsidR="00C26D0D">
        <w:rPr>
          <w:rFonts w:ascii="Arial" w:hAnsi="Arial" w:cs="Arial"/>
          <w:sz w:val="22"/>
          <w:szCs w:val="22"/>
          <w:lang w:val="en-US"/>
        </w:rPr>
        <w:t>PFS</w:t>
      </w:r>
      <w:r w:rsidR="001F1D78" w:rsidRPr="00A3163A">
        <w:rPr>
          <w:rFonts w:ascii="Arial" w:hAnsi="Arial" w:cs="Arial"/>
          <w:sz w:val="22"/>
          <w:szCs w:val="22"/>
          <w:lang w:val="en-US"/>
        </w:rPr>
        <w:t xml:space="preserve"> was </w:t>
      </w:r>
      <w:r w:rsidR="004009E1" w:rsidRPr="004009E1">
        <w:rPr>
          <w:rFonts w:ascii="Arial" w:hAnsi="Arial" w:cs="Arial"/>
          <w:sz w:val="22"/>
          <w:szCs w:val="22"/>
        </w:rPr>
        <w:t>5.4 months (</w:t>
      </w:r>
      <w:r w:rsidR="00CE7C80">
        <w:rPr>
          <w:rFonts w:ascii="Arial" w:hAnsi="Arial" w:cs="Arial"/>
          <w:sz w:val="22"/>
          <w:szCs w:val="22"/>
        </w:rPr>
        <w:t>IQR:</w:t>
      </w:r>
      <w:r w:rsidR="00F23593">
        <w:rPr>
          <w:rFonts w:ascii="Arial" w:hAnsi="Arial" w:cs="Arial"/>
          <w:sz w:val="22"/>
          <w:szCs w:val="22"/>
        </w:rPr>
        <w:t xml:space="preserve"> </w:t>
      </w:r>
      <w:r w:rsidR="004009E1" w:rsidRPr="004009E1">
        <w:rPr>
          <w:rFonts w:ascii="Arial" w:hAnsi="Arial" w:cs="Arial"/>
          <w:sz w:val="22"/>
          <w:szCs w:val="22"/>
        </w:rPr>
        <w:t>3.4</w:t>
      </w:r>
      <w:r w:rsidR="00CE7C80">
        <w:rPr>
          <w:rFonts w:ascii="Arial" w:hAnsi="Arial" w:cs="Arial"/>
          <w:sz w:val="22"/>
          <w:szCs w:val="22"/>
        </w:rPr>
        <w:t>-</w:t>
      </w:r>
      <w:r w:rsidR="004009E1" w:rsidRPr="004009E1">
        <w:rPr>
          <w:rFonts w:ascii="Arial" w:hAnsi="Arial" w:cs="Arial"/>
          <w:sz w:val="22"/>
          <w:szCs w:val="22"/>
        </w:rPr>
        <w:t>9.1</w:t>
      </w:r>
      <w:r w:rsidR="004009E1">
        <w:rPr>
          <w:rFonts w:ascii="Arial" w:hAnsi="Arial" w:cs="Arial"/>
          <w:sz w:val="22"/>
          <w:szCs w:val="22"/>
        </w:rPr>
        <w:t>,</w:t>
      </w:r>
      <w:r w:rsidR="001F1D78" w:rsidRPr="00442EF7">
        <w:rPr>
          <w:rFonts w:ascii="Arial" w:hAnsi="Arial" w:cs="Arial"/>
          <w:sz w:val="22"/>
          <w:szCs w:val="22"/>
          <w:lang w:val="en-US"/>
        </w:rPr>
        <w:t xml:space="preserve"> </w:t>
      </w:r>
      <w:r w:rsidR="00623689">
        <w:rPr>
          <w:rFonts w:ascii="Arial" w:hAnsi="Arial" w:cs="Arial"/>
          <w:sz w:val="22"/>
          <w:szCs w:val="22"/>
          <w:lang w:val="en-US"/>
        </w:rPr>
        <w:t>appendix p</w:t>
      </w:r>
      <w:r w:rsidR="000359B3">
        <w:rPr>
          <w:rFonts w:ascii="Arial" w:hAnsi="Arial" w:cs="Arial"/>
          <w:sz w:val="22"/>
          <w:szCs w:val="22"/>
          <w:lang w:val="en-US"/>
        </w:rPr>
        <w:t>23</w:t>
      </w:r>
      <w:r w:rsidR="001F1D78" w:rsidRPr="00442EF7">
        <w:rPr>
          <w:rFonts w:ascii="Arial" w:hAnsi="Arial" w:cs="Arial"/>
          <w:sz w:val="22"/>
          <w:szCs w:val="22"/>
          <w:lang w:val="en-US"/>
        </w:rPr>
        <w:t>)</w:t>
      </w:r>
      <w:r w:rsidR="00E27496" w:rsidRPr="00E8542D">
        <w:rPr>
          <w:rFonts w:ascii="Arial" w:hAnsi="Arial" w:cs="Arial"/>
          <w:sz w:val="22"/>
          <w:szCs w:val="22"/>
          <w:lang w:val="en-US"/>
        </w:rPr>
        <w:t>.</w:t>
      </w:r>
      <w:r w:rsidR="001F1D78" w:rsidRPr="008C7FCA">
        <w:rPr>
          <w:rFonts w:ascii="Arial" w:hAnsi="Arial" w:cs="Arial"/>
          <w:sz w:val="22"/>
          <w:szCs w:val="22"/>
          <w:lang w:val="en-US"/>
        </w:rPr>
        <w:t xml:space="preserve"> </w:t>
      </w:r>
      <w:r w:rsidR="00386842">
        <w:rPr>
          <w:rFonts w:ascii="Arial" w:hAnsi="Arial" w:cs="Arial"/>
          <w:sz w:val="22"/>
          <w:szCs w:val="22"/>
          <w:lang w:val="en-US"/>
        </w:rPr>
        <w:t>I</w:t>
      </w:r>
      <w:r w:rsidR="000979BF" w:rsidRPr="008C7FCA">
        <w:rPr>
          <w:rFonts w:ascii="Arial" w:hAnsi="Arial" w:cs="Arial"/>
          <w:sz w:val="22"/>
          <w:szCs w:val="22"/>
          <w:lang w:val="en-US"/>
        </w:rPr>
        <w:t>n the subset of patients with HR</w:t>
      </w:r>
      <w:r w:rsidR="00F22319">
        <w:rPr>
          <w:rFonts w:ascii="Arial" w:hAnsi="Arial" w:cs="Arial"/>
          <w:sz w:val="22"/>
          <w:szCs w:val="22"/>
          <w:lang w:val="en-US"/>
        </w:rPr>
        <w:t xml:space="preserve">-positive </w:t>
      </w:r>
      <w:r w:rsidR="000979BF" w:rsidRPr="008C7FCA">
        <w:rPr>
          <w:rFonts w:ascii="Arial" w:hAnsi="Arial" w:cs="Arial"/>
          <w:sz w:val="22"/>
          <w:szCs w:val="22"/>
          <w:lang w:val="en-US"/>
        </w:rPr>
        <w:t>HER2-</w:t>
      </w:r>
      <w:r w:rsidR="00F22319">
        <w:rPr>
          <w:rFonts w:ascii="Arial" w:hAnsi="Arial" w:cs="Arial"/>
          <w:sz w:val="22"/>
          <w:szCs w:val="22"/>
          <w:lang w:val="en-US"/>
        </w:rPr>
        <w:t>negative</w:t>
      </w:r>
      <w:r w:rsidR="000979BF" w:rsidRPr="008C7FCA">
        <w:rPr>
          <w:rFonts w:ascii="Arial" w:hAnsi="Arial" w:cs="Arial"/>
          <w:sz w:val="22"/>
          <w:szCs w:val="22"/>
          <w:lang w:val="en-US"/>
        </w:rPr>
        <w:t xml:space="preserve"> breast cancer treated with neratinib </w:t>
      </w:r>
      <w:r w:rsidR="00F22319">
        <w:rPr>
          <w:rFonts w:ascii="Arial" w:hAnsi="Arial" w:cs="Arial"/>
          <w:sz w:val="22"/>
          <w:szCs w:val="22"/>
          <w:lang w:val="en-US"/>
        </w:rPr>
        <w:t xml:space="preserve">and </w:t>
      </w:r>
      <w:r w:rsidR="000979BF" w:rsidRPr="00921A9E">
        <w:rPr>
          <w:rFonts w:ascii="Arial" w:hAnsi="Arial" w:cs="Arial"/>
          <w:sz w:val="22"/>
          <w:szCs w:val="22"/>
          <w:lang w:val="en-US"/>
        </w:rPr>
        <w:t xml:space="preserve">fulvestrant </w:t>
      </w:r>
      <w:r w:rsidR="00386842" w:rsidRPr="00921A9E">
        <w:rPr>
          <w:rFonts w:ascii="Arial" w:hAnsi="Arial" w:cs="Arial"/>
          <w:sz w:val="22"/>
          <w:szCs w:val="22"/>
          <w:lang w:val="en-US"/>
        </w:rPr>
        <w:t xml:space="preserve">there was a </w:t>
      </w:r>
      <w:r w:rsidR="002C7EED" w:rsidRPr="00921A9E">
        <w:rPr>
          <w:rFonts w:ascii="Arial" w:hAnsi="Arial" w:cs="Arial"/>
          <w:sz w:val="22"/>
          <w:szCs w:val="22"/>
          <w:lang w:val="en-US"/>
        </w:rPr>
        <w:t>2</w:t>
      </w:r>
      <w:r w:rsidR="008A08BA" w:rsidRPr="00921A9E">
        <w:rPr>
          <w:rFonts w:ascii="Arial" w:hAnsi="Arial" w:cs="Arial"/>
          <w:sz w:val="22"/>
          <w:szCs w:val="22"/>
          <w:lang w:val="en-US"/>
        </w:rPr>
        <w:t>3.5</w:t>
      </w:r>
      <w:r w:rsidR="002C7EED" w:rsidRPr="00921A9E">
        <w:rPr>
          <w:rFonts w:ascii="Arial" w:hAnsi="Arial" w:cs="Arial"/>
          <w:sz w:val="22"/>
          <w:szCs w:val="22"/>
          <w:lang w:val="en-US"/>
        </w:rPr>
        <w:t>% response rate</w:t>
      </w:r>
      <w:r w:rsidR="00386842" w:rsidRPr="00921A9E">
        <w:rPr>
          <w:rFonts w:ascii="Arial" w:hAnsi="Arial" w:cs="Arial"/>
          <w:sz w:val="22"/>
          <w:szCs w:val="22"/>
          <w:lang w:val="en-US"/>
        </w:rPr>
        <w:t xml:space="preserve"> (</w:t>
      </w:r>
      <w:r w:rsidR="00F23593" w:rsidRPr="00921A9E">
        <w:rPr>
          <w:rFonts w:ascii="Arial" w:hAnsi="Arial" w:cs="Arial"/>
          <w:sz w:val="22"/>
          <w:szCs w:val="22"/>
          <w:lang w:val="en-US"/>
        </w:rPr>
        <w:t>95%CI</w:t>
      </w:r>
      <w:r w:rsidR="00F22319" w:rsidRPr="00921A9E">
        <w:rPr>
          <w:rFonts w:ascii="Arial" w:hAnsi="Arial" w:cs="Arial"/>
          <w:sz w:val="22"/>
          <w:szCs w:val="22"/>
          <w:lang w:val="en-US"/>
        </w:rPr>
        <w:t>,</w:t>
      </w:r>
      <w:r w:rsidR="00F23593" w:rsidRPr="00921A9E">
        <w:rPr>
          <w:rFonts w:ascii="Arial" w:hAnsi="Arial" w:cs="Arial"/>
          <w:sz w:val="22"/>
          <w:szCs w:val="22"/>
          <w:lang w:val="en-US"/>
        </w:rPr>
        <w:t>6.8</w:t>
      </w:r>
      <w:r w:rsidR="002C7EED" w:rsidRPr="00921A9E">
        <w:rPr>
          <w:rFonts w:ascii="Arial" w:hAnsi="Arial" w:cs="Arial"/>
          <w:sz w:val="22"/>
          <w:szCs w:val="22"/>
          <w:lang w:val="en-US"/>
        </w:rPr>
        <w:t>-</w:t>
      </w:r>
      <w:r w:rsidR="00F23593" w:rsidRPr="00921A9E">
        <w:rPr>
          <w:rFonts w:ascii="Arial" w:hAnsi="Arial" w:cs="Arial"/>
          <w:sz w:val="22"/>
          <w:szCs w:val="22"/>
          <w:lang w:val="en-US"/>
        </w:rPr>
        <w:t xml:space="preserve">49.9;4/17, </w:t>
      </w:r>
      <w:r w:rsidR="00B66546" w:rsidRPr="00921A9E">
        <w:rPr>
          <w:rFonts w:ascii="Arial" w:hAnsi="Arial" w:cs="Arial"/>
          <w:sz w:val="22"/>
          <w:szCs w:val="22"/>
          <w:lang w:val="en-US"/>
        </w:rPr>
        <w:t xml:space="preserve">Figure </w:t>
      </w:r>
      <w:r w:rsidR="004833FC" w:rsidRPr="00921A9E">
        <w:rPr>
          <w:rFonts w:ascii="Arial" w:hAnsi="Arial" w:cs="Arial"/>
          <w:sz w:val="22"/>
          <w:szCs w:val="22"/>
          <w:lang w:val="en-US"/>
        </w:rPr>
        <w:t>3</w:t>
      </w:r>
      <w:r w:rsidR="000979BF" w:rsidRPr="00921A9E">
        <w:rPr>
          <w:rFonts w:ascii="Arial" w:hAnsi="Arial" w:cs="Arial"/>
          <w:sz w:val="22"/>
          <w:szCs w:val="22"/>
          <w:lang w:val="en-US"/>
        </w:rPr>
        <w:t xml:space="preserve">). </w:t>
      </w:r>
      <w:r w:rsidR="00CD577C" w:rsidRPr="00921A9E">
        <w:rPr>
          <w:rFonts w:ascii="Arial" w:hAnsi="Arial" w:cs="Arial"/>
          <w:sz w:val="22"/>
          <w:szCs w:val="22"/>
          <w:lang w:val="en-US"/>
        </w:rPr>
        <w:t>In an exploratory analysi</w:t>
      </w:r>
      <w:r w:rsidR="00CC45F0" w:rsidRPr="00921A9E">
        <w:rPr>
          <w:rFonts w:ascii="Arial" w:hAnsi="Arial" w:cs="Arial"/>
          <w:sz w:val="22"/>
          <w:szCs w:val="22"/>
          <w:lang w:val="en-US"/>
        </w:rPr>
        <w:t xml:space="preserve">s, </w:t>
      </w:r>
      <w:r w:rsidR="00213966" w:rsidRPr="00921A9E">
        <w:rPr>
          <w:rFonts w:ascii="Arial" w:hAnsi="Arial" w:cs="Arial"/>
          <w:sz w:val="22"/>
          <w:szCs w:val="22"/>
        </w:rPr>
        <w:t xml:space="preserve">16% (3/19) </w:t>
      </w:r>
      <w:r w:rsidR="00213966" w:rsidRPr="00921A9E">
        <w:rPr>
          <w:rFonts w:ascii="Arial" w:hAnsi="Arial" w:cs="Arial"/>
          <w:i/>
          <w:iCs/>
          <w:sz w:val="22"/>
          <w:szCs w:val="22"/>
        </w:rPr>
        <w:t>ERBB2</w:t>
      </w:r>
      <w:r w:rsidR="00213966" w:rsidRPr="00921A9E">
        <w:rPr>
          <w:rFonts w:ascii="Arial" w:hAnsi="Arial" w:cs="Arial"/>
          <w:sz w:val="22"/>
          <w:szCs w:val="22"/>
        </w:rPr>
        <w:t xml:space="preserve"> mutations were subclonal </w:t>
      </w:r>
      <w:r w:rsidR="00FE73BC" w:rsidRPr="00921A9E">
        <w:rPr>
          <w:rFonts w:ascii="Arial" w:hAnsi="Arial" w:cs="Arial"/>
          <w:sz w:val="22"/>
          <w:szCs w:val="22"/>
          <w:lang w:val="en-US"/>
        </w:rPr>
        <w:t>(</w:t>
      </w:r>
      <w:r w:rsidR="00623689" w:rsidRPr="00921A9E">
        <w:rPr>
          <w:rFonts w:ascii="Arial" w:hAnsi="Arial" w:cs="Arial"/>
          <w:sz w:val="22"/>
          <w:szCs w:val="22"/>
          <w:lang w:val="en-US"/>
        </w:rPr>
        <w:t>appendix p</w:t>
      </w:r>
      <w:r w:rsidR="000359B3" w:rsidRPr="00921A9E">
        <w:rPr>
          <w:rFonts w:ascii="Arial" w:hAnsi="Arial" w:cs="Arial"/>
          <w:sz w:val="22"/>
          <w:szCs w:val="22"/>
          <w:lang w:val="en-US"/>
        </w:rPr>
        <w:t>24</w:t>
      </w:r>
      <w:r w:rsidR="00FE73BC" w:rsidRPr="00921A9E">
        <w:rPr>
          <w:rFonts w:ascii="Arial" w:hAnsi="Arial" w:cs="Arial"/>
          <w:sz w:val="22"/>
          <w:szCs w:val="22"/>
          <w:lang w:val="en-US"/>
        </w:rPr>
        <w:t>)</w:t>
      </w:r>
      <w:r w:rsidR="00CD577C" w:rsidRPr="00921A9E">
        <w:rPr>
          <w:rFonts w:ascii="Arial" w:hAnsi="Arial" w:cs="Arial"/>
          <w:sz w:val="22"/>
          <w:szCs w:val="22"/>
          <w:lang w:val="en-US"/>
        </w:rPr>
        <w:t xml:space="preserve">. </w:t>
      </w:r>
      <w:r w:rsidR="00F03955" w:rsidRPr="00921A9E">
        <w:rPr>
          <w:rFonts w:ascii="Arial" w:hAnsi="Arial" w:cs="Arial"/>
          <w:sz w:val="22"/>
          <w:szCs w:val="22"/>
          <w:lang w:val="en-US"/>
        </w:rPr>
        <w:t>The most common grade 3</w:t>
      </w:r>
      <w:r w:rsidR="00484C3E" w:rsidRPr="00921A9E">
        <w:rPr>
          <w:rFonts w:ascii="Arial" w:hAnsi="Arial" w:cs="Arial"/>
          <w:sz w:val="22"/>
          <w:szCs w:val="22"/>
          <w:lang w:val="en-US"/>
        </w:rPr>
        <w:t>/</w:t>
      </w:r>
      <w:r w:rsidR="00F03955" w:rsidRPr="00921A9E">
        <w:rPr>
          <w:rFonts w:ascii="Arial" w:hAnsi="Arial" w:cs="Arial"/>
          <w:sz w:val="22"/>
          <w:szCs w:val="22"/>
          <w:lang w:val="en-US"/>
        </w:rPr>
        <w:t>4 adverse events were diarrh</w:t>
      </w:r>
      <w:r w:rsidR="009875BC" w:rsidRPr="00921A9E">
        <w:rPr>
          <w:rFonts w:ascii="Arial" w:hAnsi="Arial" w:cs="Arial"/>
          <w:sz w:val="22"/>
          <w:szCs w:val="22"/>
          <w:lang w:val="en-US"/>
        </w:rPr>
        <w:t>o</w:t>
      </w:r>
      <w:r w:rsidR="00F03955" w:rsidRPr="00921A9E">
        <w:rPr>
          <w:rFonts w:ascii="Arial" w:hAnsi="Arial" w:cs="Arial"/>
          <w:sz w:val="22"/>
          <w:szCs w:val="22"/>
          <w:lang w:val="en-US"/>
        </w:rPr>
        <w:t>ea (</w:t>
      </w:r>
      <w:r w:rsidR="0040034C" w:rsidRPr="00921A9E">
        <w:rPr>
          <w:rFonts w:ascii="Arial" w:hAnsi="Arial" w:cs="Arial"/>
          <w:sz w:val="22"/>
          <w:szCs w:val="22"/>
          <w:lang w:val="en-US"/>
        </w:rPr>
        <w:t xml:space="preserve">4/20, </w:t>
      </w:r>
      <w:r w:rsidR="00F03955" w:rsidRPr="00921A9E">
        <w:rPr>
          <w:rFonts w:ascii="Arial" w:hAnsi="Arial" w:cs="Arial"/>
          <w:sz w:val="22"/>
          <w:szCs w:val="22"/>
          <w:lang w:val="en-US"/>
        </w:rPr>
        <w:t>2</w:t>
      </w:r>
      <w:r w:rsidR="00315CBD" w:rsidRPr="00921A9E">
        <w:rPr>
          <w:rFonts w:ascii="Arial" w:hAnsi="Arial" w:cs="Arial"/>
          <w:sz w:val="22"/>
          <w:szCs w:val="22"/>
          <w:lang w:val="en-US"/>
        </w:rPr>
        <w:t>0</w:t>
      </w:r>
      <w:r w:rsidR="00E20FEE" w:rsidRPr="00921A9E">
        <w:rPr>
          <w:rFonts w:ascii="Arial" w:hAnsi="Arial" w:cs="Arial"/>
          <w:sz w:val="22"/>
          <w:szCs w:val="22"/>
          <w:lang w:val="en-US"/>
        </w:rPr>
        <w:t>.0</w:t>
      </w:r>
      <w:r w:rsidR="00F03955" w:rsidRPr="00921A9E">
        <w:rPr>
          <w:rFonts w:ascii="Arial" w:hAnsi="Arial" w:cs="Arial"/>
          <w:sz w:val="22"/>
          <w:szCs w:val="22"/>
          <w:lang w:val="en-US"/>
        </w:rPr>
        <w:t>%) and hypertension (</w:t>
      </w:r>
      <w:r w:rsidR="0040034C" w:rsidRPr="00921A9E">
        <w:rPr>
          <w:rFonts w:ascii="Arial" w:hAnsi="Arial" w:cs="Arial"/>
          <w:sz w:val="22"/>
          <w:szCs w:val="22"/>
          <w:lang w:val="en-US"/>
        </w:rPr>
        <w:t xml:space="preserve">3/20, </w:t>
      </w:r>
      <w:r w:rsidR="00F03955" w:rsidRPr="00921A9E">
        <w:rPr>
          <w:rFonts w:ascii="Arial" w:hAnsi="Arial" w:cs="Arial"/>
          <w:sz w:val="22"/>
          <w:szCs w:val="22"/>
          <w:lang w:val="en-US"/>
        </w:rPr>
        <w:t>1</w:t>
      </w:r>
      <w:r w:rsidR="00315CBD" w:rsidRPr="00921A9E">
        <w:rPr>
          <w:rFonts w:ascii="Arial" w:hAnsi="Arial" w:cs="Arial"/>
          <w:sz w:val="22"/>
          <w:szCs w:val="22"/>
          <w:lang w:val="en-US"/>
        </w:rPr>
        <w:t>5</w:t>
      </w:r>
      <w:r w:rsidR="00E20FEE" w:rsidRPr="00921A9E">
        <w:rPr>
          <w:rFonts w:ascii="Arial" w:hAnsi="Arial" w:cs="Arial"/>
          <w:sz w:val="22"/>
          <w:szCs w:val="22"/>
          <w:lang w:val="en-US"/>
        </w:rPr>
        <w:t>.0</w:t>
      </w:r>
      <w:r w:rsidR="00F03955" w:rsidRPr="00921A9E">
        <w:rPr>
          <w:rFonts w:ascii="Arial" w:hAnsi="Arial" w:cs="Arial"/>
          <w:sz w:val="22"/>
          <w:szCs w:val="22"/>
          <w:lang w:val="en-US"/>
        </w:rPr>
        <w:t>%)</w:t>
      </w:r>
      <w:r w:rsidR="00F0183B" w:rsidRPr="00921A9E">
        <w:rPr>
          <w:rFonts w:ascii="Arial" w:hAnsi="Arial" w:cs="Arial"/>
          <w:sz w:val="22"/>
          <w:szCs w:val="22"/>
          <w:lang w:val="en-US"/>
        </w:rPr>
        <w:t xml:space="preserve"> (</w:t>
      </w:r>
      <w:r w:rsidR="00623689" w:rsidRPr="00921A9E">
        <w:rPr>
          <w:rFonts w:ascii="Arial" w:hAnsi="Arial" w:cs="Arial"/>
          <w:sz w:val="22"/>
          <w:szCs w:val="22"/>
          <w:lang w:val="en-US"/>
        </w:rPr>
        <w:t>appendix p</w:t>
      </w:r>
      <w:r w:rsidR="000359B3" w:rsidRPr="00921A9E">
        <w:rPr>
          <w:rFonts w:ascii="Arial" w:hAnsi="Arial" w:cs="Arial"/>
          <w:sz w:val="22"/>
          <w:szCs w:val="22"/>
          <w:lang w:val="en-US"/>
        </w:rPr>
        <w:t>11</w:t>
      </w:r>
      <w:r w:rsidR="00F0183B" w:rsidRPr="00921A9E">
        <w:rPr>
          <w:rFonts w:ascii="Arial" w:hAnsi="Arial" w:cs="Arial"/>
          <w:sz w:val="22"/>
          <w:szCs w:val="22"/>
          <w:lang w:val="en-US"/>
        </w:rPr>
        <w:t>).</w:t>
      </w:r>
      <w:r w:rsidR="001B503A" w:rsidRPr="00921A9E">
        <w:rPr>
          <w:rFonts w:ascii="Arial" w:hAnsi="Arial" w:cs="Arial"/>
          <w:sz w:val="22"/>
          <w:szCs w:val="22"/>
          <w:lang w:val="en-US"/>
        </w:rPr>
        <w:t xml:space="preserve"> </w:t>
      </w:r>
      <w:r w:rsidR="00513CA7" w:rsidRPr="00921A9E">
        <w:rPr>
          <w:rFonts w:ascii="Arial" w:hAnsi="Arial" w:cs="Arial"/>
          <w:sz w:val="22"/>
          <w:szCs w:val="22"/>
          <w:lang w:val="en-US"/>
        </w:rPr>
        <w:t xml:space="preserve">Four serious adverse reactions </w:t>
      </w:r>
      <w:r w:rsidR="00FD77BC" w:rsidRPr="00921A9E">
        <w:rPr>
          <w:rFonts w:ascii="Arial" w:hAnsi="Arial" w:cs="Arial"/>
          <w:sz w:val="22"/>
          <w:szCs w:val="22"/>
          <w:lang w:val="en-US"/>
        </w:rPr>
        <w:t xml:space="preserve">were reported </w:t>
      </w:r>
      <w:r w:rsidR="00513CA7" w:rsidRPr="00921A9E">
        <w:rPr>
          <w:rFonts w:ascii="Arial" w:hAnsi="Arial" w:cs="Arial"/>
          <w:sz w:val="22"/>
          <w:szCs w:val="22"/>
          <w:lang w:val="en-US"/>
        </w:rPr>
        <w:t>in three patients (appendix p</w:t>
      </w:r>
      <w:r w:rsidR="000359B3" w:rsidRPr="00921A9E">
        <w:rPr>
          <w:rFonts w:ascii="Arial" w:hAnsi="Arial" w:cs="Arial"/>
          <w:sz w:val="22"/>
          <w:szCs w:val="22"/>
          <w:lang w:val="en-US"/>
        </w:rPr>
        <w:t>11</w:t>
      </w:r>
      <w:r w:rsidR="00513CA7" w:rsidRPr="00921A9E">
        <w:rPr>
          <w:rFonts w:ascii="Arial" w:hAnsi="Arial" w:cs="Arial"/>
          <w:sz w:val="22"/>
          <w:szCs w:val="22"/>
          <w:lang w:val="en-US"/>
        </w:rPr>
        <w:t>).  There were no treatment-related deaths</w:t>
      </w:r>
      <w:r w:rsidR="00E60CDE" w:rsidRPr="00921A9E">
        <w:rPr>
          <w:rFonts w:ascii="Arial" w:hAnsi="Arial" w:cs="Arial"/>
          <w:sz w:val="22"/>
          <w:szCs w:val="22"/>
          <w:lang w:val="en-US"/>
        </w:rPr>
        <w:t xml:space="preserve"> and 13/21 (61.9%) deaths reported (12 breast cancer and 1 unknown cause)</w:t>
      </w:r>
      <w:r w:rsidR="00513CA7" w:rsidRPr="00921A9E">
        <w:rPr>
          <w:rFonts w:ascii="Arial" w:hAnsi="Arial" w:cs="Arial"/>
          <w:sz w:val="22"/>
          <w:szCs w:val="22"/>
          <w:lang w:val="en-US"/>
        </w:rPr>
        <w:t xml:space="preserve">.  </w:t>
      </w:r>
      <w:r w:rsidR="00AE4F41" w:rsidRPr="00921A9E">
        <w:rPr>
          <w:rFonts w:ascii="Arial" w:hAnsi="Arial" w:cs="Arial"/>
          <w:sz w:val="22"/>
          <w:szCs w:val="22"/>
          <w:lang w:val="en-US"/>
        </w:rPr>
        <w:t>The main reason for treatment discontinuation was disease progression (16/17 (94.1%)</w:t>
      </w:r>
      <w:r w:rsidR="00B803E9" w:rsidRPr="00921A9E">
        <w:rPr>
          <w:rFonts w:ascii="Arial" w:hAnsi="Arial" w:cs="Arial"/>
          <w:sz w:val="22"/>
          <w:szCs w:val="22"/>
          <w:lang w:val="en-US"/>
        </w:rPr>
        <w:t>, appendix p</w:t>
      </w:r>
      <w:r w:rsidR="000359B3" w:rsidRPr="00921A9E">
        <w:rPr>
          <w:rFonts w:ascii="Arial" w:hAnsi="Arial" w:cs="Arial"/>
          <w:sz w:val="22"/>
          <w:szCs w:val="22"/>
          <w:lang w:val="en-US"/>
        </w:rPr>
        <w:t>8</w:t>
      </w:r>
      <w:r w:rsidR="00B803E9" w:rsidRPr="00921A9E">
        <w:rPr>
          <w:rFonts w:ascii="Arial" w:hAnsi="Arial" w:cs="Arial"/>
          <w:sz w:val="22"/>
          <w:szCs w:val="22"/>
          <w:lang w:val="en-US"/>
        </w:rPr>
        <w:t>)</w:t>
      </w:r>
      <w:r w:rsidR="00AE4F41" w:rsidRPr="00921A9E">
        <w:rPr>
          <w:rFonts w:ascii="Arial" w:hAnsi="Arial" w:cs="Arial"/>
          <w:sz w:val="22"/>
          <w:szCs w:val="22"/>
          <w:lang w:val="en-US"/>
        </w:rPr>
        <w:t>.  All 17 patients with ER-positive breast cancer who started treatment received all doses</w:t>
      </w:r>
      <w:r w:rsidR="00AE4F41">
        <w:rPr>
          <w:rFonts w:ascii="Arial" w:hAnsi="Arial" w:cs="Arial"/>
          <w:sz w:val="22"/>
          <w:szCs w:val="22"/>
          <w:lang w:val="en-US"/>
        </w:rPr>
        <w:t xml:space="preserve"> of fulvestrant.  </w:t>
      </w:r>
      <w:r w:rsidR="00AE4F41" w:rsidRPr="00AE4F41">
        <w:rPr>
          <w:rFonts w:ascii="Arial" w:hAnsi="Arial" w:cs="Arial"/>
          <w:sz w:val="22"/>
          <w:szCs w:val="22"/>
          <w:lang w:val="en-US"/>
        </w:rPr>
        <w:t>Neratinib dose was reduced to 160mg for 6/20 patients (30.0%)</w:t>
      </w:r>
      <w:r w:rsidR="007D66A6">
        <w:rPr>
          <w:rFonts w:ascii="Arial" w:hAnsi="Arial" w:cs="Arial"/>
          <w:sz w:val="22"/>
          <w:szCs w:val="22"/>
          <w:lang w:val="en-US"/>
        </w:rPr>
        <w:t>,</w:t>
      </w:r>
      <w:r w:rsidR="00AE4F41" w:rsidRPr="00AE4F41">
        <w:rPr>
          <w:rFonts w:ascii="Arial" w:hAnsi="Arial" w:cs="Arial"/>
          <w:sz w:val="22"/>
          <w:szCs w:val="22"/>
          <w:lang w:val="en-US"/>
        </w:rPr>
        <w:t xml:space="preserve"> of which 1 patient also reduced to 120mg following a reduction to 160mg</w:t>
      </w:r>
      <w:r w:rsidR="007D66A6">
        <w:rPr>
          <w:rFonts w:ascii="Arial" w:hAnsi="Arial" w:cs="Arial"/>
          <w:sz w:val="22"/>
          <w:szCs w:val="22"/>
          <w:lang w:val="en-US"/>
        </w:rPr>
        <w:t>, with</w:t>
      </w:r>
      <w:r w:rsidR="00AE4F41" w:rsidRPr="00AE4F41">
        <w:rPr>
          <w:rFonts w:ascii="Arial" w:hAnsi="Arial" w:cs="Arial"/>
          <w:sz w:val="22"/>
          <w:szCs w:val="22"/>
          <w:lang w:val="en-US"/>
        </w:rPr>
        <w:t xml:space="preserve">  </w:t>
      </w:r>
      <w:r w:rsidR="007D66A6">
        <w:rPr>
          <w:rFonts w:ascii="Arial" w:hAnsi="Arial" w:cs="Arial"/>
          <w:sz w:val="22"/>
          <w:szCs w:val="22"/>
          <w:lang w:val="en-US"/>
        </w:rPr>
        <w:t>t</w:t>
      </w:r>
      <w:r w:rsidR="00AE4F41" w:rsidRPr="00AE4F41">
        <w:rPr>
          <w:rFonts w:ascii="Arial" w:hAnsi="Arial" w:cs="Arial"/>
          <w:sz w:val="22"/>
          <w:szCs w:val="22"/>
          <w:lang w:val="en-US"/>
        </w:rPr>
        <w:t xml:space="preserve">he main reason </w:t>
      </w:r>
      <w:r w:rsidR="007D66A6">
        <w:rPr>
          <w:rFonts w:ascii="Arial" w:hAnsi="Arial" w:cs="Arial"/>
          <w:sz w:val="22"/>
          <w:szCs w:val="22"/>
          <w:lang w:val="en-US"/>
        </w:rPr>
        <w:t>being</w:t>
      </w:r>
      <w:r w:rsidR="00AE4F41" w:rsidRPr="00AE4F41">
        <w:rPr>
          <w:rFonts w:ascii="Arial" w:hAnsi="Arial" w:cs="Arial"/>
          <w:sz w:val="22"/>
          <w:szCs w:val="22"/>
          <w:lang w:val="en-US"/>
        </w:rPr>
        <w:t xml:space="preserve"> </w:t>
      </w:r>
      <w:r w:rsidR="007D66A6">
        <w:rPr>
          <w:rFonts w:ascii="Arial" w:hAnsi="Arial" w:cs="Arial"/>
          <w:sz w:val="22"/>
          <w:szCs w:val="22"/>
          <w:lang w:val="en-US"/>
        </w:rPr>
        <w:t>adverse events</w:t>
      </w:r>
      <w:r w:rsidR="00AE4F41" w:rsidRPr="00AE4F41">
        <w:rPr>
          <w:rFonts w:ascii="Arial" w:hAnsi="Arial" w:cs="Arial"/>
          <w:sz w:val="22"/>
          <w:szCs w:val="22"/>
          <w:lang w:val="en-US"/>
        </w:rPr>
        <w:t xml:space="preserve"> (back pain, rash or diarrhoea).</w:t>
      </w:r>
      <w:r w:rsidR="00AE4F41">
        <w:rPr>
          <w:rFonts w:ascii="Arial" w:hAnsi="Arial" w:cs="Arial"/>
          <w:sz w:val="22"/>
          <w:szCs w:val="22"/>
          <w:lang w:val="en-US"/>
        </w:rPr>
        <w:t xml:space="preserve"> </w:t>
      </w:r>
      <w:r w:rsidR="001B503A" w:rsidRPr="008C7FCA">
        <w:rPr>
          <w:rFonts w:ascii="Arial" w:hAnsi="Arial" w:cs="Arial"/>
          <w:sz w:val="22"/>
          <w:szCs w:val="22"/>
          <w:lang w:val="en-US"/>
        </w:rPr>
        <w:t xml:space="preserve">The </w:t>
      </w:r>
      <w:r w:rsidR="001B503A" w:rsidRPr="006E6702">
        <w:rPr>
          <w:rFonts w:ascii="Arial" w:hAnsi="Arial"/>
          <w:sz w:val="22"/>
          <w:lang w:val="en-US"/>
        </w:rPr>
        <w:t>median</w:t>
      </w:r>
      <w:r w:rsidR="001B503A" w:rsidRPr="008C7FCA">
        <w:rPr>
          <w:rFonts w:ascii="Arial" w:hAnsi="Arial" w:cs="Arial"/>
          <w:sz w:val="22"/>
          <w:szCs w:val="22"/>
          <w:lang w:val="en-US"/>
        </w:rPr>
        <w:t xml:space="preserve"> relative dose intensity </w:t>
      </w:r>
      <w:r w:rsidR="00E5717D">
        <w:rPr>
          <w:rFonts w:ascii="Arial" w:hAnsi="Arial" w:cs="Arial"/>
          <w:sz w:val="22"/>
          <w:szCs w:val="22"/>
          <w:lang w:val="en-US"/>
        </w:rPr>
        <w:t xml:space="preserve">of patients starting treatment </w:t>
      </w:r>
      <w:r w:rsidR="001B503A" w:rsidRPr="008C7FCA">
        <w:rPr>
          <w:rFonts w:ascii="Arial" w:hAnsi="Arial" w:cs="Arial"/>
          <w:sz w:val="22"/>
          <w:szCs w:val="22"/>
          <w:lang w:val="en-US"/>
        </w:rPr>
        <w:t xml:space="preserve">was </w:t>
      </w:r>
      <w:r w:rsidR="00FB0176">
        <w:rPr>
          <w:rFonts w:ascii="Arial" w:hAnsi="Arial" w:cs="Arial"/>
          <w:sz w:val="22"/>
          <w:szCs w:val="22"/>
          <w:lang w:val="en-US"/>
        </w:rPr>
        <w:t>92.4</w:t>
      </w:r>
      <w:r w:rsidR="00E5717D">
        <w:rPr>
          <w:rFonts w:ascii="Arial" w:hAnsi="Arial" w:cs="Arial"/>
          <w:sz w:val="22"/>
          <w:szCs w:val="22"/>
          <w:lang w:val="en-US"/>
        </w:rPr>
        <w:t>% (IQR:</w:t>
      </w:r>
      <w:r w:rsidR="00FB0176">
        <w:rPr>
          <w:rFonts w:ascii="Arial" w:hAnsi="Arial" w:cs="Arial"/>
          <w:sz w:val="22"/>
          <w:szCs w:val="22"/>
          <w:lang w:val="en-US"/>
        </w:rPr>
        <w:t>83.7</w:t>
      </w:r>
      <w:r w:rsidR="00E5717D">
        <w:rPr>
          <w:rFonts w:ascii="Arial" w:hAnsi="Arial" w:cs="Arial"/>
          <w:sz w:val="22"/>
          <w:szCs w:val="22"/>
          <w:lang w:val="en-US"/>
        </w:rPr>
        <w:t>-</w:t>
      </w:r>
      <w:r w:rsidR="00FB0176">
        <w:rPr>
          <w:rFonts w:ascii="Arial" w:hAnsi="Arial" w:cs="Arial"/>
          <w:sz w:val="22"/>
          <w:szCs w:val="22"/>
          <w:lang w:val="en-US"/>
        </w:rPr>
        <w:t>98.9</w:t>
      </w:r>
      <w:r w:rsidR="00E5717D">
        <w:rPr>
          <w:rFonts w:ascii="Arial" w:hAnsi="Arial" w:cs="Arial"/>
          <w:sz w:val="22"/>
          <w:szCs w:val="22"/>
          <w:lang w:val="en-US"/>
        </w:rPr>
        <w:t>, min-max:</w:t>
      </w:r>
      <w:r w:rsidR="00FB0176">
        <w:rPr>
          <w:rFonts w:ascii="Arial" w:hAnsi="Arial" w:cs="Arial"/>
          <w:sz w:val="22"/>
          <w:szCs w:val="22"/>
          <w:lang w:val="en-US"/>
        </w:rPr>
        <w:t>58.7</w:t>
      </w:r>
      <w:r w:rsidR="00E5717D">
        <w:rPr>
          <w:rFonts w:ascii="Arial" w:hAnsi="Arial" w:cs="Arial"/>
          <w:sz w:val="22"/>
          <w:szCs w:val="22"/>
          <w:lang w:val="en-US"/>
        </w:rPr>
        <w:t>-100) for neratinib and 100</w:t>
      </w:r>
      <w:r w:rsidR="00C9562E">
        <w:rPr>
          <w:rFonts w:ascii="Arial" w:hAnsi="Arial" w:cs="Arial"/>
          <w:sz w:val="22"/>
          <w:szCs w:val="22"/>
          <w:lang w:val="en-US"/>
        </w:rPr>
        <w:t>.0</w:t>
      </w:r>
      <w:r w:rsidR="00E5717D">
        <w:rPr>
          <w:rFonts w:ascii="Arial" w:hAnsi="Arial" w:cs="Arial"/>
          <w:sz w:val="22"/>
          <w:szCs w:val="22"/>
          <w:lang w:val="en-US"/>
        </w:rPr>
        <w:t>% (IQR:100</w:t>
      </w:r>
      <w:r w:rsidR="00C9562E">
        <w:rPr>
          <w:rFonts w:ascii="Arial" w:hAnsi="Arial" w:cs="Arial"/>
          <w:sz w:val="22"/>
          <w:szCs w:val="22"/>
          <w:lang w:val="en-US"/>
        </w:rPr>
        <w:t>.0</w:t>
      </w:r>
      <w:r w:rsidR="00E5717D">
        <w:rPr>
          <w:rFonts w:ascii="Arial" w:hAnsi="Arial" w:cs="Arial"/>
          <w:sz w:val="22"/>
          <w:szCs w:val="22"/>
          <w:lang w:val="en-US"/>
        </w:rPr>
        <w:t>-100.2, min-max:96.0-101.9) for fulvestrant</w:t>
      </w:r>
      <w:r w:rsidR="001B503A" w:rsidRPr="008C7FCA">
        <w:rPr>
          <w:rFonts w:ascii="Arial" w:hAnsi="Arial" w:cs="Arial"/>
          <w:sz w:val="22"/>
          <w:szCs w:val="22"/>
          <w:lang w:val="en-US"/>
        </w:rPr>
        <w:t>.</w:t>
      </w:r>
    </w:p>
    <w:p w14:paraId="7C31A3C2" w14:textId="413953E9" w:rsidR="00F0183B" w:rsidRPr="008C7FCA" w:rsidRDefault="00F0183B" w:rsidP="00F03955">
      <w:pPr>
        <w:jc w:val="both"/>
        <w:rPr>
          <w:rFonts w:ascii="Arial" w:hAnsi="Arial" w:cs="Arial"/>
          <w:sz w:val="22"/>
          <w:szCs w:val="22"/>
          <w:lang w:val="en-US"/>
        </w:rPr>
      </w:pPr>
    </w:p>
    <w:p w14:paraId="61AA4FBD" w14:textId="62E708C9" w:rsidR="00F0183B" w:rsidRPr="00A3163A" w:rsidRDefault="004B13D8" w:rsidP="007A291F">
      <w:pPr>
        <w:jc w:val="both"/>
        <w:rPr>
          <w:rFonts w:ascii="Arial" w:hAnsi="Arial" w:cs="Arial"/>
          <w:sz w:val="22"/>
          <w:szCs w:val="22"/>
          <w:lang w:val="en-US"/>
        </w:rPr>
      </w:pPr>
      <w:r w:rsidRPr="00A3163A">
        <w:rPr>
          <w:rFonts w:ascii="Arial" w:hAnsi="Arial" w:cs="Arial"/>
          <w:sz w:val="22"/>
          <w:szCs w:val="22"/>
          <w:lang w:val="en-US"/>
        </w:rPr>
        <w:t xml:space="preserve">Of the </w:t>
      </w:r>
      <w:r w:rsidR="004C0F1A">
        <w:rPr>
          <w:rFonts w:ascii="Arial" w:hAnsi="Arial" w:cs="Arial"/>
          <w:sz w:val="22"/>
          <w:szCs w:val="22"/>
          <w:lang w:val="en-US"/>
        </w:rPr>
        <w:t>30</w:t>
      </w:r>
      <w:r w:rsidR="004C0F1A" w:rsidRPr="00A3163A">
        <w:rPr>
          <w:rFonts w:ascii="Arial" w:hAnsi="Arial" w:cs="Arial"/>
          <w:sz w:val="22"/>
          <w:szCs w:val="22"/>
          <w:lang w:val="en-US"/>
        </w:rPr>
        <w:t xml:space="preserve"> </w:t>
      </w:r>
      <w:r w:rsidRPr="00A3163A">
        <w:rPr>
          <w:rFonts w:ascii="Arial" w:hAnsi="Arial" w:cs="Arial"/>
          <w:sz w:val="22"/>
          <w:szCs w:val="22"/>
          <w:lang w:val="en-US"/>
        </w:rPr>
        <w:t xml:space="preserve">patients with </w:t>
      </w:r>
      <w:r w:rsidR="00F22319">
        <w:rPr>
          <w:rFonts w:ascii="Arial" w:hAnsi="Arial" w:cs="Arial"/>
          <w:sz w:val="22"/>
          <w:szCs w:val="22"/>
          <w:lang w:val="en-US"/>
        </w:rPr>
        <w:t xml:space="preserve">an </w:t>
      </w:r>
      <w:r w:rsidRPr="00442EF7">
        <w:rPr>
          <w:rFonts w:ascii="Arial" w:hAnsi="Arial" w:cs="Arial"/>
          <w:i/>
          <w:iCs/>
          <w:sz w:val="22"/>
          <w:szCs w:val="22"/>
          <w:lang w:val="en-US"/>
        </w:rPr>
        <w:t>AKT1</w:t>
      </w:r>
      <w:r w:rsidRPr="00442EF7">
        <w:rPr>
          <w:rFonts w:ascii="Arial" w:hAnsi="Arial" w:cs="Arial"/>
          <w:sz w:val="22"/>
          <w:szCs w:val="22"/>
          <w:lang w:val="en-US"/>
        </w:rPr>
        <w:t xml:space="preserve"> mutation in ctDNA and ER</w:t>
      </w:r>
      <w:r w:rsidR="00F34C9D" w:rsidRPr="00442EF7">
        <w:rPr>
          <w:rFonts w:ascii="Arial" w:hAnsi="Arial" w:cs="Arial"/>
          <w:sz w:val="22"/>
          <w:szCs w:val="22"/>
          <w:lang w:val="en-US"/>
        </w:rPr>
        <w:t>-</w:t>
      </w:r>
      <w:r w:rsidRPr="009479D7">
        <w:rPr>
          <w:rFonts w:ascii="Arial" w:hAnsi="Arial" w:cs="Arial"/>
          <w:sz w:val="22"/>
          <w:szCs w:val="22"/>
          <w:lang w:val="en-US"/>
        </w:rPr>
        <w:t xml:space="preserve">positive cancers, 18 </w:t>
      </w:r>
      <w:r w:rsidRPr="008C7FCA">
        <w:rPr>
          <w:rFonts w:ascii="Arial" w:hAnsi="Arial" w:cs="Arial"/>
          <w:sz w:val="22"/>
          <w:szCs w:val="22"/>
          <w:lang w:val="en-US"/>
        </w:rPr>
        <w:t>(</w:t>
      </w:r>
      <w:r w:rsidR="004C0F1A">
        <w:rPr>
          <w:rFonts w:ascii="Arial" w:hAnsi="Arial" w:cs="Arial"/>
          <w:sz w:val="22"/>
          <w:szCs w:val="22"/>
          <w:lang w:val="en-US"/>
        </w:rPr>
        <w:t>60.0</w:t>
      </w:r>
      <w:r w:rsidRPr="008C7FCA">
        <w:rPr>
          <w:rFonts w:ascii="Arial" w:hAnsi="Arial" w:cs="Arial"/>
          <w:sz w:val="22"/>
          <w:szCs w:val="22"/>
          <w:lang w:val="en-US"/>
        </w:rPr>
        <w:t xml:space="preserve">%) enrolled in </w:t>
      </w:r>
      <w:r w:rsidRPr="00EE1760">
        <w:rPr>
          <w:rFonts w:ascii="Arial" w:hAnsi="Arial" w:cs="Arial"/>
          <w:sz w:val="22"/>
          <w:szCs w:val="22"/>
          <w:lang w:val="en-US"/>
        </w:rPr>
        <w:t>Cohort C</w:t>
      </w:r>
      <w:r w:rsidR="00484C3E">
        <w:rPr>
          <w:rFonts w:ascii="Arial" w:hAnsi="Arial" w:cs="Arial"/>
          <w:sz w:val="22"/>
          <w:szCs w:val="22"/>
          <w:lang w:val="en-US"/>
        </w:rPr>
        <w:t xml:space="preserve">; </w:t>
      </w:r>
      <w:r w:rsidR="000B4747">
        <w:rPr>
          <w:rFonts w:ascii="Arial" w:hAnsi="Arial" w:cs="Arial"/>
          <w:sz w:val="22"/>
          <w:szCs w:val="22"/>
          <w:lang w:val="en-US"/>
        </w:rPr>
        <w:t>one</w:t>
      </w:r>
      <w:r w:rsidR="00F0183B" w:rsidRPr="00EE1760">
        <w:rPr>
          <w:rFonts w:ascii="Arial" w:hAnsi="Arial" w:cs="Arial"/>
          <w:sz w:val="22"/>
          <w:szCs w:val="22"/>
          <w:lang w:val="en-US"/>
        </w:rPr>
        <w:t xml:space="preserve"> (</w:t>
      </w:r>
      <w:r w:rsidR="00C9562E">
        <w:rPr>
          <w:rFonts w:ascii="Arial" w:hAnsi="Arial" w:cs="Arial"/>
          <w:sz w:val="22"/>
          <w:szCs w:val="22"/>
          <w:lang w:val="en-US"/>
        </w:rPr>
        <w:t>5.</w:t>
      </w:r>
      <w:r w:rsidR="00863965">
        <w:rPr>
          <w:rFonts w:ascii="Arial" w:hAnsi="Arial" w:cs="Arial"/>
          <w:sz w:val="22"/>
          <w:szCs w:val="22"/>
          <w:lang w:val="en-US"/>
        </w:rPr>
        <w:t>6</w:t>
      </w:r>
      <w:r w:rsidR="00F0183B" w:rsidRPr="00EE1760">
        <w:rPr>
          <w:rFonts w:ascii="Arial" w:hAnsi="Arial" w:cs="Arial"/>
          <w:sz w:val="22"/>
          <w:szCs w:val="22"/>
          <w:lang w:val="en-US"/>
        </w:rPr>
        <w:t xml:space="preserve">%) was </w:t>
      </w:r>
      <w:r w:rsidR="00F0183B" w:rsidRPr="00EE1760">
        <w:rPr>
          <w:rFonts w:ascii="Arial" w:hAnsi="Arial" w:cs="Arial"/>
          <w:iCs/>
          <w:sz w:val="22"/>
          <w:szCs w:val="22"/>
          <w:lang w:val="en-US"/>
        </w:rPr>
        <w:t>HER2</w:t>
      </w:r>
      <w:r w:rsidR="00F22319" w:rsidRPr="00EE1760">
        <w:rPr>
          <w:rFonts w:ascii="Arial" w:hAnsi="Arial" w:cs="Arial"/>
          <w:sz w:val="22"/>
          <w:szCs w:val="22"/>
          <w:lang w:val="en-US"/>
        </w:rPr>
        <w:t>-</w:t>
      </w:r>
      <w:r w:rsidR="00912D97" w:rsidRPr="00EE1760">
        <w:rPr>
          <w:rFonts w:ascii="Arial" w:hAnsi="Arial" w:cs="Arial"/>
          <w:sz w:val="22"/>
          <w:szCs w:val="22"/>
          <w:lang w:val="en-US"/>
        </w:rPr>
        <w:t>positive</w:t>
      </w:r>
      <w:r w:rsidR="00F052CD">
        <w:rPr>
          <w:rFonts w:ascii="Arial" w:hAnsi="Arial" w:cs="Arial"/>
          <w:sz w:val="22"/>
          <w:szCs w:val="22"/>
          <w:lang w:val="en-US"/>
        </w:rPr>
        <w:t xml:space="preserve"> (over-expressed/amplified)</w:t>
      </w:r>
      <w:r w:rsidR="00F0183B" w:rsidRPr="00EE1760">
        <w:rPr>
          <w:rFonts w:ascii="Arial" w:hAnsi="Arial" w:cs="Arial"/>
          <w:sz w:val="22"/>
          <w:szCs w:val="22"/>
          <w:lang w:val="en-US"/>
        </w:rPr>
        <w:t>, and 17 (94</w:t>
      </w:r>
      <w:r w:rsidR="00C9562E">
        <w:rPr>
          <w:rFonts w:ascii="Arial" w:hAnsi="Arial" w:cs="Arial"/>
          <w:sz w:val="22"/>
          <w:szCs w:val="22"/>
          <w:lang w:val="en-US"/>
        </w:rPr>
        <w:t>.4</w:t>
      </w:r>
      <w:r w:rsidR="00F0183B" w:rsidRPr="00EE1760">
        <w:rPr>
          <w:rFonts w:ascii="Arial" w:hAnsi="Arial" w:cs="Arial"/>
          <w:sz w:val="22"/>
          <w:szCs w:val="22"/>
          <w:lang w:val="en-US"/>
        </w:rPr>
        <w:t>%) had visceral metastases (</w:t>
      </w:r>
      <w:r w:rsidR="00FE5873" w:rsidRPr="00EE1760">
        <w:rPr>
          <w:rFonts w:ascii="Arial" w:hAnsi="Arial" w:cs="Arial"/>
          <w:sz w:val="22"/>
          <w:szCs w:val="22"/>
          <w:lang w:val="en-US"/>
        </w:rPr>
        <w:t>Table</w:t>
      </w:r>
      <w:r w:rsidR="002522D6">
        <w:rPr>
          <w:rFonts w:ascii="Arial" w:hAnsi="Arial" w:cs="Arial"/>
          <w:sz w:val="22"/>
          <w:szCs w:val="22"/>
          <w:lang w:val="en-US"/>
        </w:rPr>
        <w:t xml:space="preserve"> </w:t>
      </w:r>
      <w:r w:rsidR="00604A4C">
        <w:rPr>
          <w:rFonts w:ascii="Arial" w:hAnsi="Arial" w:cs="Arial"/>
          <w:sz w:val="22"/>
          <w:szCs w:val="22"/>
          <w:lang w:val="en-US"/>
        </w:rPr>
        <w:t>1</w:t>
      </w:r>
      <w:r w:rsidR="00F0183B" w:rsidRPr="00EE1760">
        <w:rPr>
          <w:rFonts w:ascii="Arial" w:hAnsi="Arial" w:cs="Arial"/>
          <w:sz w:val="22"/>
          <w:szCs w:val="22"/>
          <w:lang w:val="en-US"/>
        </w:rPr>
        <w:t xml:space="preserve">). </w:t>
      </w:r>
      <w:r w:rsidR="00DC2DEE" w:rsidRPr="00EE1760">
        <w:rPr>
          <w:rFonts w:ascii="Arial" w:hAnsi="Arial" w:cs="Arial"/>
          <w:sz w:val="22"/>
          <w:szCs w:val="22"/>
          <w:lang w:val="en-US"/>
        </w:rPr>
        <w:t>The most common m</w:t>
      </w:r>
      <w:r w:rsidR="00F0183B" w:rsidRPr="00EE1760">
        <w:rPr>
          <w:rFonts w:ascii="Arial" w:hAnsi="Arial" w:cs="Arial"/>
          <w:sz w:val="22"/>
          <w:szCs w:val="22"/>
          <w:lang w:val="en-US"/>
        </w:rPr>
        <w:t>utation</w:t>
      </w:r>
      <w:r w:rsidR="00DC2DEE" w:rsidRPr="00EE1760">
        <w:rPr>
          <w:rFonts w:ascii="Arial" w:hAnsi="Arial" w:cs="Arial"/>
          <w:sz w:val="22"/>
          <w:szCs w:val="22"/>
          <w:lang w:val="en-US"/>
        </w:rPr>
        <w:t xml:space="preserve"> detected</w:t>
      </w:r>
      <w:r w:rsidR="00F0183B" w:rsidRPr="00EE1760">
        <w:rPr>
          <w:rFonts w:ascii="Arial" w:hAnsi="Arial" w:cs="Arial"/>
          <w:sz w:val="22"/>
          <w:szCs w:val="22"/>
          <w:lang w:val="en-US"/>
        </w:rPr>
        <w:t xml:space="preserve"> was </w:t>
      </w:r>
      <w:r w:rsidR="00F0183B" w:rsidRPr="00004C7E">
        <w:rPr>
          <w:rFonts w:ascii="Arial" w:hAnsi="Arial"/>
          <w:i/>
          <w:sz w:val="22"/>
          <w:lang w:val="en-US"/>
        </w:rPr>
        <w:t>AKT1</w:t>
      </w:r>
      <w:r w:rsidR="00F0183B" w:rsidRPr="00EE1760">
        <w:rPr>
          <w:rFonts w:ascii="Arial" w:hAnsi="Arial" w:cs="Arial"/>
          <w:sz w:val="22"/>
          <w:szCs w:val="22"/>
          <w:lang w:val="en-US"/>
        </w:rPr>
        <w:t xml:space="preserve"> E17K in 17 patients</w:t>
      </w:r>
      <w:r w:rsidR="00DC2DEE" w:rsidRPr="00EE1760">
        <w:rPr>
          <w:rFonts w:ascii="Arial" w:hAnsi="Arial" w:cs="Arial"/>
          <w:sz w:val="22"/>
          <w:szCs w:val="22"/>
          <w:lang w:val="en-US"/>
        </w:rPr>
        <w:t>,</w:t>
      </w:r>
      <w:r w:rsidR="00F0183B" w:rsidRPr="00EE1760">
        <w:rPr>
          <w:rFonts w:ascii="Arial" w:hAnsi="Arial" w:cs="Arial"/>
          <w:sz w:val="22"/>
          <w:szCs w:val="22"/>
          <w:lang w:val="en-US"/>
        </w:rPr>
        <w:t xml:space="preserve"> </w:t>
      </w:r>
      <w:r w:rsidR="00484C3E">
        <w:rPr>
          <w:rFonts w:ascii="Arial" w:hAnsi="Arial" w:cs="Arial"/>
          <w:sz w:val="22"/>
          <w:szCs w:val="22"/>
          <w:lang w:val="en-US"/>
        </w:rPr>
        <w:t xml:space="preserve">with </w:t>
      </w:r>
      <w:r w:rsidR="00F0183B" w:rsidRPr="00004C7E">
        <w:rPr>
          <w:rFonts w:ascii="Arial" w:hAnsi="Arial"/>
          <w:i/>
          <w:sz w:val="22"/>
          <w:lang w:val="en-US"/>
        </w:rPr>
        <w:t>AKT1</w:t>
      </w:r>
      <w:r w:rsidR="00F0183B" w:rsidRPr="00EE1760">
        <w:rPr>
          <w:rFonts w:ascii="Arial" w:hAnsi="Arial" w:cs="Arial"/>
          <w:sz w:val="22"/>
          <w:szCs w:val="22"/>
          <w:lang w:val="en-US"/>
        </w:rPr>
        <w:t xml:space="preserve"> L52R </w:t>
      </w:r>
      <w:r w:rsidR="00DC2DEE" w:rsidRPr="00EE1760">
        <w:rPr>
          <w:rFonts w:ascii="Arial" w:hAnsi="Arial" w:cs="Arial"/>
          <w:sz w:val="22"/>
          <w:szCs w:val="22"/>
          <w:lang w:val="en-US"/>
        </w:rPr>
        <w:t xml:space="preserve">detected </w:t>
      </w:r>
      <w:r w:rsidR="00F0183B" w:rsidRPr="00EE1760">
        <w:rPr>
          <w:rFonts w:ascii="Arial" w:hAnsi="Arial" w:cs="Arial"/>
          <w:sz w:val="22"/>
          <w:szCs w:val="22"/>
          <w:lang w:val="en-US"/>
        </w:rPr>
        <w:t xml:space="preserve">in </w:t>
      </w:r>
      <w:r w:rsidR="000B4747">
        <w:rPr>
          <w:rFonts w:ascii="Arial" w:hAnsi="Arial" w:cs="Arial"/>
          <w:sz w:val="22"/>
          <w:szCs w:val="22"/>
          <w:lang w:val="en-US"/>
        </w:rPr>
        <w:t>one</w:t>
      </w:r>
      <w:r w:rsidR="00F0183B" w:rsidRPr="00EE1760">
        <w:rPr>
          <w:rFonts w:ascii="Arial" w:hAnsi="Arial" w:cs="Arial"/>
          <w:sz w:val="22"/>
          <w:szCs w:val="22"/>
          <w:lang w:val="en-US"/>
        </w:rPr>
        <w:t xml:space="preserve"> patient. All patients were evaluable</w:t>
      </w:r>
      <w:r w:rsidR="00E72A79" w:rsidRPr="00EE1760">
        <w:rPr>
          <w:rFonts w:ascii="Arial" w:hAnsi="Arial" w:cs="Arial"/>
          <w:sz w:val="22"/>
          <w:szCs w:val="22"/>
          <w:lang w:val="en-US"/>
        </w:rPr>
        <w:t xml:space="preserve">, with </w:t>
      </w:r>
      <w:r w:rsidR="00F0183B" w:rsidRPr="00EE1760">
        <w:rPr>
          <w:rFonts w:ascii="Arial" w:hAnsi="Arial" w:cs="Arial"/>
          <w:sz w:val="22"/>
          <w:szCs w:val="22"/>
          <w:lang w:val="en-US"/>
        </w:rPr>
        <w:t xml:space="preserve">a confirmed response </w:t>
      </w:r>
      <w:r w:rsidR="00E72A79" w:rsidRPr="00EE1760">
        <w:rPr>
          <w:rFonts w:ascii="Arial" w:hAnsi="Arial" w:cs="Arial"/>
          <w:sz w:val="22"/>
          <w:szCs w:val="22"/>
          <w:lang w:val="en-US"/>
        </w:rPr>
        <w:t>rate</w:t>
      </w:r>
      <w:r w:rsidR="00F0183B" w:rsidRPr="00EE1760">
        <w:rPr>
          <w:rFonts w:ascii="Arial" w:hAnsi="Arial" w:cs="Arial"/>
          <w:sz w:val="22"/>
          <w:szCs w:val="22"/>
          <w:lang w:val="en-US"/>
        </w:rPr>
        <w:t xml:space="preserve"> of </w:t>
      </w:r>
      <w:r w:rsidR="002C3210" w:rsidRPr="00EE1760">
        <w:rPr>
          <w:rFonts w:ascii="Arial" w:hAnsi="Arial" w:cs="Arial"/>
          <w:sz w:val="22"/>
          <w:szCs w:val="22"/>
          <w:lang w:val="en-US"/>
        </w:rPr>
        <w:t>2</w:t>
      </w:r>
      <w:r w:rsidR="00E72A79" w:rsidRPr="00EE1760">
        <w:rPr>
          <w:rFonts w:ascii="Arial" w:hAnsi="Arial" w:cs="Arial"/>
          <w:sz w:val="22"/>
          <w:szCs w:val="22"/>
          <w:lang w:val="en-US"/>
        </w:rPr>
        <w:t>2</w:t>
      </w:r>
      <w:r w:rsidR="00D05A74">
        <w:rPr>
          <w:rFonts w:ascii="Arial" w:hAnsi="Arial" w:cs="Arial"/>
          <w:sz w:val="22"/>
          <w:szCs w:val="22"/>
          <w:lang w:val="en-US"/>
        </w:rPr>
        <w:t>.2</w:t>
      </w:r>
      <w:r w:rsidR="002C3210" w:rsidRPr="00EE1760">
        <w:rPr>
          <w:rFonts w:ascii="Arial" w:hAnsi="Arial" w:cs="Arial"/>
          <w:sz w:val="22"/>
          <w:szCs w:val="22"/>
          <w:lang w:val="en-US"/>
        </w:rPr>
        <w:t>% (</w:t>
      </w:r>
      <w:r w:rsidR="00E72A79" w:rsidRPr="00EE1760">
        <w:rPr>
          <w:rFonts w:ascii="Arial" w:hAnsi="Arial" w:cs="Arial"/>
          <w:sz w:val="22"/>
          <w:szCs w:val="22"/>
        </w:rPr>
        <w:t>4/18, 95%CI</w:t>
      </w:r>
      <w:r w:rsidR="00DC2DEE" w:rsidRPr="00EE1760">
        <w:rPr>
          <w:rFonts w:ascii="Arial" w:hAnsi="Arial" w:cs="Arial"/>
          <w:sz w:val="22"/>
          <w:szCs w:val="22"/>
        </w:rPr>
        <w:t>,</w:t>
      </w:r>
      <w:r w:rsidR="00E72A79" w:rsidRPr="00EE1760">
        <w:rPr>
          <w:rFonts w:ascii="Arial" w:hAnsi="Arial" w:cs="Arial"/>
          <w:sz w:val="22"/>
          <w:szCs w:val="22"/>
        </w:rPr>
        <w:t>6.4</w:t>
      </w:r>
      <w:r w:rsidR="00863965">
        <w:rPr>
          <w:rFonts w:ascii="Arial" w:hAnsi="Arial" w:cs="Arial"/>
          <w:sz w:val="22"/>
          <w:szCs w:val="22"/>
        </w:rPr>
        <w:t>-</w:t>
      </w:r>
      <w:r w:rsidR="00E72A79" w:rsidRPr="00EE1760">
        <w:rPr>
          <w:rFonts w:ascii="Arial" w:hAnsi="Arial" w:cs="Arial"/>
          <w:sz w:val="22"/>
          <w:szCs w:val="22"/>
        </w:rPr>
        <w:t>4</w:t>
      </w:r>
      <w:r w:rsidR="00D05A74">
        <w:rPr>
          <w:rFonts w:ascii="Arial" w:hAnsi="Arial" w:cs="Arial"/>
          <w:sz w:val="22"/>
          <w:szCs w:val="22"/>
        </w:rPr>
        <w:t>7.6</w:t>
      </w:r>
      <w:r w:rsidR="00863965">
        <w:rPr>
          <w:rFonts w:ascii="Arial" w:hAnsi="Arial" w:cs="Arial"/>
          <w:sz w:val="22"/>
          <w:szCs w:val="22"/>
        </w:rPr>
        <w:t>%</w:t>
      </w:r>
      <w:r w:rsidR="00E72A79" w:rsidRPr="00EE1760">
        <w:rPr>
          <w:rFonts w:ascii="Arial" w:hAnsi="Arial" w:cs="Arial"/>
          <w:sz w:val="22"/>
          <w:szCs w:val="22"/>
        </w:rPr>
        <w:t>)</w:t>
      </w:r>
      <w:r w:rsidR="00E72A79" w:rsidRPr="00EE1760">
        <w:rPr>
          <w:rFonts w:ascii="Arial" w:hAnsi="Arial" w:cs="Arial"/>
          <w:sz w:val="22"/>
          <w:szCs w:val="22"/>
          <w:lang w:val="en-US"/>
        </w:rPr>
        <w:t>,</w:t>
      </w:r>
      <w:r w:rsidR="00DC2DEE" w:rsidRPr="00EE1760">
        <w:rPr>
          <w:rFonts w:ascii="Arial" w:hAnsi="Arial" w:cs="Arial"/>
          <w:sz w:val="22"/>
          <w:szCs w:val="22"/>
          <w:lang w:val="en-US"/>
        </w:rPr>
        <w:t xml:space="preserve"> and</w:t>
      </w:r>
      <w:r w:rsidR="00E72A79" w:rsidRPr="00EE1760">
        <w:rPr>
          <w:rFonts w:ascii="Arial" w:hAnsi="Arial" w:cs="Arial"/>
          <w:sz w:val="22"/>
          <w:szCs w:val="22"/>
          <w:lang w:val="en-US"/>
        </w:rPr>
        <w:t xml:space="preserve"> an additional </w:t>
      </w:r>
      <w:r w:rsidR="000B4747">
        <w:rPr>
          <w:rFonts w:ascii="Arial" w:hAnsi="Arial" w:cs="Arial"/>
          <w:sz w:val="22"/>
          <w:szCs w:val="22"/>
          <w:lang w:val="en-US"/>
        </w:rPr>
        <w:t>four</w:t>
      </w:r>
      <w:r w:rsidR="00E72A79" w:rsidRPr="00EE1760">
        <w:rPr>
          <w:rFonts w:ascii="Arial" w:hAnsi="Arial" w:cs="Arial"/>
          <w:sz w:val="22"/>
          <w:szCs w:val="22"/>
          <w:lang w:val="en-US"/>
        </w:rPr>
        <w:t xml:space="preserve"> patients had unconfirmed partial responses (Figure 4A). </w:t>
      </w:r>
      <w:r w:rsidR="00E579E0" w:rsidRPr="00EE1760">
        <w:rPr>
          <w:rFonts w:ascii="Arial" w:hAnsi="Arial" w:cs="Arial"/>
          <w:sz w:val="22"/>
          <w:szCs w:val="22"/>
          <w:lang w:val="en-US"/>
        </w:rPr>
        <w:t>Three of the protocol specified first 16 evaluable patients responded</w:t>
      </w:r>
      <w:r w:rsidR="00D05A74">
        <w:rPr>
          <w:rFonts w:ascii="Arial" w:hAnsi="Arial" w:cs="Arial"/>
          <w:sz w:val="22"/>
          <w:szCs w:val="22"/>
          <w:lang w:val="en-US"/>
        </w:rPr>
        <w:t xml:space="preserve"> (RR=18.8</w:t>
      </w:r>
      <w:r w:rsidR="00867C07">
        <w:rPr>
          <w:rFonts w:ascii="Arial" w:hAnsi="Arial" w:cs="Arial"/>
          <w:sz w:val="22"/>
          <w:szCs w:val="22"/>
          <w:lang w:val="en-US"/>
        </w:rPr>
        <w:t>%, 95%CI,4.0-45.6%)</w:t>
      </w:r>
      <w:r w:rsidR="00F0183B" w:rsidRPr="00EE1760">
        <w:rPr>
          <w:rFonts w:ascii="Arial" w:hAnsi="Arial" w:cs="Arial"/>
          <w:sz w:val="22"/>
          <w:szCs w:val="22"/>
          <w:lang w:val="en-US"/>
        </w:rPr>
        <w:t xml:space="preserve">. </w:t>
      </w:r>
      <w:r w:rsidR="00E579E0" w:rsidRPr="00EE1760">
        <w:rPr>
          <w:rFonts w:ascii="Arial" w:hAnsi="Arial" w:cs="Arial"/>
          <w:sz w:val="22"/>
          <w:szCs w:val="22"/>
          <w:lang w:val="en-US"/>
        </w:rPr>
        <w:t>Median d</w:t>
      </w:r>
      <w:r w:rsidR="00BA75D9" w:rsidRPr="00EE1760">
        <w:rPr>
          <w:rFonts w:ascii="Arial" w:hAnsi="Arial" w:cs="Arial"/>
          <w:sz w:val="22"/>
          <w:szCs w:val="22"/>
          <w:lang w:val="en-US"/>
        </w:rPr>
        <w:t xml:space="preserve">uration of response was </w:t>
      </w:r>
      <w:r w:rsidR="007656AF" w:rsidRPr="00EE1760">
        <w:rPr>
          <w:rFonts w:ascii="Arial" w:hAnsi="Arial" w:cs="Arial"/>
          <w:sz w:val="22"/>
          <w:szCs w:val="22"/>
        </w:rPr>
        <w:t>7.5</w:t>
      </w:r>
      <w:r w:rsidR="00E72A79" w:rsidRPr="00EE1760">
        <w:rPr>
          <w:rFonts w:ascii="Arial" w:hAnsi="Arial" w:cs="Arial"/>
          <w:sz w:val="22"/>
          <w:szCs w:val="22"/>
        </w:rPr>
        <w:t xml:space="preserve"> months (</w:t>
      </w:r>
      <w:r w:rsidR="00655765">
        <w:rPr>
          <w:rFonts w:ascii="Arial" w:hAnsi="Arial" w:cs="Arial"/>
          <w:sz w:val="22"/>
          <w:szCs w:val="22"/>
        </w:rPr>
        <w:t>IQR:</w:t>
      </w:r>
      <w:r w:rsidR="007656AF" w:rsidRPr="00EE1760">
        <w:rPr>
          <w:rFonts w:ascii="Arial" w:hAnsi="Arial" w:cs="Arial"/>
          <w:sz w:val="22"/>
          <w:szCs w:val="22"/>
        </w:rPr>
        <w:t>4.1</w:t>
      </w:r>
      <w:r w:rsidR="00863965">
        <w:rPr>
          <w:rFonts w:ascii="Arial" w:hAnsi="Arial" w:cs="Arial"/>
          <w:sz w:val="22"/>
          <w:szCs w:val="22"/>
        </w:rPr>
        <w:t>-</w:t>
      </w:r>
      <w:r w:rsidR="007656AF" w:rsidRPr="00EE1760">
        <w:rPr>
          <w:rFonts w:ascii="Arial" w:hAnsi="Arial" w:cs="Arial"/>
          <w:sz w:val="22"/>
          <w:szCs w:val="22"/>
        </w:rPr>
        <w:t>9.8</w:t>
      </w:r>
      <w:r w:rsidR="00863965">
        <w:rPr>
          <w:rFonts w:ascii="Arial" w:hAnsi="Arial" w:cs="Arial"/>
          <w:sz w:val="22"/>
          <w:szCs w:val="22"/>
        </w:rPr>
        <w:t>%</w:t>
      </w:r>
      <w:r w:rsidR="00E72A79" w:rsidRPr="00EE1760">
        <w:rPr>
          <w:rFonts w:ascii="Arial" w:hAnsi="Arial" w:cs="Arial"/>
          <w:sz w:val="22"/>
          <w:szCs w:val="22"/>
        </w:rPr>
        <w:t xml:space="preserve">) </w:t>
      </w:r>
      <w:r w:rsidR="00BA75D9" w:rsidRPr="00EE1760">
        <w:rPr>
          <w:rFonts w:ascii="Arial" w:hAnsi="Arial" w:cs="Arial"/>
          <w:sz w:val="22"/>
          <w:szCs w:val="22"/>
          <w:lang w:val="en-US"/>
        </w:rPr>
        <w:t xml:space="preserve">with </w:t>
      </w:r>
      <w:r w:rsidR="000B4747">
        <w:rPr>
          <w:rFonts w:ascii="Arial" w:hAnsi="Arial" w:cs="Arial"/>
          <w:sz w:val="22"/>
          <w:szCs w:val="22"/>
          <w:lang w:val="en-US"/>
        </w:rPr>
        <w:t>four</w:t>
      </w:r>
      <w:r w:rsidR="00BA75D9" w:rsidRPr="00EE1760">
        <w:rPr>
          <w:rFonts w:ascii="Arial" w:hAnsi="Arial" w:cs="Arial"/>
          <w:sz w:val="22"/>
          <w:szCs w:val="22"/>
          <w:lang w:val="en-US"/>
        </w:rPr>
        <w:t xml:space="preserve"> patients continuing on</w:t>
      </w:r>
      <w:r w:rsidR="00484C3E">
        <w:rPr>
          <w:rFonts w:ascii="Arial" w:hAnsi="Arial" w:cs="Arial"/>
          <w:sz w:val="22"/>
          <w:szCs w:val="22"/>
          <w:lang w:val="en-US"/>
        </w:rPr>
        <w:t>-</w:t>
      </w:r>
      <w:r w:rsidR="00BA75D9" w:rsidRPr="00EE1760">
        <w:rPr>
          <w:rFonts w:ascii="Arial" w:hAnsi="Arial" w:cs="Arial"/>
          <w:sz w:val="22"/>
          <w:szCs w:val="22"/>
          <w:lang w:val="en-US"/>
        </w:rPr>
        <w:t xml:space="preserve">treatment. </w:t>
      </w:r>
      <w:r w:rsidR="00D664F6" w:rsidRPr="00D664F6">
        <w:rPr>
          <w:rFonts w:ascii="Arial" w:hAnsi="Arial" w:cs="Arial"/>
          <w:sz w:val="22"/>
          <w:szCs w:val="22"/>
          <w:lang w:val="en-US"/>
        </w:rPr>
        <w:t xml:space="preserve">A total of 12/18 (66.7%) patients have </w:t>
      </w:r>
      <w:r w:rsidR="00D664F6">
        <w:rPr>
          <w:rFonts w:ascii="Arial" w:hAnsi="Arial" w:cs="Arial"/>
          <w:sz w:val="22"/>
          <w:szCs w:val="22"/>
          <w:lang w:val="en-US"/>
        </w:rPr>
        <w:t xml:space="preserve">had </w:t>
      </w:r>
      <w:r w:rsidR="00D664F6" w:rsidRPr="00D664F6">
        <w:rPr>
          <w:rFonts w:ascii="Arial" w:hAnsi="Arial" w:cs="Arial"/>
          <w:sz w:val="22"/>
          <w:szCs w:val="22"/>
          <w:lang w:val="en-US"/>
        </w:rPr>
        <w:t xml:space="preserve">a RECIST-confirmed progression event or death. </w:t>
      </w:r>
      <w:r w:rsidR="00F0183B" w:rsidRPr="00EE1760">
        <w:rPr>
          <w:rFonts w:ascii="Arial" w:hAnsi="Arial" w:cs="Arial"/>
          <w:sz w:val="22"/>
          <w:szCs w:val="22"/>
          <w:lang w:val="en-US"/>
        </w:rPr>
        <w:t xml:space="preserve">Median </w:t>
      </w:r>
      <w:r w:rsidR="00813F7A" w:rsidRPr="00EE1760">
        <w:rPr>
          <w:rFonts w:ascii="Arial" w:hAnsi="Arial" w:cs="Arial"/>
          <w:sz w:val="22"/>
          <w:szCs w:val="22"/>
          <w:lang w:val="en-US"/>
        </w:rPr>
        <w:t>PFS</w:t>
      </w:r>
      <w:r w:rsidR="00F0183B" w:rsidRPr="00EE1760">
        <w:rPr>
          <w:rFonts w:ascii="Arial" w:hAnsi="Arial" w:cs="Arial"/>
          <w:sz w:val="22"/>
          <w:szCs w:val="22"/>
          <w:lang w:val="en-US"/>
        </w:rPr>
        <w:t xml:space="preserve"> was </w:t>
      </w:r>
      <w:r w:rsidR="007656AF" w:rsidRPr="00EE1760">
        <w:rPr>
          <w:rFonts w:ascii="Arial" w:hAnsi="Arial" w:cs="Arial"/>
          <w:sz w:val="22"/>
          <w:szCs w:val="22"/>
          <w:lang w:val="en-US"/>
        </w:rPr>
        <w:t>10.2</w:t>
      </w:r>
      <w:r w:rsidR="00F0183B" w:rsidRPr="00EE1760">
        <w:rPr>
          <w:rFonts w:ascii="Arial" w:hAnsi="Arial" w:cs="Arial"/>
          <w:sz w:val="22"/>
          <w:szCs w:val="22"/>
          <w:lang w:val="en-US"/>
        </w:rPr>
        <w:t xml:space="preserve"> months (IQR 3.2</w:t>
      </w:r>
      <w:r w:rsidR="00817A9A">
        <w:rPr>
          <w:rFonts w:ascii="Arial" w:hAnsi="Arial" w:cs="Arial"/>
          <w:sz w:val="22"/>
          <w:szCs w:val="22"/>
          <w:lang w:val="en-US"/>
        </w:rPr>
        <w:t>-</w:t>
      </w:r>
      <w:r w:rsidR="00F0183B" w:rsidRPr="00EE1760">
        <w:rPr>
          <w:rFonts w:ascii="Arial" w:hAnsi="Arial" w:cs="Arial"/>
          <w:sz w:val="22"/>
          <w:szCs w:val="22"/>
          <w:lang w:val="en-US"/>
        </w:rPr>
        <w:t>18</w:t>
      </w:r>
      <w:r w:rsidR="00C9562E">
        <w:rPr>
          <w:rFonts w:ascii="Arial" w:hAnsi="Arial" w:cs="Arial"/>
          <w:sz w:val="22"/>
          <w:szCs w:val="22"/>
          <w:lang w:val="en-US"/>
        </w:rPr>
        <w:t>.</w:t>
      </w:r>
      <w:r w:rsidR="00C9562E" w:rsidRPr="00921A9E">
        <w:rPr>
          <w:rFonts w:ascii="Arial" w:hAnsi="Arial" w:cs="Arial"/>
          <w:sz w:val="22"/>
          <w:szCs w:val="22"/>
          <w:lang w:val="en-US"/>
        </w:rPr>
        <w:t>2</w:t>
      </w:r>
      <w:r w:rsidR="00F0183B" w:rsidRPr="00921A9E">
        <w:rPr>
          <w:rFonts w:ascii="Arial" w:hAnsi="Arial" w:cs="Arial"/>
          <w:sz w:val="22"/>
          <w:szCs w:val="22"/>
          <w:lang w:val="en-US"/>
        </w:rPr>
        <w:t xml:space="preserve">, </w:t>
      </w:r>
      <w:r w:rsidR="009875BC" w:rsidRPr="00921A9E">
        <w:rPr>
          <w:rFonts w:ascii="Arial" w:hAnsi="Arial" w:cs="Arial"/>
          <w:sz w:val="22"/>
          <w:szCs w:val="22"/>
          <w:lang w:val="en-US"/>
        </w:rPr>
        <w:t>appendix p</w:t>
      </w:r>
      <w:r w:rsidR="000359B3" w:rsidRPr="00921A9E">
        <w:rPr>
          <w:rFonts w:ascii="Arial" w:hAnsi="Arial" w:cs="Arial"/>
          <w:sz w:val="22"/>
          <w:szCs w:val="22"/>
          <w:lang w:val="en-US"/>
        </w:rPr>
        <w:t>25</w:t>
      </w:r>
      <w:r w:rsidR="00F0183B" w:rsidRPr="00921A9E">
        <w:rPr>
          <w:rFonts w:ascii="Arial" w:hAnsi="Arial" w:cs="Arial"/>
          <w:sz w:val="22"/>
          <w:szCs w:val="22"/>
          <w:lang w:val="en-US"/>
        </w:rPr>
        <w:t>)</w:t>
      </w:r>
      <w:r w:rsidR="00BA75D9" w:rsidRPr="00921A9E">
        <w:rPr>
          <w:rFonts w:ascii="Arial" w:hAnsi="Arial" w:cs="Arial"/>
          <w:sz w:val="22"/>
          <w:szCs w:val="22"/>
          <w:lang w:val="en-US"/>
        </w:rPr>
        <w:t xml:space="preserve">. </w:t>
      </w:r>
      <w:r w:rsidR="00213966" w:rsidRPr="00921A9E">
        <w:rPr>
          <w:rFonts w:ascii="Arial" w:hAnsi="Arial" w:cs="Arial"/>
          <w:sz w:val="22"/>
          <w:szCs w:val="22"/>
          <w:lang w:val="en-US"/>
        </w:rPr>
        <w:t xml:space="preserve">In an exploratory analysis, </w:t>
      </w:r>
      <w:r w:rsidR="00213966" w:rsidRPr="00921A9E">
        <w:rPr>
          <w:rFonts w:ascii="Arial" w:hAnsi="Arial" w:cs="Arial"/>
          <w:sz w:val="22"/>
          <w:szCs w:val="22"/>
        </w:rPr>
        <w:t xml:space="preserve">23% (4/17) </w:t>
      </w:r>
      <w:r w:rsidR="00213966" w:rsidRPr="00921A9E">
        <w:rPr>
          <w:rFonts w:ascii="Arial" w:hAnsi="Arial" w:cs="Arial"/>
          <w:i/>
          <w:iCs/>
          <w:sz w:val="22"/>
          <w:szCs w:val="22"/>
        </w:rPr>
        <w:t>AKT1</w:t>
      </w:r>
      <w:r w:rsidR="00213966" w:rsidRPr="00921A9E">
        <w:rPr>
          <w:rFonts w:ascii="Arial" w:hAnsi="Arial" w:cs="Arial"/>
          <w:sz w:val="22"/>
          <w:szCs w:val="22"/>
        </w:rPr>
        <w:t xml:space="preserve"> mutations were subclonal </w:t>
      </w:r>
      <w:r w:rsidR="00213966" w:rsidRPr="00921A9E">
        <w:rPr>
          <w:rFonts w:ascii="Arial" w:hAnsi="Arial" w:cs="Arial"/>
          <w:sz w:val="22"/>
          <w:szCs w:val="22"/>
          <w:lang w:val="en-US"/>
        </w:rPr>
        <w:t>(</w:t>
      </w:r>
      <w:r w:rsidR="009875BC" w:rsidRPr="00921A9E">
        <w:rPr>
          <w:rFonts w:ascii="Arial" w:hAnsi="Arial" w:cs="Arial"/>
          <w:sz w:val="22"/>
          <w:szCs w:val="22"/>
          <w:lang w:val="en-US"/>
        </w:rPr>
        <w:t>appendix p</w:t>
      </w:r>
      <w:r w:rsidR="00451A24" w:rsidRPr="00921A9E">
        <w:rPr>
          <w:rFonts w:ascii="Arial" w:hAnsi="Arial" w:cs="Arial"/>
          <w:sz w:val="22"/>
          <w:szCs w:val="22"/>
          <w:lang w:val="en-US"/>
        </w:rPr>
        <w:t>24</w:t>
      </w:r>
      <w:r w:rsidR="00213966" w:rsidRPr="00921A9E">
        <w:rPr>
          <w:rFonts w:ascii="Arial" w:hAnsi="Arial" w:cs="Arial"/>
          <w:sz w:val="22"/>
          <w:szCs w:val="22"/>
          <w:lang w:val="en-US"/>
        </w:rPr>
        <w:t xml:space="preserve">). </w:t>
      </w:r>
      <w:r w:rsidR="00F0183B" w:rsidRPr="00921A9E">
        <w:rPr>
          <w:rFonts w:ascii="Arial" w:hAnsi="Arial" w:cs="Arial"/>
          <w:sz w:val="22"/>
          <w:szCs w:val="22"/>
          <w:lang w:val="en-US"/>
        </w:rPr>
        <w:t>The most common grade 3</w:t>
      </w:r>
      <w:r w:rsidR="00484C3E" w:rsidRPr="00921A9E">
        <w:rPr>
          <w:rFonts w:ascii="Arial" w:hAnsi="Arial" w:cs="Arial"/>
          <w:sz w:val="22"/>
          <w:szCs w:val="22"/>
          <w:lang w:val="en-US"/>
        </w:rPr>
        <w:t>/</w:t>
      </w:r>
      <w:r w:rsidR="00F0183B" w:rsidRPr="00921A9E">
        <w:rPr>
          <w:rFonts w:ascii="Arial" w:hAnsi="Arial" w:cs="Arial"/>
          <w:sz w:val="22"/>
          <w:szCs w:val="22"/>
          <w:lang w:val="en-US"/>
        </w:rPr>
        <w:t>4 adverse events were fatigue (22</w:t>
      </w:r>
      <w:r w:rsidR="00DD68F2" w:rsidRPr="00921A9E">
        <w:rPr>
          <w:rFonts w:ascii="Arial" w:hAnsi="Arial" w:cs="Arial"/>
          <w:sz w:val="22"/>
          <w:szCs w:val="22"/>
          <w:lang w:val="en-US"/>
        </w:rPr>
        <w:t>.2</w:t>
      </w:r>
      <w:r w:rsidR="00F0183B" w:rsidRPr="00921A9E">
        <w:rPr>
          <w:rFonts w:ascii="Arial" w:hAnsi="Arial" w:cs="Arial"/>
          <w:sz w:val="22"/>
          <w:szCs w:val="22"/>
          <w:lang w:val="en-US"/>
        </w:rPr>
        <w:t>%), rash (1</w:t>
      </w:r>
      <w:r w:rsidR="00DD68F2" w:rsidRPr="00921A9E">
        <w:rPr>
          <w:rFonts w:ascii="Arial" w:hAnsi="Arial" w:cs="Arial"/>
          <w:sz w:val="22"/>
          <w:szCs w:val="22"/>
          <w:lang w:val="en-US"/>
        </w:rPr>
        <w:t>6.7</w:t>
      </w:r>
      <w:r w:rsidR="00F0183B" w:rsidRPr="00921A9E">
        <w:rPr>
          <w:rFonts w:ascii="Arial" w:hAnsi="Arial" w:cs="Arial"/>
          <w:sz w:val="22"/>
          <w:szCs w:val="22"/>
          <w:lang w:val="en-US"/>
        </w:rPr>
        <w:t>%), diarrh</w:t>
      </w:r>
      <w:r w:rsidR="00DD4458" w:rsidRPr="00921A9E">
        <w:rPr>
          <w:rFonts w:ascii="Arial" w:hAnsi="Arial" w:cs="Arial"/>
          <w:sz w:val="22"/>
          <w:szCs w:val="22"/>
          <w:lang w:val="en-US"/>
        </w:rPr>
        <w:t>o</w:t>
      </w:r>
      <w:r w:rsidR="00F0183B" w:rsidRPr="00921A9E">
        <w:rPr>
          <w:rFonts w:ascii="Arial" w:hAnsi="Arial" w:cs="Arial"/>
          <w:sz w:val="22"/>
          <w:szCs w:val="22"/>
          <w:lang w:val="en-US"/>
        </w:rPr>
        <w:t>ea (11</w:t>
      </w:r>
      <w:r w:rsidR="00DD68F2" w:rsidRPr="00921A9E">
        <w:rPr>
          <w:rFonts w:ascii="Arial" w:hAnsi="Arial" w:cs="Arial"/>
          <w:sz w:val="22"/>
          <w:szCs w:val="22"/>
          <w:lang w:val="en-US"/>
        </w:rPr>
        <w:t>.1</w:t>
      </w:r>
      <w:r w:rsidR="00F0183B" w:rsidRPr="00921A9E">
        <w:rPr>
          <w:rFonts w:ascii="Arial" w:hAnsi="Arial" w:cs="Arial"/>
          <w:sz w:val="22"/>
          <w:szCs w:val="22"/>
          <w:lang w:val="en-US"/>
        </w:rPr>
        <w:t>%) and hyperglycaemia (11</w:t>
      </w:r>
      <w:r w:rsidR="00DD68F2" w:rsidRPr="00921A9E">
        <w:rPr>
          <w:rFonts w:ascii="Arial" w:hAnsi="Arial" w:cs="Arial"/>
          <w:sz w:val="22"/>
          <w:szCs w:val="22"/>
          <w:lang w:val="en-US"/>
        </w:rPr>
        <w:t>.1</w:t>
      </w:r>
      <w:r w:rsidR="00F0183B" w:rsidRPr="00921A9E">
        <w:rPr>
          <w:rFonts w:ascii="Arial" w:hAnsi="Arial" w:cs="Arial"/>
          <w:sz w:val="22"/>
          <w:szCs w:val="22"/>
          <w:lang w:val="en-US"/>
        </w:rPr>
        <w:t>%) (</w:t>
      </w:r>
      <w:r w:rsidR="009875BC" w:rsidRPr="00921A9E">
        <w:rPr>
          <w:rFonts w:ascii="Arial" w:hAnsi="Arial" w:cs="Arial"/>
          <w:sz w:val="22"/>
          <w:szCs w:val="22"/>
          <w:lang w:val="en-US"/>
        </w:rPr>
        <w:t>appendix p</w:t>
      </w:r>
      <w:r w:rsidR="00451A24" w:rsidRPr="00921A9E">
        <w:rPr>
          <w:rFonts w:ascii="Arial" w:hAnsi="Arial" w:cs="Arial"/>
          <w:sz w:val="22"/>
          <w:szCs w:val="22"/>
          <w:lang w:val="en-US"/>
        </w:rPr>
        <w:t>13</w:t>
      </w:r>
      <w:r w:rsidR="00F0183B" w:rsidRPr="00921A9E">
        <w:rPr>
          <w:rFonts w:ascii="Arial" w:hAnsi="Arial" w:cs="Arial"/>
          <w:sz w:val="22"/>
          <w:szCs w:val="22"/>
          <w:lang w:val="en-US"/>
        </w:rPr>
        <w:t>).</w:t>
      </w:r>
      <w:r w:rsidR="001B503A" w:rsidRPr="00921A9E">
        <w:rPr>
          <w:rFonts w:ascii="Arial" w:hAnsi="Arial" w:cs="Arial"/>
          <w:sz w:val="22"/>
          <w:szCs w:val="22"/>
          <w:lang w:val="en-US"/>
        </w:rPr>
        <w:t xml:space="preserve"> </w:t>
      </w:r>
      <w:r w:rsidR="00B414C3" w:rsidRPr="00921A9E">
        <w:rPr>
          <w:rFonts w:ascii="Arial" w:hAnsi="Arial" w:cs="Arial"/>
          <w:sz w:val="22"/>
          <w:szCs w:val="22"/>
          <w:lang w:val="en-US"/>
        </w:rPr>
        <w:t>Eight</w:t>
      </w:r>
      <w:r w:rsidR="00FD77BC" w:rsidRPr="00921A9E">
        <w:rPr>
          <w:rFonts w:ascii="Arial" w:hAnsi="Arial" w:cs="Arial"/>
          <w:sz w:val="22"/>
          <w:szCs w:val="22"/>
          <w:lang w:val="en-US"/>
        </w:rPr>
        <w:t xml:space="preserve"> serious adverse reactions were reported in </w:t>
      </w:r>
      <w:r w:rsidR="00B414C3" w:rsidRPr="00921A9E">
        <w:rPr>
          <w:rFonts w:ascii="Arial" w:hAnsi="Arial" w:cs="Arial"/>
          <w:sz w:val="22"/>
          <w:szCs w:val="22"/>
          <w:lang w:val="en-US"/>
        </w:rPr>
        <w:t>four</w:t>
      </w:r>
      <w:r w:rsidR="00FD77BC" w:rsidRPr="00921A9E">
        <w:rPr>
          <w:rFonts w:ascii="Arial" w:hAnsi="Arial" w:cs="Arial"/>
          <w:sz w:val="22"/>
          <w:szCs w:val="22"/>
          <w:lang w:val="en-US"/>
        </w:rPr>
        <w:t xml:space="preserve"> patients (appendix p</w:t>
      </w:r>
      <w:r w:rsidR="00451A24" w:rsidRPr="00921A9E">
        <w:rPr>
          <w:rFonts w:ascii="Arial" w:hAnsi="Arial" w:cs="Arial"/>
          <w:sz w:val="22"/>
          <w:szCs w:val="22"/>
          <w:lang w:val="en-US"/>
        </w:rPr>
        <w:t>13</w:t>
      </w:r>
      <w:r w:rsidR="00FD77BC">
        <w:rPr>
          <w:rFonts w:ascii="Arial" w:hAnsi="Arial" w:cs="Arial"/>
          <w:sz w:val="22"/>
          <w:szCs w:val="22"/>
          <w:lang w:val="en-US"/>
        </w:rPr>
        <w:t>).  There w</w:t>
      </w:r>
      <w:r w:rsidR="00B414C3">
        <w:rPr>
          <w:rFonts w:ascii="Arial" w:hAnsi="Arial" w:cs="Arial"/>
          <w:sz w:val="22"/>
          <w:szCs w:val="22"/>
          <w:lang w:val="en-US"/>
        </w:rPr>
        <w:t>as</w:t>
      </w:r>
      <w:r w:rsidR="00FD77BC">
        <w:rPr>
          <w:rFonts w:ascii="Arial" w:hAnsi="Arial" w:cs="Arial"/>
          <w:sz w:val="22"/>
          <w:szCs w:val="22"/>
          <w:lang w:val="en-US"/>
        </w:rPr>
        <w:t xml:space="preserve"> </w:t>
      </w:r>
      <w:r w:rsidR="00B414C3">
        <w:rPr>
          <w:rFonts w:ascii="Arial" w:hAnsi="Arial" w:cs="Arial"/>
          <w:sz w:val="22"/>
          <w:szCs w:val="22"/>
          <w:lang w:val="en-US"/>
        </w:rPr>
        <w:t>one</w:t>
      </w:r>
      <w:r w:rsidR="00FD77BC">
        <w:rPr>
          <w:rFonts w:ascii="Arial" w:hAnsi="Arial" w:cs="Arial"/>
          <w:sz w:val="22"/>
          <w:szCs w:val="22"/>
          <w:lang w:val="en-US"/>
        </w:rPr>
        <w:t xml:space="preserve"> treatment-related death</w:t>
      </w:r>
      <w:r w:rsidR="00B414C3">
        <w:rPr>
          <w:rFonts w:ascii="Arial" w:hAnsi="Arial" w:cs="Arial"/>
          <w:sz w:val="22"/>
          <w:szCs w:val="22"/>
          <w:lang w:val="en-US"/>
        </w:rPr>
        <w:t xml:space="preserve"> caused by grade 4 dyspnoea</w:t>
      </w:r>
      <w:r w:rsidR="002137FB">
        <w:rPr>
          <w:rFonts w:ascii="Arial" w:hAnsi="Arial" w:cs="Arial"/>
          <w:sz w:val="22"/>
          <w:szCs w:val="22"/>
          <w:lang w:val="en-US"/>
        </w:rPr>
        <w:t xml:space="preserve"> and 6</w:t>
      </w:r>
      <w:r w:rsidR="00506C97" w:rsidRPr="00506C97">
        <w:rPr>
          <w:rFonts w:ascii="Arial" w:hAnsi="Arial" w:cs="Arial"/>
          <w:sz w:val="22"/>
          <w:szCs w:val="22"/>
          <w:lang w:val="en-US"/>
        </w:rPr>
        <w:t>/18 (</w:t>
      </w:r>
      <w:r w:rsidR="002137FB">
        <w:rPr>
          <w:rFonts w:ascii="Arial" w:hAnsi="Arial" w:cs="Arial"/>
          <w:sz w:val="22"/>
          <w:szCs w:val="22"/>
          <w:lang w:val="en-US"/>
        </w:rPr>
        <w:t>33.3</w:t>
      </w:r>
      <w:r w:rsidR="00506C97" w:rsidRPr="00506C97">
        <w:rPr>
          <w:rFonts w:ascii="Arial" w:hAnsi="Arial" w:cs="Arial"/>
          <w:sz w:val="22"/>
          <w:szCs w:val="22"/>
          <w:lang w:val="en-US"/>
        </w:rPr>
        <w:t xml:space="preserve">%) </w:t>
      </w:r>
      <w:r w:rsidR="002137FB">
        <w:rPr>
          <w:rFonts w:ascii="Arial" w:hAnsi="Arial" w:cs="Arial"/>
          <w:sz w:val="22"/>
          <w:szCs w:val="22"/>
          <w:lang w:val="en-US"/>
        </w:rPr>
        <w:t xml:space="preserve">breast cacner </w:t>
      </w:r>
      <w:r w:rsidR="00506C97">
        <w:rPr>
          <w:rFonts w:ascii="Arial" w:hAnsi="Arial" w:cs="Arial"/>
          <w:sz w:val="22"/>
          <w:szCs w:val="22"/>
          <w:lang w:val="en-US"/>
        </w:rPr>
        <w:t xml:space="preserve">deaths </w:t>
      </w:r>
      <w:r w:rsidR="00E60CDE">
        <w:rPr>
          <w:rFonts w:ascii="Arial" w:hAnsi="Arial" w:cs="Arial"/>
          <w:sz w:val="22"/>
          <w:szCs w:val="22"/>
          <w:lang w:val="en-US"/>
        </w:rPr>
        <w:t>reported</w:t>
      </w:r>
      <w:r w:rsidR="002137FB">
        <w:rPr>
          <w:rFonts w:ascii="Arial" w:hAnsi="Arial" w:cs="Arial"/>
          <w:sz w:val="22"/>
          <w:szCs w:val="22"/>
          <w:lang w:val="en-US"/>
        </w:rPr>
        <w:t>.</w:t>
      </w:r>
      <w:r w:rsidR="00FD77BC">
        <w:rPr>
          <w:rFonts w:ascii="Arial" w:hAnsi="Arial" w:cs="Arial"/>
          <w:sz w:val="22"/>
          <w:szCs w:val="22"/>
          <w:lang w:val="en-US"/>
        </w:rPr>
        <w:t xml:space="preserve"> </w:t>
      </w:r>
      <w:r w:rsidR="001169E3">
        <w:rPr>
          <w:rFonts w:ascii="Arial" w:hAnsi="Arial" w:cs="Arial"/>
          <w:sz w:val="22"/>
          <w:szCs w:val="22"/>
          <w:lang w:val="en-US"/>
        </w:rPr>
        <w:t>The main reason for treatment discontinuation was disease progression (11/14 (84.6</w:t>
      </w:r>
      <w:r w:rsidR="001169E3" w:rsidRPr="00921A9E">
        <w:rPr>
          <w:rFonts w:ascii="Arial" w:hAnsi="Arial" w:cs="Arial"/>
          <w:sz w:val="22"/>
          <w:szCs w:val="22"/>
          <w:lang w:val="en-US"/>
        </w:rPr>
        <w:t>%)</w:t>
      </w:r>
      <w:r w:rsidR="00AF40F9" w:rsidRPr="00921A9E">
        <w:rPr>
          <w:rFonts w:ascii="Arial" w:hAnsi="Arial" w:cs="Arial"/>
          <w:sz w:val="22"/>
          <w:szCs w:val="22"/>
          <w:lang w:val="en-US"/>
        </w:rPr>
        <w:t>, appendix p</w:t>
      </w:r>
      <w:r w:rsidR="00451A24" w:rsidRPr="00921A9E">
        <w:rPr>
          <w:rFonts w:ascii="Arial" w:hAnsi="Arial" w:cs="Arial"/>
          <w:sz w:val="22"/>
          <w:szCs w:val="22"/>
          <w:lang w:val="en-US"/>
        </w:rPr>
        <w:t>8</w:t>
      </w:r>
      <w:r w:rsidR="00AF40F9" w:rsidRPr="00921A9E">
        <w:rPr>
          <w:rFonts w:ascii="Arial" w:hAnsi="Arial" w:cs="Arial"/>
          <w:sz w:val="22"/>
          <w:szCs w:val="22"/>
          <w:lang w:val="en-US"/>
        </w:rPr>
        <w:t>)</w:t>
      </w:r>
      <w:r w:rsidR="001169E3" w:rsidRPr="00921A9E">
        <w:rPr>
          <w:rFonts w:ascii="Arial" w:hAnsi="Arial" w:cs="Arial"/>
          <w:sz w:val="22"/>
          <w:szCs w:val="22"/>
          <w:lang w:val="en-US"/>
        </w:rPr>
        <w:t>. All 18 patients</w:t>
      </w:r>
      <w:r w:rsidR="001169E3" w:rsidRPr="001169E3">
        <w:rPr>
          <w:rFonts w:ascii="Arial" w:hAnsi="Arial" w:cs="Arial"/>
          <w:sz w:val="22"/>
          <w:szCs w:val="22"/>
          <w:lang w:val="en-US"/>
        </w:rPr>
        <w:t xml:space="preserve"> received all doses of fulvestrant.</w:t>
      </w:r>
      <w:r w:rsidR="001169E3">
        <w:rPr>
          <w:rFonts w:ascii="Arial" w:hAnsi="Arial" w:cs="Arial"/>
          <w:sz w:val="22"/>
          <w:szCs w:val="22"/>
          <w:lang w:val="en-US"/>
        </w:rPr>
        <w:t xml:space="preserve"> </w:t>
      </w:r>
      <w:r w:rsidR="001169E3" w:rsidRPr="001169E3">
        <w:rPr>
          <w:rFonts w:ascii="Arial" w:hAnsi="Arial" w:cs="Arial"/>
          <w:sz w:val="22"/>
          <w:szCs w:val="22"/>
          <w:lang w:val="en-US"/>
        </w:rPr>
        <w:t>10 dose reductions of capiv</w:t>
      </w:r>
      <w:r w:rsidR="007A291F">
        <w:rPr>
          <w:rFonts w:ascii="Arial" w:hAnsi="Arial" w:cs="Arial"/>
          <w:sz w:val="22"/>
          <w:szCs w:val="22"/>
          <w:lang w:val="en-US"/>
        </w:rPr>
        <w:t>aser</w:t>
      </w:r>
      <w:r w:rsidR="001169E3" w:rsidRPr="001169E3">
        <w:rPr>
          <w:rFonts w:ascii="Arial" w:hAnsi="Arial" w:cs="Arial"/>
          <w:sz w:val="22"/>
          <w:szCs w:val="22"/>
          <w:lang w:val="en-US"/>
        </w:rPr>
        <w:t xml:space="preserve">tib to (7 to 320mg, with a further 3 reducing further to 240mg) were </w:t>
      </w:r>
      <w:r w:rsidR="001169E3" w:rsidRPr="001169E3">
        <w:rPr>
          <w:rFonts w:ascii="Arial" w:hAnsi="Arial" w:cs="Arial"/>
          <w:sz w:val="22"/>
          <w:szCs w:val="22"/>
          <w:lang w:val="en-US"/>
        </w:rPr>
        <w:lastRenderedPageBreak/>
        <w:t>made in 7/18 patients (38.9%)</w:t>
      </w:r>
      <w:r w:rsidR="007D66A6">
        <w:rPr>
          <w:rFonts w:ascii="Arial" w:hAnsi="Arial" w:cs="Arial"/>
          <w:sz w:val="22"/>
          <w:szCs w:val="22"/>
          <w:lang w:val="en-US"/>
        </w:rPr>
        <w:t>, with</w:t>
      </w:r>
      <w:r w:rsidR="001169E3" w:rsidRPr="001169E3">
        <w:rPr>
          <w:rFonts w:ascii="Arial" w:hAnsi="Arial" w:cs="Arial"/>
          <w:sz w:val="22"/>
          <w:szCs w:val="22"/>
          <w:lang w:val="en-US"/>
        </w:rPr>
        <w:t xml:space="preserve"> </w:t>
      </w:r>
      <w:r w:rsidR="007D66A6">
        <w:rPr>
          <w:rFonts w:ascii="Arial" w:hAnsi="Arial" w:cs="Arial"/>
          <w:sz w:val="22"/>
          <w:szCs w:val="22"/>
          <w:lang w:val="en-US"/>
        </w:rPr>
        <w:t xml:space="preserve"> t</w:t>
      </w:r>
      <w:r w:rsidR="001169E3" w:rsidRPr="001169E3">
        <w:rPr>
          <w:rFonts w:ascii="Arial" w:hAnsi="Arial" w:cs="Arial"/>
          <w:sz w:val="22"/>
          <w:szCs w:val="22"/>
          <w:lang w:val="en-US"/>
        </w:rPr>
        <w:t xml:space="preserve">he main reason </w:t>
      </w:r>
      <w:r w:rsidR="007D66A6">
        <w:rPr>
          <w:rFonts w:ascii="Arial" w:hAnsi="Arial" w:cs="Arial"/>
          <w:sz w:val="22"/>
          <w:szCs w:val="22"/>
          <w:lang w:val="en-US"/>
        </w:rPr>
        <w:t>being adverse events</w:t>
      </w:r>
      <w:r w:rsidR="001169E3" w:rsidRPr="001169E3">
        <w:rPr>
          <w:rFonts w:ascii="Arial" w:hAnsi="Arial" w:cs="Arial"/>
          <w:sz w:val="22"/>
          <w:szCs w:val="22"/>
          <w:lang w:val="en-US"/>
        </w:rPr>
        <w:t xml:space="preserve"> (diarrhoea, nausea, fatigue and rash).</w:t>
      </w:r>
      <w:r w:rsidR="007A291F">
        <w:rPr>
          <w:rFonts w:ascii="Arial" w:hAnsi="Arial" w:cs="Arial"/>
          <w:sz w:val="22"/>
          <w:szCs w:val="22"/>
          <w:lang w:val="en-US"/>
        </w:rPr>
        <w:t xml:space="preserve">  </w:t>
      </w:r>
      <w:r w:rsidR="00764A42" w:rsidRPr="00EE1760">
        <w:rPr>
          <w:rFonts w:ascii="Arial" w:hAnsi="Arial" w:cs="Arial"/>
          <w:sz w:val="22"/>
          <w:szCs w:val="22"/>
          <w:lang w:val="en-US"/>
        </w:rPr>
        <w:t xml:space="preserve">The median relative dose intensity was </w:t>
      </w:r>
      <w:r w:rsidR="00AB7064">
        <w:rPr>
          <w:rFonts w:ascii="Arial" w:hAnsi="Arial" w:cs="Arial"/>
          <w:sz w:val="22"/>
          <w:szCs w:val="22"/>
          <w:lang w:val="en-US"/>
        </w:rPr>
        <w:t xml:space="preserve">87.5% (IQR:70.3-99.4, min-max:25.0-100.7) </w:t>
      </w:r>
      <w:r w:rsidR="00833730">
        <w:rPr>
          <w:rFonts w:ascii="Arial" w:hAnsi="Arial" w:cs="Arial"/>
          <w:sz w:val="22"/>
          <w:szCs w:val="22"/>
          <w:lang w:val="en-US"/>
        </w:rPr>
        <w:t xml:space="preserve">for </w:t>
      </w:r>
      <w:r w:rsidR="00E5717D">
        <w:rPr>
          <w:rFonts w:ascii="Arial" w:hAnsi="Arial" w:cs="Arial"/>
          <w:sz w:val="22"/>
          <w:szCs w:val="22"/>
          <w:lang w:val="en-US"/>
        </w:rPr>
        <w:t>capivasertib</w:t>
      </w:r>
      <w:r w:rsidR="00833730">
        <w:rPr>
          <w:rFonts w:ascii="Arial" w:hAnsi="Arial" w:cs="Arial"/>
          <w:sz w:val="22"/>
          <w:szCs w:val="22"/>
          <w:lang w:val="en-US"/>
        </w:rPr>
        <w:t xml:space="preserve"> and </w:t>
      </w:r>
      <w:r w:rsidR="00383C5B">
        <w:rPr>
          <w:rFonts w:ascii="Arial" w:hAnsi="Arial" w:cs="Arial"/>
          <w:sz w:val="22"/>
          <w:szCs w:val="22"/>
          <w:lang w:val="en-US"/>
        </w:rPr>
        <w:t>98.6% (IQR:96.8-100</w:t>
      </w:r>
      <w:r w:rsidR="00C2287A">
        <w:rPr>
          <w:rFonts w:ascii="Arial" w:hAnsi="Arial" w:cs="Arial"/>
          <w:sz w:val="22"/>
          <w:szCs w:val="22"/>
          <w:lang w:val="en-US"/>
        </w:rPr>
        <w:t>.0</w:t>
      </w:r>
      <w:r w:rsidR="00383C5B">
        <w:rPr>
          <w:rFonts w:ascii="Arial" w:hAnsi="Arial" w:cs="Arial"/>
          <w:sz w:val="22"/>
          <w:szCs w:val="22"/>
          <w:lang w:val="en-US"/>
        </w:rPr>
        <w:t>, min-max:93.8-101.9)</w:t>
      </w:r>
      <w:r w:rsidR="00833730">
        <w:rPr>
          <w:rFonts w:ascii="Arial" w:hAnsi="Arial" w:cs="Arial"/>
          <w:sz w:val="22"/>
          <w:szCs w:val="22"/>
          <w:lang w:val="en-US"/>
        </w:rPr>
        <w:t xml:space="preserve"> for fulvestrant</w:t>
      </w:r>
      <w:r w:rsidR="00764A42" w:rsidRPr="00EE1760">
        <w:rPr>
          <w:rFonts w:ascii="Arial" w:hAnsi="Arial" w:cs="Arial"/>
          <w:sz w:val="22"/>
          <w:szCs w:val="22"/>
          <w:lang w:val="en-US"/>
        </w:rPr>
        <w:t>.</w:t>
      </w:r>
    </w:p>
    <w:p w14:paraId="4F54F2AD" w14:textId="77777777" w:rsidR="00F0183B" w:rsidRPr="008C7FCA" w:rsidRDefault="00F0183B" w:rsidP="00F03955">
      <w:pPr>
        <w:jc w:val="both"/>
        <w:rPr>
          <w:rFonts w:ascii="Arial" w:hAnsi="Arial" w:cs="Arial"/>
          <w:sz w:val="22"/>
          <w:szCs w:val="22"/>
          <w:lang w:val="en-US"/>
        </w:rPr>
      </w:pPr>
    </w:p>
    <w:p w14:paraId="5F5DC96A" w14:textId="5966F3AC" w:rsidR="00E25C3F" w:rsidRPr="00921A9E" w:rsidRDefault="00F0183B" w:rsidP="00F0183B">
      <w:pPr>
        <w:jc w:val="both"/>
        <w:rPr>
          <w:rFonts w:ascii="Arial" w:hAnsi="Arial" w:cs="Arial"/>
          <w:sz w:val="22"/>
          <w:szCs w:val="22"/>
          <w:lang w:val="en-US"/>
        </w:rPr>
      </w:pPr>
      <w:r w:rsidRPr="00A3163A">
        <w:rPr>
          <w:rFonts w:ascii="Arial" w:hAnsi="Arial" w:cs="Arial"/>
          <w:sz w:val="22"/>
          <w:szCs w:val="22"/>
          <w:lang w:val="en-US"/>
        </w:rPr>
        <w:t xml:space="preserve">In total </w:t>
      </w:r>
      <w:r w:rsidRPr="008C7FCA">
        <w:rPr>
          <w:rFonts w:ascii="Arial" w:hAnsi="Arial" w:cs="Arial"/>
          <w:sz w:val="22"/>
          <w:szCs w:val="22"/>
          <w:lang w:val="en-US"/>
        </w:rPr>
        <w:t xml:space="preserve">19 patients were recruited in Cohort D, 12 following ctDNA testing and </w:t>
      </w:r>
      <w:r w:rsidR="000B4747">
        <w:rPr>
          <w:rFonts w:ascii="Arial" w:hAnsi="Arial" w:cs="Arial"/>
          <w:sz w:val="22"/>
          <w:szCs w:val="22"/>
          <w:lang w:val="en-US"/>
        </w:rPr>
        <w:t>seven</w:t>
      </w:r>
      <w:r w:rsidRPr="008C7FCA">
        <w:rPr>
          <w:rFonts w:ascii="Arial" w:hAnsi="Arial" w:cs="Arial"/>
          <w:sz w:val="22"/>
          <w:szCs w:val="22"/>
          <w:lang w:val="en-US"/>
        </w:rPr>
        <w:t xml:space="preserve"> </w:t>
      </w:r>
      <w:r w:rsidR="00813F7A">
        <w:rPr>
          <w:rFonts w:ascii="Arial" w:hAnsi="Arial" w:cs="Arial"/>
          <w:sz w:val="22"/>
          <w:szCs w:val="22"/>
          <w:lang w:val="en-US"/>
        </w:rPr>
        <w:t xml:space="preserve">based </w:t>
      </w:r>
      <w:r w:rsidRPr="008C7FCA">
        <w:rPr>
          <w:rFonts w:ascii="Arial" w:hAnsi="Arial" w:cs="Arial"/>
          <w:sz w:val="22"/>
          <w:szCs w:val="22"/>
          <w:lang w:val="en-US"/>
        </w:rPr>
        <w:t xml:space="preserve">on </w:t>
      </w:r>
      <w:r w:rsidR="00C4772B">
        <w:rPr>
          <w:rFonts w:ascii="Arial" w:hAnsi="Arial" w:cs="Arial"/>
          <w:sz w:val="22"/>
          <w:szCs w:val="22"/>
          <w:lang w:val="en-US"/>
        </w:rPr>
        <w:t>tumour</w:t>
      </w:r>
      <w:r w:rsidRPr="008C7FCA">
        <w:rPr>
          <w:rFonts w:ascii="Arial" w:hAnsi="Arial" w:cs="Arial"/>
          <w:sz w:val="22"/>
          <w:szCs w:val="22"/>
          <w:lang w:val="en-US"/>
        </w:rPr>
        <w:t xml:space="preserve"> testing</w:t>
      </w:r>
      <w:r w:rsidR="00DB3D72">
        <w:rPr>
          <w:rFonts w:ascii="Arial" w:hAnsi="Arial" w:cs="Arial"/>
          <w:sz w:val="22"/>
          <w:szCs w:val="22"/>
          <w:lang w:val="en-US"/>
        </w:rPr>
        <w:t xml:space="preserve">; </w:t>
      </w:r>
      <w:r w:rsidR="000B4747">
        <w:rPr>
          <w:rFonts w:ascii="Arial" w:hAnsi="Arial" w:cs="Arial"/>
          <w:sz w:val="22"/>
          <w:szCs w:val="22"/>
          <w:lang w:val="en-US"/>
        </w:rPr>
        <w:t>13</w:t>
      </w:r>
      <w:r w:rsidRPr="008C7FCA">
        <w:rPr>
          <w:rFonts w:ascii="Arial" w:hAnsi="Arial" w:cs="Arial"/>
          <w:sz w:val="22"/>
          <w:szCs w:val="22"/>
          <w:lang w:val="en-US"/>
        </w:rPr>
        <w:t xml:space="preserve"> (</w:t>
      </w:r>
      <w:r w:rsidR="004A3EF5">
        <w:rPr>
          <w:rFonts w:ascii="Arial" w:hAnsi="Arial" w:cs="Arial"/>
          <w:sz w:val="22"/>
          <w:szCs w:val="22"/>
          <w:lang w:val="en-US"/>
        </w:rPr>
        <w:t>6</w:t>
      </w:r>
      <w:r w:rsidR="00C2287A">
        <w:rPr>
          <w:rFonts w:ascii="Arial" w:hAnsi="Arial" w:cs="Arial"/>
          <w:sz w:val="22"/>
          <w:szCs w:val="22"/>
          <w:lang w:val="en-US"/>
        </w:rPr>
        <w:t>8.4</w:t>
      </w:r>
      <w:r w:rsidRPr="008C7FCA">
        <w:rPr>
          <w:rFonts w:ascii="Arial" w:hAnsi="Arial" w:cs="Arial"/>
          <w:sz w:val="22"/>
          <w:szCs w:val="22"/>
          <w:lang w:val="en-US"/>
        </w:rPr>
        <w:t xml:space="preserve">%) </w:t>
      </w:r>
      <w:r w:rsidR="00F50512" w:rsidRPr="008C7FCA">
        <w:rPr>
          <w:rFonts w:ascii="Arial" w:hAnsi="Arial" w:cs="Arial"/>
          <w:sz w:val="22"/>
          <w:szCs w:val="22"/>
          <w:lang w:val="en-US"/>
        </w:rPr>
        <w:t xml:space="preserve">patients had </w:t>
      </w:r>
      <w:r w:rsidR="00813F7A" w:rsidRPr="008C7FCA">
        <w:rPr>
          <w:rFonts w:ascii="Arial" w:hAnsi="Arial" w:cs="Arial"/>
          <w:sz w:val="22"/>
          <w:szCs w:val="22"/>
          <w:lang w:val="en-US"/>
        </w:rPr>
        <w:t>ER</w:t>
      </w:r>
      <w:r w:rsidR="00813F7A">
        <w:rPr>
          <w:rFonts w:ascii="Arial" w:hAnsi="Arial" w:cs="Arial"/>
          <w:sz w:val="22"/>
          <w:szCs w:val="22"/>
          <w:lang w:val="en-US"/>
        </w:rPr>
        <w:t>-</w:t>
      </w:r>
      <w:r w:rsidRPr="008C7FCA">
        <w:rPr>
          <w:rFonts w:ascii="Arial" w:hAnsi="Arial" w:cs="Arial"/>
          <w:sz w:val="22"/>
          <w:szCs w:val="22"/>
          <w:lang w:val="en-US"/>
        </w:rPr>
        <w:t>positive</w:t>
      </w:r>
      <w:r w:rsidR="00F50512" w:rsidRPr="008C7FCA">
        <w:rPr>
          <w:rFonts w:ascii="Arial" w:hAnsi="Arial" w:cs="Arial"/>
          <w:sz w:val="22"/>
          <w:szCs w:val="22"/>
          <w:lang w:val="en-US"/>
        </w:rPr>
        <w:t xml:space="preserve"> cancers</w:t>
      </w:r>
      <w:r w:rsidRPr="00A3163A">
        <w:rPr>
          <w:rFonts w:ascii="Arial" w:hAnsi="Arial" w:cs="Arial"/>
          <w:sz w:val="22"/>
          <w:szCs w:val="22"/>
          <w:lang w:val="en-US"/>
        </w:rPr>
        <w:t xml:space="preserve">, all were </w:t>
      </w:r>
      <w:r w:rsidR="00813F7A" w:rsidRPr="008C7FCA">
        <w:rPr>
          <w:rFonts w:ascii="Arial" w:hAnsi="Arial" w:cs="Arial"/>
          <w:iCs/>
          <w:sz w:val="22"/>
          <w:szCs w:val="22"/>
          <w:lang w:val="en-US"/>
        </w:rPr>
        <w:t>HER2</w:t>
      </w:r>
      <w:r w:rsidR="00813F7A">
        <w:rPr>
          <w:rFonts w:ascii="Arial" w:hAnsi="Arial" w:cs="Arial"/>
          <w:sz w:val="22"/>
          <w:szCs w:val="22"/>
          <w:lang w:val="en-US"/>
        </w:rPr>
        <w:t>-</w:t>
      </w:r>
      <w:r w:rsidR="006E6414">
        <w:rPr>
          <w:rFonts w:ascii="Arial" w:hAnsi="Arial" w:cs="Arial"/>
          <w:sz w:val="22"/>
          <w:szCs w:val="22"/>
          <w:lang w:val="en-US"/>
        </w:rPr>
        <w:t>negative</w:t>
      </w:r>
      <w:r w:rsidRPr="00442EF7">
        <w:rPr>
          <w:rFonts w:ascii="Arial" w:hAnsi="Arial" w:cs="Arial"/>
          <w:sz w:val="22"/>
          <w:szCs w:val="22"/>
          <w:lang w:val="en-US"/>
        </w:rPr>
        <w:t>, and 14 (</w:t>
      </w:r>
      <w:r w:rsidR="004A3EF5">
        <w:rPr>
          <w:rFonts w:ascii="Arial" w:hAnsi="Arial" w:cs="Arial"/>
          <w:sz w:val="22"/>
          <w:szCs w:val="22"/>
          <w:lang w:val="en-US"/>
        </w:rPr>
        <w:t>7</w:t>
      </w:r>
      <w:r w:rsidR="00C2287A">
        <w:rPr>
          <w:rFonts w:ascii="Arial" w:hAnsi="Arial" w:cs="Arial"/>
          <w:sz w:val="22"/>
          <w:szCs w:val="22"/>
          <w:lang w:val="en-US"/>
        </w:rPr>
        <w:t>3.7</w:t>
      </w:r>
      <w:r w:rsidRPr="00442EF7">
        <w:rPr>
          <w:rFonts w:ascii="Arial" w:hAnsi="Arial" w:cs="Arial"/>
          <w:sz w:val="22"/>
          <w:szCs w:val="22"/>
          <w:lang w:val="en-US"/>
        </w:rPr>
        <w:t>%) had visceral metastases</w:t>
      </w:r>
      <w:r w:rsidR="00D94DCE">
        <w:rPr>
          <w:rFonts w:ascii="Arial" w:hAnsi="Arial" w:cs="Arial"/>
          <w:sz w:val="22"/>
          <w:szCs w:val="22"/>
          <w:lang w:val="en-US"/>
        </w:rPr>
        <w:t xml:space="preserve"> </w:t>
      </w:r>
      <w:r w:rsidR="00D94DCE" w:rsidRPr="008C7FCA">
        <w:rPr>
          <w:rFonts w:ascii="Arial" w:hAnsi="Arial" w:cs="Arial"/>
          <w:sz w:val="22"/>
          <w:szCs w:val="22"/>
          <w:lang w:val="en-US"/>
        </w:rPr>
        <w:t>(Table</w:t>
      </w:r>
      <w:r w:rsidR="002522D6">
        <w:rPr>
          <w:rFonts w:ascii="Arial" w:hAnsi="Arial" w:cs="Arial"/>
          <w:sz w:val="22"/>
          <w:szCs w:val="22"/>
          <w:lang w:val="en-US"/>
        </w:rPr>
        <w:t xml:space="preserve"> </w:t>
      </w:r>
      <w:r w:rsidR="00604A4C">
        <w:rPr>
          <w:rFonts w:ascii="Arial" w:hAnsi="Arial" w:cs="Arial"/>
          <w:sz w:val="22"/>
          <w:szCs w:val="22"/>
          <w:lang w:val="en-US"/>
        </w:rPr>
        <w:t>1</w:t>
      </w:r>
      <w:r w:rsidR="00D94DCE" w:rsidRPr="008C7FCA">
        <w:rPr>
          <w:rFonts w:ascii="Arial" w:hAnsi="Arial" w:cs="Arial"/>
          <w:sz w:val="22"/>
          <w:szCs w:val="22"/>
          <w:lang w:val="en-US"/>
        </w:rPr>
        <w:t>)</w:t>
      </w:r>
      <w:r w:rsidRPr="00442EF7">
        <w:rPr>
          <w:rFonts w:ascii="Arial" w:hAnsi="Arial" w:cs="Arial"/>
          <w:sz w:val="22"/>
          <w:szCs w:val="22"/>
          <w:lang w:val="en-US"/>
        </w:rPr>
        <w:t xml:space="preserve">. </w:t>
      </w:r>
      <w:r w:rsidR="00813F7A">
        <w:rPr>
          <w:rFonts w:ascii="Arial" w:hAnsi="Arial" w:cs="Arial"/>
          <w:sz w:val="22"/>
          <w:szCs w:val="22"/>
          <w:lang w:val="en-US"/>
        </w:rPr>
        <w:t>The m</w:t>
      </w:r>
      <w:r w:rsidRPr="00442EF7">
        <w:rPr>
          <w:rFonts w:ascii="Arial" w:hAnsi="Arial" w:cs="Arial"/>
          <w:sz w:val="22"/>
          <w:szCs w:val="22"/>
          <w:lang w:val="en-US"/>
        </w:rPr>
        <w:t xml:space="preserve">utations </w:t>
      </w:r>
      <w:r w:rsidR="00813F7A">
        <w:rPr>
          <w:rFonts w:ascii="Arial" w:hAnsi="Arial" w:cs="Arial"/>
          <w:sz w:val="22"/>
          <w:szCs w:val="22"/>
          <w:lang w:val="en-US"/>
        </w:rPr>
        <w:t xml:space="preserve">detected </w:t>
      </w:r>
      <w:r w:rsidRPr="00442EF7">
        <w:rPr>
          <w:rFonts w:ascii="Arial" w:hAnsi="Arial" w:cs="Arial"/>
          <w:sz w:val="22"/>
          <w:szCs w:val="22"/>
          <w:lang w:val="en-US"/>
        </w:rPr>
        <w:t xml:space="preserve">were </w:t>
      </w:r>
      <w:r w:rsidRPr="00004C7E">
        <w:rPr>
          <w:rFonts w:ascii="Arial" w:hAnsi="Arial"/>
          <w:i/>
          <w:sz w:val="22"/>
          <w:lang w:val="en-US"/>
        </w:rPr>
        <w:t>AKT1</w:t>
      </w:r>
      <w:r w:rsidRPr="00442EF7">
        <w:rPr>
          <w:rFonts w:ascii="Arial" w:hAnsi="Arial" w:cs="Arial"/>
          <w:sz w:val="22"/>
          <w:szCs w:val="22"/>
          <w:lang w:val="en-US"/>
        </w:rPr>
        <w:t xml:space="preserve"> E17K (</w:t>
      </w:r>
      <w:r w:rsidR="000B4747">
        <w:rPr>
          <w:rFonts w:ascii="Arial" w:hAnsi="Arial" w:cs="Arial"/>
          <w:sz w:val="22"/>
          <w:szCs w:val="22"/>
          <w:lang w:val="en-US"/>
        </w:rPr>
        <w:t>five</w:t>
      </w:r>
      <w:r w:rsidRPr="00442EF7">
        <w:rPr>
          <w:rFonts w:ascii="Arial" w:hAnsi="Arial" w:cs="Arial"/>
          <w:sz w:val="22"/>
          <w:szCs w:val="22"/>
          <w:lang w:val="en-US"/>
        </w:rPr>
        <w:t xml:space="preserve"> patients), </w:t>
      </w:r>
      <w:r w:rsidRPr="00004C7E">
        <w:rPr>
          <w:rFonts w:ascii="Arial" w:hAnsi="Arial"/>
          <w:i/>
          <w:sz w:val="22"/>
          <w:lang w:val="en-US"/>
        </w:rPr>
        <w:t>AKT1</w:t>
      </w:r>
      <w:r w:rsidRPr="00442EF7">
        <w:rPr>
          <w:rFonts w:ascii="Arial" w:hAnsi="Arial" w:cs="Arial"/>
          <w:sz w:val="22"/>
          <w:szCs w:val="22"/>
          <w:lang w:val="en-US"/>
        </w:rPr>
        <w:t xml:space="preserve"> L52R (</w:t>
      </w:r>
      <w:r w:rsidR="000B4747">
        <w:rPr>
          <w:rFonts w:ascii="Arial" w:hAnsi="Arial" w:cs="Arial"/>
          <w:sz w:val="22"/>
          <w:szCs w:val="22"/>
          <w:lang w:val="en-US"/>
        </w:rPr>
        <w:t>one</w:t>
      </w:r>
      <w:r w:rsidRPr="00442EF7">
        <w:rPr>
          <w:rFonts w:ascii="Arial" w:hAnsi="Arial" w:cs="Arial"/>
          <w:sz w:val="22"/>
          <w:szCs w:val="22"/>
          <w:lang w:val="en-US"/>
        </w:rPr>
        <w:t>)</w:t>
      </w:r>
      <w:r w:rsidR="00C20544" w:rsidRPr="00D856EB">
        <w:rPr>
          <w:rFonts w:ascii="Arial" w:hAnsi="Arial" w:cs="Arial"/>
          <w:sz w:val="22"/>
          <w:szCs w:val="22"/>
          <w:lang w:val="en-US"/>
        </w:rPr>
        <w:t>,</w:t>
      </w:r>
      <w:r w:rsidRPr="00E27B44">
        <w:rPr>
          <w:rFonts w:ascii="Arial" w:hAnsi="Arial" w:cs="Arial"/>
          <w:sz w:val="22"/>
          <w:szCs w:val="22"/>
          <w:lang w:val="en-US"/>
        </w:rPr>
        <w:t xml:space="preserve"> </w:t>
      </w:r>
      <w:r w:rsidRPr="00004C7E">
        <w:rPr>
          <w:rFonts w:ascii="Arial" w:hAnsi="Arial"/>
          <w:i/>
          <w:sz w:val="22"/>
          <w:lang w:val="en-US"/>
        </w:rPr>
        <w:t>PTEN</w:t>
      </w:r>
      <w:r w:rsidRPr="00E27B44">
        <w:rPr>
          <w:rFonts w:ascii="Arial" w:hAnsi="Arial" w:cs="Arial"/>
          <w:sz w:val="22"/>
          <w:szCs w:val="22"/>
          <w:lang w:val="en-US"/>
        </w:rPr>
        <w:t xml:space="preserve"> inactivating mutation (12), and </w:t>
      </w:r>
      <w:r w:rsidRPr="00004C7E">
        <w:rPr>
          <w:rFonts w:ascii="Arial" w:hAnsi="Arial"/>
          <w:sz w:val="22"/>
          <w:lang w:val="en-US"/>
        </w:rPr>
        <w:t>PTEN</w:t>
      </w:r>
      <w:r w:rsidRPr="00BA469C">
        <w:rPr>
          <w:rFonts w:ascii="Arial" w:hAnsi="Arial" w:cs="Arial"/>
          <w:sz w:val="22"/>
          <w:szCs w:val="22"/>
          <w:lang w:val="en-US"/>
        </w:rPr>
        <w:t xml:space="preserve"> </w:t>
      </w:r>
      <w:r w:rsidRPr="00E27B44">
        <w:rPr>
          <w:rFonts w:ascii="Arial" w:hAnsi="Arial" w:cs="Arial"/>
          <w:sz w:val="22"/>
          <w:szCs w:val="22"/>
          <w:lang w:val="en-US"/>
        </w:rPr>
        <w:t>homozygous deletion (</w:t>
      </w:r>
      <w:r w:rsidR="000B4747">
        <w:rPr>
          <w:rFonts w:ascii="Arial" w:hAnsi="Arial" w:cs="Arial"/>
          <w:sz w:val="22"/>
          <w:szCs w:val="22"/>
          <w:lang w:val="en-US"/>
        </w:rPr>
        <w:t>one</w:t>
      </w:r>
      <w:r w:rsidRPr="00E27B44">
        <w:rPr>
          <w:rFonts w:ascii="Arial" w:hAnsi="Arial" w:cs="Arial"/>
          <w:sz w:val="22"/>
          <w:szCs w:val="22"/>
          <w:lang w:val="en-US"/>
        </w:rPr>
        <w:t xml:space="preserve">). All patients were </w:t>
      </w:r>
      <w:r w:rsidRPr="00DF48EA">
        <w:rPr>
          <w:rFonts w:ascii="Arial" w:hAnsi="Arial" w:cs="Arial"/>
          <w:sz w:val="22"/>
          <w:szCs w:val="22"/>
          <w:lang w:val="en-US"/>
        </w:rPr>
        <w:t>evaluable</w:t>
      </w:r>
      <w:r w:rsidR="006E6414">
        <w:rPr>
          <w:rFonts w:ascii="Arial" w:hAnsi="Arial" w:cs="Arial"/>
          <w:sz w:val="22"/>
          <w:szCs w:val="22"/>
          <w:lang w:val="en-US"/>
        </w:rPr>
        <w:t xml:space="preserve">, with a </w:t>
      </w:r>
      <w:r w:rsidRPr="007769F1">
        <w:rPr>
          <w:rFonts w:ascii="Arial" w:hAnsi="Arial" w:cs="Arial"/>
          <w:sz w:val="22"/>
          <w:szCs w:val="22"/>
          <w:lang w:val="en-US"/>
        </w:rPr>
        <w:t>confirmed response</w:t>
      </w:r>
      <w:r w:rsidR="00813F7A">
        <w:rPr>
          <w:rFonts w:ascii="Arial" w:hAnsi="Arial" w:cs="Arial"/>
          <w:sz w:val="22"/>
          <w:szCs w:val="22"/>
          <w:lang w:val="en-US"/>
        </w:rPr>
        <w:t xml:space="preserve"> rate</w:t>
      </w:r>
      <w:r w:rsidRPr="007769F1">
        <w:rPr>
          <w:rFonts w:ascii="Arial" w:hAnsi="Arial" w:cs="Arial"/>
          <w:sz w:val="22"/>
          <w:szCs w:val="22"/>
          <w:lang w:val="en-US"/>
        </w:rPr>
        <w:t xml:space="preserve"> of 1</w:t>
      </w:r>
      <w:r w:rsidR="00D05A74">
        <w:rPr>
          <w:rFonts w:ascii="Arial" w:hAnsi="Arial" w:cs="Arial"/>
          <w:sz w:val="22"/>
          <w:szCs w:val="22"/>
          <w:lang w:val="en-US"/>
        </w:rPr>
        <w:t>0.5</w:t>
      </w:r>
      <w:r w:rsidRPr="007769F1">
        <w:rPr>
          <w:rFonts w:ascii="Arial" w:hAnsi="Arial" w:cs="Arial"/>
          <w:sz w:val="22"/>
          <w:szCs w:val="22"/>
          <w:lang w:val="en-US"/>
        </w:rPr>
        <w:t>% (</w:t>
      </w:r>
      <w:r w:rsidR="006E6414">
        <w:rPr>
          <w:rFonts w:ascii="Arial" w:hAnsi="Arial" w:cs="Arial"/>
          <w:sz w:val="22"/>
          <w:szCs w:val="22"/>
          <w:lang w:val="en-US"/>
        </w:rPr>
        <w:t xml:space="preserve">2/19, </w:t>
      </w:r>
      <w:r w:rsidRPr="007769F1">
        <w:rPr>
          <w:rFonts w:ascii="Arial" w:hAnsi="Arial" w:cs="Arial"/>
          <w:sz w:val="22"/>
          <w:szCs w:val="22"/>
          <w:lang w:val="en-US"/>
        </w:rPr>
        <w:t>95%CI</w:t>
      </w:r>
      <w:r w:rsidR="000631F8">
        <w:rPr>
          <w:rFonts w:ascii="Arial" w:hAnsi="Arial" w:cs="Arial"/>
          <w:sz w:val="22"/>
          <w:szCs w:val="22"/>
          <w:lang w:val="en-US"/>
        </w:rPr>
        <w:t>,</w:t>
      </w:r>
      <w:r w:rsidRPr="008C7FCA">
        <w:rPr>
          <w:rFonts w:ascii="Arial" w:hAnsi="Arial" w:cs="Arial"/>
          <w:sz w:val="22"/>
          <w:szCs w:val="22"/>
          <w:lang w:val="en-US"/>
        </w:rPr>
        <w:t>1.3</w:t>
      </w:r>
      <w:r w:rsidR="004A3EF5">
        <w:rPr>
          <w:rFonts w:ascii="Arial" w:hAnsi="Arial" w:cs="Arial"/>
          <w:sz w:val="22"/>
          <w:szCs w:val="22"/>
          <w:lang w:val="en-US"/>
        </w:rPr>
        <w:t>-</w:t>
      </w:r>
      <w:r w:rsidRPr="008C7FCA">
        <w:rPr>
          <w:rFonts w:ascii="Arial" w:hAnsi="Arial" w:cs="Arial"/>
          <w:sz w:val="22"/>
          <w:szCs w:val="22"/>
          <w:lang w:val="en-US"/>
        </w:rPr>
        <w:t>33.1</w:t>
      </w:r>
      <w:r w:rsidRPr="00A3163A">
        <w:rPr>
          <w:rFonts w:ascii="Arial" w:hAnsi="Arial" w:cs="Arial"/>
          <w:sz w:val="22"/>
          <w:szCs w:val="22"/>
          <w:lang w:val="en-US"/>
        </w:rPr>
        <w:t xml:space="preserve">, </w:t>
      </w:r>
      <w:r w:rsidRPr="00442EF7">
        <w:rPr>
          <w:rFonts w:ascii="Arial" w:hAnsi="Arial" w:cs="Arial"/>
          <w:sz w:val="22"/>
          <w:szCs w:val="22"/>
          <w:lang w:val="en-US"/>
        </w:rPr>
        <w:t>Figure</w:t>
      </w:r>
      <w:r w:rsidR="002522D6">
        <w:rPr>
          <w:rFonts w:ascii="Arial" w:hAnsi="Arial" w:cs="Arial"/>
          <w:sz w:val="22"/>
          <w:szCs w:val="22"/>
          <w:lang w:val="en-US"/>
        </w:rPr>
        <w:t xml:space="preserve"> </w:t>
      </w:r>
      <w:r w:rsidR="0023213F" w:rsidRPr="00442EF7">
        <w:rPr>
          <w:rFonts w:ascii="Arial" w:hAnsi="Arial" w:cs="Arial"/>
          <w:sz w:val="22"/>
          <w:szCs w:val="22"/>
          <w:lang w:val="en-US"/>
        </w:rPr>
        <w:t>4</w:t>
      </w:r>
      <w:r w:rsidR="0023213F">
        <w:rPr>
          <w:rFonts w:ascii="Arial" w:hAnsi="Arial" w:cs="Arial"/>
          <w:sz w:val="22"/>
          <w:szCs w:val="22"/>
          <w:lang w:val="en-US"/>
        </w:rPr>
        <w:t>B</w:t>
      </w:r>
      <w:r w:rsidRPr="00442EF7">
        <w:rPr>
          <w:rFonts w:ascii="Arial" w:hAnsi="Arial" w:cs="Arial"/>
          <w:sz w:val="22"/>
          <w:szCs w:val="22"/>
          <w:lang w:val="en-US"/>
        </w:rPr>
        <w:t>)</w:t>
      </w:r>
      <w:r w:rsidR="002B5DBC">
        <w:rPr>
          <w:rFonts w:ascii="Arial" w:hAnsi="Arial" w:cs="Arial"/>
          <w:sz w:val="22"/>
          <w:szCs w:val="22"/>
          <w:lang w:val="en-US"/>
        </w:rPr>
        <w:t>.</w:t>
      </w:r>
      <w:r w:rsidR="005B12CB" w:rsidRPr="009479D7">
        <w:rPr>
          <w:rFonts w:ascii="Arial" w:hAnsi="Arial" w:cs="Arial"/>
          <w:sz w:val="22"/>
          <w:szCs w:val="22"/>
          <w:lang w:val="en-US"/>
        </w:rPr>
        <w:t xml:space="preserve"> </w:t>
      </w:r>
      <w:r w:rsidR="00EF199A" w:rsidRPr="008C7FCA">
        <w:rPr>
          <w:rFonts w:ascii="Arial" w:hAnsi="Arial" w:cs="Arial"/>
          <w:sz w:val="22"/>
          <w:szCs w:val="22"/>
          <w:lang w:val="en-US"/>
        </w:rPr>
        <w:t>M</w:t>
      </w:r>
      <w:r w:rsidRPr="008C7FCA">
        <w:rPr>
          <w:rFonts w:ascii="Arial" w:hAnsi="Arial" w:cs="Arial"/>
          <w:sz w:val="22"/>
          <w:szCs w:val="22"/>
          <w:lang w:val="en-US"/>
        </w:rPr>
        <w:t xml:space="preserve">edian duration of response </w:t>
      </w:r>
      <w:r w:rsidR="00EF199A" w:rsidRPr="008C7FCA">
        <w:rPr>
          <w:rFonts w:ascii="Arial" w:hAnsi="Arial" w:cs="Arial"/>
          <w:sz w:val="22"/>
          <w:szCs w:val="22"/>
          <w:lang w:val="en-US"/>
        </w:rPr>
        <w:t xml:space="preserve">was </w:t>
      </w:r>
      <w:r w:rsidRPr="008C7FCA">
        <w:rPr>
          <w:rFonts w:ascii="Arial" w:hAnsi="Arial" w:cs="Arial"/>
          <w:sz w:val="22"/>
          <w:szCs w:val="22"/>
          <w:lang w:val="en-US"/>
        </w:rPr>
        <w:t>3.</w:t>
      </w:r>
      <w:r w:rsidR="000631F8">
        <w:rPr>
          <w:rFonts w:ascii="Arial" w:hAnsi="Arial" w:cs="Arial"/>
          <w:sz w:val="22"/>
          <w:szCs w:val="22"/>
          <w:lang w:val="en-US"/>
        </w:rPr>
        <w:t>9</w:t>
      </w:r>
      <w:r w:rsidRPr="008C7FCA">
        <w:rPr>
          <w:rFonts w:ascii="Arial" w:hAnsi="Arial" w:cs="Arial"/>
          <w:sz w:val="22"/>
          <w:szCs w:val="22"/>
          <w:lang w:val="en-US"/>
        </w:rPr>
        <w:t xml:space="preserve"> months (IQR</w:t>
      </w:r>
      <w:r w:rsidR="00C2287A">
        <w:rPr>
          <w:rFonts w:ascii="Arial" w:hAnsi="Arial" w:cs="Arial"/>
          <w:sz w:val="22"/>
          <w:szCs w:val="22"/>
          <w:lang w:val="en-US"/>
        </w:rPr>
        <w:t>:</w:t>
      </w:r>
      <w:r w:rsidR="000631F8">
        <w:rPr>
          <w:rFonts w:ascii="Arial" w:hAnsi="Arial" w:cs="Arial"/>
          <w:sz w:val="22"/>
          <w:szCs w:val="22"/>
          <w:lang w:val="en-US"/>
        </w:rPr>
        <w:t>3.7</w:t>
      </w:r>
      <w:r w:rsidR="004A3EF5">
        <w:rPr>
          <w:rFonts w:ascii="Arial" w:hAnsi="Arial" w:cs="Arial"/>
          <w:sz w:val="22"/>
          <w:szCs w:val="22"/>
          <w:lang w:val="en-US"/>
        </w:rPr>
        <w:t>-</w:t>
      </w:r>
      <w:r w:rsidR="000631F8">
        <w:rPr>
          <w:rFonts w:ascii="Arial" w:hAnsi="Arial" w:cs="Arial"/>
          <w:sz w:val="22"/>
          <w:szCs w:val="22"/>
          <w:lang w:val="en-US"/>
        </w:rPr>
        <w:t>4.2</w:t>
      </w:r>
      <w:r w:rsidRPr="008C7FCA">
        <w:rPr>
          <w:rFonts w:ascii="Arial" w:hAnsi="Arial" w:cs="Arial"/>
          <w:sz w:val="22"/>
          <w:szCs w:val="22"/>
          <w:lang w:val="en-US"/>
        </w:rPr>
        <w:t xml:space="preserve"> months) with </w:t>
      </w:r>
      <w:r w:rsidR="000B4747">
        <w:rPr>
          <w:rFonts w:ascii="Arial" w:hAnsi="Arial" w:cs="Arial"/>
          <w:sz w:val="22"/>
          <w:szCs w:val="22"/>
          <w:lang w:val="en-US"/>
        </w:rPr>
        <w:t>one</w:t>
      </w:r>
      <w:r w:rsidRPr="008C7FCA">
        <w:rPr>
          <w:rFonts w:ascii="Arial" w:hAnsi="Arial" w:cs="Arial"/>
          <w:sz w:val="22"/>
          <w:szCs w:val="22"/>
          <w:lang w:val="en-US"/>
        </w:rPr>
        <w:t xml:space="preserve"> patient continuing</w:t>
      </w:r>
      <w:r w:rsidR="00813F7A">
        <w:rPr>
          <w:rFonts w:ascii="Arial" w:hAnsi="Arial" w:cs="Arial"/>
          <w:sz w:val="22"/>
          <w:szCs w:val="22"/>
          <w:lang w:val="en-US"/>
        </w:rPr>
        <w:t xml:space="preserve"> on</w:t>
      </w:r>
      <w:r w:rsidRPr="008C7FCA">
        <w:rPr>
          <w:rFonts w:ascii="Arial" w:hAnsi="Arial" w:cs="Arial"/>
          <w:sz w:val="22"/>
          <w:szCs w:val="22"/>
          <w:lang w:val="en-US"/>
        </w:rPr>
        <w:t xml:space="preserve"> treatment. </w:t>
      </w:r>
      <w:r w:rsidR="00EF199A" w:rsidRPr="008C7FCA">
        <w:rPr>
          <w:rFonts w:ascii="Arial" w:hAnsi="Arial" w:cs="Arial"/>
          <w:sz w:val="22"/>
          <w:szCs w:val="22"/>
          <w:lang w:val="en-US"/>
        </w:rPr>
        <w:t xml:space="preserve">Two of the </w:t>
      </w:r>
      <w:r w:rsidR="000B4747">
        <w:rPr>
          <w:rFonts w:ascii="Arial" w:hAnsi="Arial" w:cs="Arial"/>
          <w:sz w:val="22"/>
          <w:szCs w:val="22"/>
          <w:lang w:val="en-US"/>
        </w:rPr>
        <w:t>six</w:t>
      </w:r>
      <w:r w:rsidR="00813F7A" w:rsidRPr="008C7FCA">
        <w:rPr>
          <w:rFonts w:ascii="Arial" w:hAnsi="Arial" w:cs="Arial"/>
          <w:sz w:val="22"/>
          <w:szCs w:val="22"/>
          <w:lang w:val="en-US"/>
        </w:rPr>
        <w:t xml:space="preserve"> </w:t>
      </w:r>
      <w:r w:rsidRPr="008C7FCA">
        <w:rPr>
          <w:rFonts w:ascii="Arial" w:hAnsi="Arial" w:cs="Arial"/>
          <w:sz w:val="22"/>
          <w:szCs w:val="22"/>
          <w:lang w:val="en-US"/>
        </w:rPr>
        <w:t xml:space="preserve">patients with </w:t>
      </w:r>
      <w:r w:rsidRPr="008C7FCA">
        <w:rPr>
          <w:rFonts w:ascii="Arial" w:hAnsi="Arial" w:cs="Arial"/>
          <w:i/>
          <w:sz w:val="22"/>
          <w:szCs w:val="22"/>
          <w:lang w:val="en-US"/>
        </w:rPr>
        <w:t>AKT1</w:t>
      </w:r>
      <w:r w:rsidRPr="008C7FCA">
        <w:rPr>
          <w:rFonts w:ascii="Arial" w:hAnsi="Arial" w:cs="Arial"/>
          <w:sz w:val="22"/>
          <w:szCs w:val="22"/>
          <w:lang w:val="en-US"/>
        </w:rPr>
        <w:t xml:space="preserve"> mutations </w:t>
      </w:r>
      <w:r w:rsidR="00EF199A" w:rsidRPr="008C7FCA">
        <w:rPr>
          <w:rFonts w:ascii="Arial" w:hAnsi="Arial" w:cs="Arial"/>
          <w:sz w:val="22"/>
          <w:szCs w:val="22"/>
          <w:lang w:val="en-US"/>
        </w:rPr>
        <w:t>responded (3</w:t>
      </w:r>
      <w:r w:rsidRPr="008C7FCA">
        <w:rPr>
          <w:rFonts w:ascii="Arial" w:hAnsi="Arial" w:cs="Arial"/>
          <w:sz w:val="22"/>
          <w:szCs w:val="22"/>
          <w:lang w:val="en-US"/>
        </w:rPr>
        <w:t>3</w:t>
      </w:r>
      <w:r w:rsidR="000631F8">
        <w:rPr>
          <w:rFonts w:ascii="Arial" w:hAnsi="Arial" w:cs="Arial"/>
          <w:sz w:val="22"/>
          <w:szCs w:val="22"/>
          <w:lang w:val="en-US"/>
        </w:rPr>
        <w:t>.3</w:t>
      </w:r>
      <w:r w:rsidRPr="008C7FCA">
        <w:rPr>
          <w:rFonts w:ascii="Arial" w:hAnsi="Arial" w:cs="Arial"/>
          <w:sz w:val="22"/>
          <w:szCs w:val="22"/>
          <w:lang w:val="en-US"/>
        </w:rPr>
        <w:t>%</w:t>
      </w:r>
      <w:r w:rsidR="006E6414">
        <w:rPr>
          <w:rFonts w:ascii="Arial" w:hAnsi="Arial" w:cs="Arial"/>
          <w:sz w:val="22"/>
          <w:szCs w:val="22"/>
          <w:lang w:val="en-US"/>
        </w:rPr>
        <w:t>,</w:t>
      </w:r>
      <w:r w:rsidR="00CC2D5C">
        <w:rPr>
          <w:rFonts w:ascii="Arial" w:hAnsi="Arial" w:cs="Arial"/>
          <w:sz w:val="22"/>
          <w:szCs w:val="22"/>
          <w:lang w:val="en-US"/>
        </w:rPr>
        <w:t xml:space="preserve"> </w:t>
      </w:r>
      <w:r w:rsidR="006E6414" w:rsidRPr="006E6414">
        <w:rPr>
          <w:rFonts w:ascii="Arial" w:hAnsi="Arial" w:cs="Arial"/>
          <w:sz w:val="22"/>
          <w:szCs w:val="22"/>
        </w:rPr>
        <w:t>95%CI</w:t>
      </w:r>
      <w:r w:rsidR="00CC2D5C">
        <w:rPr>
          <w:rFonts w:ascii="Arial" w:hAnsi="Arial" w:cs="Arial"/>
          <w:sz w:val="22"/>
          <w:szCs w:val="22"/>
        </w:rPr>
        <w:t>,</w:t>
      </w:r>
      <w:r w:rsidR="006E6414" w:rsidRPr="006E6414">
        <w:rPr>
          <w:rFonts w:ascii="Arial" w:hAnsi="Arial" w:cs="Arial"/>
          <w:sz w:val="22"/>
          <w:szCs w:val="22"/>
        </w:rPr>
        <w:t>4.3</w:t>
      </w:r>
      <w:r w:rsidR="004A3EF5">
        <w:rPr>
          <w:rFonts w:ascii="Arial" w:hAnsi="Arial" w:cs="Arial"/>
          <w:sz w:val="22"/>
          <w:szCs w:val="22"/>
        </w:rPr>
        <w:t>-</w:t>
      </w:r>
      <w:r w:rsidR="006E6414" w:rsidRPr="006E6414">
        <w:rPr>
          <w:rFonts w:ascii="Arial" w:hAnsi="Arial" w:cs="Arial"/>
          <w:sz w:val="22"/>
          <w:szCs w:val="22"/>
        </w:rPr>
        <w:t>77.7</w:t>
      </w:r>
      <w:r w:rsidR="00D13FB7" w:rsidRPr="008C7FCA">
        <w:rPr>
          <w:rFonts w:ascii="Arial" w:hAnsi="Arial" w:cs="Arial"/>
          <w:sz w:val="22"/>
          <w:szCs w:val="22"/>
          <w:lang w:val="en-US"/>
        </w:rPr>
        <w:t xml:space="preserve">) </w:t>
      </w:r>
      <w:r w:rsidRPr="008C7FCA">
        <w:rPr>
          <w:rFonts w:ascii="Arial" w:hAnsi="Arial" w:cs="Arial"/>
          <w:sz w:val="22"/>
          <w:szCs w:val="22"/>
          <w:lang w:val="en-US"/>
        </w:rPr>
        <w:t xml:space="preserve">with </w:t>
      </w:r>
      <w:r w:rsidR="000B4747">
        <w:rPr>
          <w:rFonts w:ascii="Arial" w:hAnsi="Arial" w:cs="Arial"/>
          <w:sz w:val="22"/>
          <w:szCs w:val="22"/>
          <w:lang w:val="en-US"/>
        </w:rPr>
        <w:t>two</w:t>
      </w:r>
      <w:r w:rsidRPr="008C7FCA">
        <w:rPr>
          <w:rFonts w:ascii="Arial" w:hAnsi="Arial" w:cs="Arial"/>
          <w:sz w:val="22"/>
          <w:szCs w:val="22"/>
          <w:lang w:val="en-US"/>
        </w:rPr>
        <w:t xml:space="preserve"> further unconfirmed responses. There were no responses in patients with </w:t>
      </w:r>
      <w:r w:rsidRPr="008C7FCA">
        <w:rPr>
          <w:rFonts w:ascii="Arial" w:hAnsi="Arial" w:cs="Arial"/>
          <w:i/>
          <w:sz w:val="22"/>
          <w:szCs w:val="22"/>
          <w:lang w:val="en-US"/>
        </w:rPr>
        <w:t>PTEN</w:t>
      </w:r>
      <w:r w:rsidRPr="008C7FCA">
        <w:rPr>
          <w:rFonts w:ascii="Arial" w:hAnsi="Arial" w:cs="Arial"/>
          <w:sz w:val="22"/>
          <w:szCs w:val="22"/>
          <w:lang w:val="en-US"/>
        </w:rPr>
        <w:t xml:space="preserve"> </w:t>
      </w:r>
      <w:r w:rsidR="0095185F">
        <w:rPr>
          <w:rFonts w:ascii="Arial" w:hAnsi="Arial" w:cs="Arial"/>
          <w:sz w:val="22"/>
          <w:szCs w:val="22"/>
          <w:lang w:val="en-US"/>
        </w:rPr>
        <w:t xml:space="preserve">genomic alterations </w:t>
      </w:r>
      <w:r w:rsidRPr="008C7FCA">
        <w:rPr>
          <w:rFonts w:ascii="Arial" w:hAnsi="Arial" w:cs="Arial"/>
          <w:sz w:val="22"/>
          <w:szCs w:val="22"/>
          <w:lang w:val="en-US"/>
        </w:rPr>
        <w:t>(0/13).</w:t>
      </w:r>
      <w:r w:rsidR="00EF199A" w:rsidRPr="008C7FCA">
        <w:rPr>
          <w:rFonts w:ascii="Arial" w:hAnsi="Arial" w:cs="Arial"/>
          <w:sz w:val="22"/>
          <w:szCs w:val="22"/>
          <w:lang w:val="en-US"/>
        </w:rPr>
        <w:t xml:space="preserve"> </w:t>
      </w:r>
      <w:r w:rsidR="0077022F">
        <w:rPr>
          <w:rFonts w:ascii="Arial" w:hAnsi="Arial" w:cs="Arial"/>
          <w:sz w:val="22"/>
          <w:szCs w:val="22"/>
          <w:lang w:val="en-US"/>
        </w:rPr>
        <w:t xml:space="preserve">Clinical benefit rate was 10.5% (95%CI,1.3-33.3%;2/19 patients).  </w:t>
      </w:r>
      <w:r w:rsidR="00641129" w:rsidRPr="00641129">
        <w:rPr>
          <w:rFonts w:ascii="Arial" w:hAnsi="Arial" w:cs="Arial"/>
          <w:sz w:val="22"/>
          <w:szCs w:val="22"/>
          <w:lang w:val="en-US"/>
        </w:rPr>
        <w:t xml:space="preserve">A total </w:t>
      </w:r>
      <w:r w:rsidR="00641129" w:rsidRPr="00921A9E">
        <w:rPr>
          <w:rFonts w:ascii="Arial" w:hAnsi="Arial" w:cs="Arial"/>
          <w:sz w:val="22"/>
          <w:szCs w:val="22"/>
          <w:lang w:val="en-US"/>
        </w:rPr>
        <w:t xml:space="preserve">of 13/19 (68.4%) patients have had a RECIST-confirmed progression event or death.  </w:t>
      </w:r>
      <w:r w:rsidR="00EF199A" w:rsidRPr="00921A9E">
        <w:rPr>
          <w:rFonts w:ascii="Arial" w:hAnsi="Arial" w:cs="Arial"/>
          <w:sz w:val="22"/>
          <w:szCs w:val="22"/>
          <w:lang w:val="en-US"/>
        </w:rPr>
        <w:t xml:space="preserve">Median </w:t>
      </w:r>
      <w:r w:rsidR="00CC2D5C" w:rsidRPr="00921A9E">
        <w:rPr>
          <w:rFonts w:ascii="Arial" w:hAnsi="Arial" w:cs="Arial"/>
          <w:sz w:val="22"/>
          <w:szCs w:val="22"/>
          <w:lang w:val="en-US"/>
        </w:rPr>
        <w:t>PFS</w:t>
      </w:r>
      <w:r w:rsidR="00EF199A" w:rsidRPr="00921A9E">
        <w:rPr>
          <w:rFonts w:ascii="Arial" w:hAnsi="Arial" w:cs="Arial"/>
          <w:sz w:val="22"/>
          <w:szCs w:val="22"/>
          <w:lang w:val="en-US"/>
        </w:rPr>
        <w:t xml:space="preserve"> was</w:t>
      </w:r>
      <w:r w:rsidR="006E6414" w:rsidRPr="00921A9E">
        <w:rPr>
          <w:rFonts w:ascii="Arial" w:hAnsi="Arial" w:cs="Arial"/>
          <w:sz w:val="22"/>
          <w:szCs w:val="22"/>
        </w:rPr>
        <w:t xml:space="preserve"> 3.4 months (</w:t>
      </w:r>
      <w:r w:rsidR="00CE7C80" w:rsidRPr="00921A9E">
        <w:rPr>
          <w:rFonts w:ascii="Arial" w:hAnsi="Arial" w:cs="Arial"/>
          <w:sz w:val="22"/>
          <w:szCs w:val="22"/>
        </w:rPr>
        <w:t>IQR:</w:t>
      </w:r>
      <w:r w:rsidR="006E6414" w:rsidRPr="00921A9E">
        <w:rPr>
          <w:rFonts w:ascii="Arial" w:hAnsi="Arial" w:cs="Arial"/>
          <w:sz w:val="22"/>
          <w:szCs w:val="22"/>
        </w:rPr>
        <w:t>1.8</w:t>
      </w:r>
      <w:r w:rsidR="004A3EF5" w:rsidRPr="00921A9E">
        <w:rPr>
          <w:rFonts w:ascii="Arial" w:hAnsi="Arial" w:cs="Arial"/>
          <w:sz w:val="22"/>
          <w:szCs w:val="22"/>
        </w:rPr>
        <w:t>-</w:t>
      </w:r>
      <w:r w:rsidR="006E6414" w:rsidRPr="00921A9E">
        <w:rPr>
          <w:rFonts w:ascii="Arial" w:hAnsi="Arial" w:cs="Arial"/>
          <w:sz w:val="22"/>
          <w:szCs w:val="22"/>
        </w:rPr>
        <w:t>5.5</w:t>
      </w:r>
      <w:r w:rsidR="00EF199A" w:rsidRPr="00921A9E">
        <w:rPr>
          <w:rFonts w:ascii="Arial" w:hAnsi="Arial" w:cs="Arial"/>
          <w:sz w:val="22"/>
          <w:szCs w:val="22"/>
          <w:lang w:val="en-US"/>
        </w:rPr>
        <w:t xml:space="preserve">, </w:t>
      </w:r>
      <w:r w:rsidR="009875BC" w:rsidRPr="00921A9E">
        <w:rPr>
          <w:rFonts w:ascii="Arial" w:hAnsi="Arial" w:cs="Arial"/>
          <w:sz w:val="22"/>
          <w:szCs w:val="22"/>
          <w:lang w:val="en-US"/>
        </w:rPr>
        <w:t>appendix p</w:t>
      </w:r>
      <w:r w:rsidR="00451A24" w:rsidRPr="00921A9E">
        <w:rPr>
          <w:rFonts w:ascii="Arial" w:hAnsi="Arial" w:cs="Arial"/>
          <w:sz w:val="22"/>
          <w:szCs w:val="22"/>
          <w:lang w:val="en-US"/>
        </w:rPr>
        <w:t>26</w:t>
      </w:r>
      <w:r w:rsidR="00EF199A" w:rsidRPr="00921A9E">
        <w:rPr>
          <w:rFonts w:ascii="Arial" w:hAnsi="Arial" w:cs="Arial"/>
          <w:sz w:val="22"/>
          <w:szCs w:val="22"/>
          <w:lang w:val="en-US"/>
        </w:rPr>
        <w:t>)</w:t>
      </w:r>
      <w:r w:rsidR="00B42089" w:rsidRPr="00921A9E">
        <w:rPr>
          <w:rFonts w:ascii="Arial" w:hAnsi="Arial" w:cs="Arial"/>
          <w:sz w:val="22"/>
          <w:szCs w:val="22"/>
          <w:lang w:val="en-US"/>
        </w:rPr>
        <w:t>.</w:t>
      </w:r>
      <w:r w:rsidR="00632E6C" w:rsidRPr="00921A9E">
        <w:rPr>
          <w:rFonts w:ascii="Arial" w:hAnsi="Arial" w:cs="Arial"/>
          <w:sz w:val="22"/>
          <w:szCs w:val="22"/>
          <w:lang w:val="en-US"/>
        </w:rPr>
        <w:t xml:space="preserve"> </w:t>
      </w:r>
      <w:r w:rsidR="000B4747" w:rsidRPr="00921A9E">
        <w:rPr>
          <w:rFonts w:ascii="Arial" w:hAnsi="Arial" w:cs="Arial"/>
          <w:sz w:val="22"/>
          <w:szCs w:val="22"/>
          <w:lang w:val="en-US"/>
        </w:rPr>
        <w:t>The most common grade 3/</w:t>
      </w:r>
      <w:r w:rsidRPr="00921A9E">
        <w:rPr>
          <w:rFonts w:ascii="Arial" w:hAnsi="Arial" w:cs="Arial"/>
          <w:sz w:val="22"/>
          <w:szCs w:val="22"/>
          <w:lang w:val="en-US"/>
        </w:rPr>
        <w:t>4 adverse events were rash (</w:t>
      </w:r>
      <w:r w:rsidR="008972E4" w:rsidRPr="00921A9E">
        <w:rPr>
          <w:rFonts w:ascii="Arial" w:hAnsi="Arial" w:cs="Arial"/>
          <w:sz w:val="22"/>
          <w:szCs w:val="22"/>
          <w:lang w:val="en-US"/>
        </w:rPr>
        <w:t>2</w:t>
      </w:r>
      <w:r w:rsidRPr="00921A9E">
        <w:rPr>
          <w:rFonts w:ascii="Arial" w:hAnsi="Arial" w:cs="Arial"/>
          <w:sz w:val="22"/>
          <w:szCs w:val="22"/>
          <w:lang w:val="en-US"/>
        </w:rPr>
        <w:t>6</w:t>
      </w:r>
      <w:r w:rsidR="00DE6EC2" w:rsidRPr="00921A9E">
        <w:rPr>
          <w:rFonts w:ascii="Arial" w:hAnsi="Arial" w:cs="Arial"/>
          <w:sz w:val="22"/>
          <w:szCs w:val="22"/>
          <w:lang w:val="en-US"/>
        </w:rPr>
        <w:t>.3</w:t>
      </w:r>
      <w:r w:rsidRPr="00921A9E">
        <w:rPr>
          <w:rFonts w:ascii="Arial" w:hAnsi="Arial" w:cs="Arial"/>
          <w:sz w:val="22"/>
          <w:szCs w:val="22"/>
          <w:lang w:val="en-US"/>
        </w:rPr>
        <w:t xml:space="preserve">%), </w:t>
      </w:r>
      <w:r w:rsidR="00DE6EC2" w:rsidRPr="00921A9E">
        <w:rPr>
          <w:rFonts w:ascii="Arial" w:hAnsi="Arial" w:cs="Arial"/>
          <w:sz w:val="22"/>
          <w:szCs w:val="22"/>
          <w:lang w:val="en-US"/>
        </w:rPr>
        <w:t xml:space="preserve">hypertension (10.5%), </w:t>
      </w:r>
      <w:r w:rsidRPr="00921A9E">
        <w:rPr>
          <w:rFonts w:ascii="Arial" w:hAnsi="Arial" w:cs="Arial"/>
          <w:sz w:val="22"/>
          <w:szCs w:val="22"/>
          <w:lang w:val="en-US"/>
        </w:rPr>
        <w:t>transaminase increase (1</w:t>
      </w:r>
      <w:r w:rsidR="00DE6EC2" w:rsidRPr="00921A9E">
        <w:rPr>
          <w:rFonts w:ascii="Arial" w:hAnsi="Arial" w:cs="Arial"/>
          <w:sz w:val="22"/>
          <w:szCs w:val="22"/>
          <w:lang w:val="en-US"/>
        </w:rPr>
        <w:t>0.5</w:t>
      </w:r>
      <w:r w:rsidRPr="00921A9E">
        <w:rPr>
          <w:rFonts w:ascii="Arial" w:hAnsi="Arial" w:cs="Arial"/>
          <w:sz w:val="22"/>
          <w:szCs w:val="22"/>
          <w:lang w:val="en-US"/>
        </w:rPr>
        <w:t>%) and vomiting (1</w:t>
      </w:r>
      <w:r w:rsidR="00DE6EC2" w:rsidRPr="00921A9E">
        <w:rPr>
          <w:rFonts w:ascii="Arial" w:hAnsi="Arial" w:cs="Arial"/>
          <w:sz w:val="22"/>
          <w:szCs w:val="22"/>
          <w:lang w:val="en-US"/>
        </w:rPr>
        <w:t>0.5</w:t>
      </w:r>
      <w:r w:rsidRPr="00921A9E">
        <w:rPr>
          <w:rFonts w:ascii="Arial" w:hAnsi="Arial" w:cs="Arial"/>
          <w:sz w:val="22"/>
          <w:szCs w:val="22"/>
          <w:lang w:val="en-US"/>
        </w:rPr>
        <w:t>%) (</w:t>
      </w:r>
      <w:r w:rsidR="009875BC" w:rsidRPr="00921A9E">
        <w:rPr>
          <w:rFonts w:ascii="Arial" w:hAnsi="Arial" w:cs="Arial"/>
          <w:sz w:val="22"/>
          <w:szCs w:val="22"/>
          <w:lang w:val="en-US"/>
        </w:rPr>
        <w:t>appendix p</w:t>
      </w:r>
      <w:r w:rsidR="00451A24" w:rsidRPr="00921A9E">
        <w:rPr>
          <w:rFonts w:ascii="Arial" w:hAnsi="Arial" w:cs="Arial"/>
          <w:sz w:val="22"/>
          <w:szCs w:val="22"/>
          <w:lang w:val="en-US"/>
        </w:rPr>
        <w:t>15</w:t>
      </w:r>
      <w:r w:rsidRPr="00921A9E">
        <w:rPr>
          <w:rFonts w:ascii="Arial" w:hAnsi="Arial" w:cs="Arial"/>
          <w:sz w:val="22"/>
          <w:szCs w:val="22"/>
          <w:lang w:val="en-US"/>
        </w:rPr>
        <w:t>).</w:t>
      </w:r>
      <w:r w:rsidR="001D2CCE" w:rsidRPr="00921A9E">
        <w:rPr>
          <w:rFonts w:ascii="Arial" w:hAnsi="Arial" w:cs="Arial"/>
          <w:sz w:val="22"/>
          <w:szCs w:val="22"/>
          <w:lang w:val="en-US"/>
        </w:rPr>
        <w:t xml:space="preserve"> Four serious adverse reactions were reported in three patients (appendix p</w:t>
      </w:r>
      <w:r w:rsidR="00451A24" w:rsidRPr="00921A9E">
        <w:rPr>
          <w:rFonts w:ascii="Arial" w:hAnsi="Arial" w:cs="Arial"/>
          <w:sz w:val="22"/>
          <w:szCs w:val="22"/>
          <w:lang w:val="en-US"/>
        </w:rPr>
        <w:t>15</w:t>
      </w:r>
      <w:r w:rsidR="001D2CCE" w:rsidRPr="00921A9E">
        <w:rPr>
          <w:rFonts w:ascii="Arial" w:hAnsi="Arial" w:cs="Arial"/>
          <w:sz w:val="22"/>
          <w:szCs w:val="22"/>
          <w:lang w:val="en-US"/>
        </w:rPr>
        <w:t>). There were no treatment-related deaths</w:t>
      </w:r>
      <w:r w:rsidR="00506C97" w:rsidRPr="00921A9E">
        <w:rPr>
          <w:rFonts w:ascii="Arial" w:hAnsi="Arial" w:cs="Arial"/>
          <w:sz w:val="22"/>
          <w:szCs w:val="22"/>
          <w:lang w:val="en-US"/>
        </w:rPr>
        <w:t xml:space="preserve"> and 10/19 (52.6%) breast cancer deaths reported</w:t>
      </w:r>
      <w:r w:rsidR="001D2CCE" w:rsidRPr="00921A9E">
        <w:rPr>
          <w:rFonts w:ascii="Arial" w:hAnsi="Arial" w:cs="Arial"/>
          <w:sz w:val="22"/>
          <w:szCs w:val="22"/>
          <w:lang w:val="en-US"/>
        </w:rPr>
        <w:t xml:space="preserve">. </w:t>
      </w:r>
      <w:r w:rsidR="00AF40F9" w:rsidRPr="00921A9E">
        <w:rPr>
          <w:rFonts w:ascii="Arial" w:hAnsi="Arial" w:cs="Arial"/>
          <w:sz w:val="22"/>
          <w:szCs w:val="22"/>
          <w:lang w:val="en-US"/>
        </w:rPr>
        <w:t>The main reason for treatment discontinuation was disease progression (15/17 (83.3%), appendix p</w:t>
      </w:r>
      <w:r w:rsidR="00451A24" w:rsidRPr="00921A9E">
        <w:rPr>
          <w:rFonts w:ascii="Arial" w:hAnsi="Arial" w:cs="Arial"/>
          <w:sz w:val="22"/>
          <w:szCs w:val="22"/>
          <w:lang w:val="en-US"/>
        </w:rPr>
        <w:t>8</w:t>
      </w:r>
      <w:r w:rsidR="00AF40F9" w:rsidRPr="00921A9E">
        <w:rPr>
          <w:rFonts w:ascii="Arial" w:hAnsi="Arial" w:cs="Arial"/>
          <w:sz w:val="22"/>
          <w:szCs w:val="22"/>
          <w:lang w:val="en-US"/>
        </w:rPr>
        <w:t>). 5 dose reductions of capivasertib (4 to 400mg and 1 to 320mg) were made in 5/19 patients (26.3%</w:t>
      </w:r>
      <w:r w:rsidR="00390741" w:rsidRPr="00921A9E">
        <w:rPr>
          <w:rFonts w:ascii="Arial" w:hAnsi="Arial" w:cs="Arial"/>
          <w:sz w:val="22"/>
          <w:szCs w:val="22"/>
          <w:lang w:val="en-US"/>
        </w:rPr>
        <w:t>), with the main</w:t>
      </w:r>
      <w:r w:rsidR="00AF40F9" w:rsidRPr="00921A9E">
        <w:rPr>
          <w:rFonts w:ascii="Arial" w:hAnsi="Arial" w:cs="Arial"/>
          <w:sz w:val="22"/>
          <w:szCs w:val="22"/>
          <w:lang w:val="en-US"/>
        </w:rPr>
        <w:t xml:space="preserve"> reason </w:t>
      </w:r>
      <w:r w:rsidR="00390741" w:rsidRPr="00921A9E">
        <w:rPr>
          <w:rFonts w:ascii="Arial" w:hAnsi="Arial" w:cs="Arial"/>
          <w:sz w:val="22"/>
          <w:szCs w:val="22"/>
          <w:lang w:val="en-US"/>
        </w:rPr>
        <w:t>being</w:t>
      </w:r>
      <w:r w:rsidR="00AF40F9" w:rsidRPr="00921A9E">
        <w:rPr>
          <w:rFonts w:ascii="Arial" w:hAnsi="Arial" w:cs="Arial"/>
          <w:sz w:val="22"/>
          <w:szCs w:val="22"/>
          <w:lang w:val="en-US"/>
        </w:rPr>
        <w:t xml:space="preserve"> </w:t>
      </w:r>
      <w:r w:rsidR="00390741" w:rsidRPr="00921A9E">
        <w:rPr>
          <w:rFonts w:ascii="Arial" w:hAnsi="Arial" w:cs="Arial"/>
          <w:sz w:val="22"/>
          <w:szCs w:val="22"/>
          <w:lang w:val="en-US"/>
        </w:rPr>
        <w:t xml:space="preserve">adverse efects </w:t>
      </w:r>
      <w:r w:rsidR="00AF40F9" w:rsidRPr="00921A9E">
        <w:rPr>
          <w:rFonts w:ascii="Arial" w:hAnsi="Arial" w:cs="Arial"/>
          <w:sz w:val="22"/>
          <w:szCs w:val="22"/>
          <w:lang w:val="en-US"/>
        </w:rPr>
        <w:t xml:space="preserve">(rash, diarrhoea, vomiting, hyperglycaemia and alkaline phosphatase and GGT raised).  </w:t>
      </w:r>
      <w:r w:rsidR="00D401B2" w:rsidRPr="00921A9E">
        <w:rPr>
          <w:rFonts w:ascii="Arial" w:hAnsi="Arial" w:cs="Arial"/>
          <w:sz w:val="22"/>
          <w:szCs w:val="22"/>
          <w:lang w:val="en-US"/>
        </w:rPr>
        <w:t>The median relative dose intensity</w:t>
      </w:r>
      <w:r w:rsidR="00390741" w:rsidRPr="00921A9E">
        <w:rPr>
          <w:rFonts w:ascii="Arial" w:hAnsi="Arial" w:cs="Arial"/>
          <w:sz w:val="22"/>
          <w:szCs w:val="22"/>
          <w:lang w:val="en-US"/>
        </w:rPr>
        <w:t xml:space="preserve"> of capivasertib</w:t>
      </w:r>
      <w:r w:rsidR="00D401B2" w:rsidRPr="00921A9E">
        <w:rPr>
          <w:rFonts w:ascii="Arial" w:hAnsi="Arial" w:cs="Arial"/>
          <w:sz w:val="22"/>
          <w:szCs w:val="22"/>
          <w:lang w:val="en-US"/>
        </w:rPr>
        <w:t xml:space="preserve"> was </w:t>
      </w:r>
      <w:r w:rsidR="00FD67D5" w:rsidRPr="00921A9E">
        <w:rPr>
          <w:rFonts w:ascii="Arial" w:hAnsi="Arial" w:cs="Arial"/>
          <w:sz w:val="22"/>
          <w:szCs w:val="22"/>
          <w:lang w:val="en-US"/>
        </w:rPr>
        <w:t>93.8% (IQR:62.5-100</w:t>
      </w:r>
      <w:r w:rsidR="003D4B76" w:rsidRPr="00921A9E">
        <w:rPr>
          <w:rFonts w:ascii="Arial" w:hAnsi="Arial" w:cs="Arial"/>
          <w:sz w:val="22"/>
          <w:szCs w:val="22"/>
          <w:lang w:val="en-US"/>
        </w:rPr>
        <w:t>.0</w:t>
      </w:r>
      <w:r w:rsidR="00FD67D5" w:rsidRPr="00921A9E">
        <w:rPr>
          <w:rFonts w:ascii="Arial" w:hAnsi="Arial" w:cs="Arial"/>
          <w:sz w:val="22"/>
          <w:szCs w:val="22"/>
          <w:lang w:val="en-US"/>
        </w:rPr>
        <w:t>, min-max:42.2-101.5)</w:t>
      </w:r>
      <w:r w:rsidR="00D401B2" w:rsidRPr="00921A9E">
        <w:rPr>
          <w:rFonts w:ascii="Arial" w:hAnsi="Arial" w:cs="Arial"/>
          <w:sz w:val="22"/>
          <w:szCs w:val="22"/>
          <w:lang w:val="en-US"/>
        </w:rPr>
        <w:t>.</w:t>
      </w:r>
    </w:p>
    <w:p w14:paraId="45D81E9A" w14:textId="0F1ADAE8" w:rsidR="0039013D" w:rsidRPr="00921A9E" w:rsidRDefault="0039013D" w:rsidP="00F0183B">
      <w:pPr>
        <w:jc w:val="both"/>
        <w:rPr>
          <w:rFonts w:ascii="Arial" w:hAnsi="Arial" w:cs="Arial"/>
          <w:sz w:val="22"/>
          <w:szCs w:val="22"/>
          <w:lang w:val="en-US"/>
        </w:rPr>
      </w:pPr>
    </w:p>
    <w:p w14:paraId="492E3153" w14:textId="11BC5124" w:rsidR="00942BCE" w:rsidRPr="00921A9E" w:rsidRDefault="00390741" w:rsidP="000E305C">
      <w:pPr>
        <w:jc w:val="both"/>
        <w:rPr>
          <w:rFonts w:ascii="Arial" w:hAnsi="Arial" w:cs="Arial"/>
          <w:sz w:val="22"/>
          <w:szCs w:val="22"/>
          <w:lang w:val="en-US"/>
        </w:rPr>
      </w:pPr>
      <w:r w:rsidRPr="00921A9E">
        <w:rPr>
          <w:rFonts w:ascii="Arial" w:hAnsi="Arial" w:cs="Arial"/>
          <w:sz w:val="22"/>
          <w:szCs w:val="22"/>
          <w:lang w:val="en-US"/>
        </w:rPr>
        <w:t>In exploratory unplanned analysis the r</w:t>
      </w:r>
      <w:r w:rsidR="0039013D" w:rsidRPr="00921A9E">
        <w:rPr>
          <w:rFonts w:ascii="Arial" w:hAnsi="Arial" w:cs="Arial"/>
          <w:sz w:val="22"/>
          <w:szCs w:val="22"/>
          <w:lang w:val="en-US"/>
        </w:rPr>
        <w:t xml:space="preserve">esponse rates in cohorts A-D did not </w:t>
      </w:r>
      <w:r w:rsidR="000E305C" w:rsidRPr="00921A9E">
        <w:rPr>
          <w:rFonts w:ascii="Arial" w:hAnsi="Arial" w:cs="Arial"/>
          <w:sz w:val="22"/>
          <w:szCs w:val="22"/>
          <w:lang w:val="en-US"/>
        </w:rPr>
        <w:t xml:space="preserve">vary by </w:t>
      </w:r>
      <w:r w:rsidR="000E305C" w:rsidRPr="00921A9E">
        <w:rPr>
          <w:rFonts w:ascii="Arial" w:hAnsi="Arial" w:cs="Arial"/>
          <w:i/>
          <w:iCs/>
          <w:sz w:val="22"/>
          <w:szCs w:val="22"/>
          <w:lang w:val="en-US"/>
        </w:rPr>
        <w:t>PIK3CA</w:t>
      </w:r>
      <w:r w:rsidR="000E305C" w:rsidRPr="00921A9E">
        <w:rPr>
          <w:rFonts w:ascii="Arial" w:hAnsi="Arial" w:cs="Arial"/>
          <w:sz w:val="22"/>
          <w:szCs w:val="22"/>
          <w:lang w:val="en-US"/>
        </w:rPr>
        <w:t xml:space="preserve"> or </w:t>
      </w:r>
      <w:r w:rsidR="000E305C" w:rsidRPr="00921A9E">
        <w:rPr>
          <w:rFonts w:ascii="Arial" w:hAnsi="Arial" w:cs="Arial"/>
          <w:i/>
          <w:iCs/>
          <w:sz w:val="22"/>
          <w:szCs w:val="22"/>
          <w:lang w:val="en-US"/>
        </w:rPr>
        <w:t>TP53</w:t>
      </w:r>
      <w:r w:rsidR="000E305C" w:rsidRPr="00921A9E">
        <w:rPr>
          <w:rFonts w:ascii="Arial" w:hAnsi="Arial" w:cs="Arial"/>
          <w:sz w:val="22"/>
          <w:szCs w:val="22"/>
          <w:lang w:val="en-US"/>
        </w:rPr>
        <w:t xml:space="preserve"> co-mutational status (</w:t>
      </w:r>
      <w:r w:rsidR="009875BC" w:rsidRPr="00921A9E">
        <w:rPr>
          <w:rFonts w:ascii="Arial" w:hAnsi="Arial" w:cs="Arial"/>
          <w:sz w:val="22"/>
          <w:szCs w:val="22"/>
          <w:lang w:val="en-US"/>
        </w:rPr>
        <w:t>appendix p</w:t>
      </w:r>
      <w:r w:rsidR="00451A24" w:rsidRPr="00921A9E">
        <w:rPr>
          <w:rFonts w:ascii="Arial" w:hAnsi="Arial" w:cs="Arial"/>
          <w:sz w:val="22"/>
          <w:szCs w:val="22"/>
          <w:lang w:val="en-US"/>
        </w:rPr>
        <w:t>27 and 28).</w:t>
      </w:r>
      <w:r w:rsidR="000E305C" w:rsidRPr="00921A9E">
        <w:rPr>
          <w:rFonts w:ascii="Arial" w:hAnsi="Arial" w:cs="Arial"/>
          <w:sz w:val="22"/>
          <w:szCs w:val="22"/>
          <w:lang w:val="en-US"/>
        </w:rPr>
        <w:t>).</w:t>
      </w:r>
    </w:p>
    <w:p w14:paraId="4E955960" w14:textId="77777777" w:rsidR="000E305C" w:rsidRPr="00921A9E" w:rsidRDefault="000E305C" w:rsidP="000E305C">
      <w:pPr>
        <w:jc w:val="both"/>
        <w:rPr>
          <w:rFonts w:ascii="Arial" w:hAnsi="Arial" w:cs="Arial"/>
          <w:sz w:val="22"/>
          <w:szCs w:val="22"/>
          <w:lang w:val="en-US"/>
        </w:rPr>
      </w:pPr>
    </w:p>
    <w:p w14:paraId="725CC386" w14:textId="77777777" w:rsidR="00921A9E" w:rsidRDefault="00921A9E" w:rsidP="004B43C4">
      <w:pPr>
        <w:jc w:val="both"/>
        <w:rPr>
          <w:rFonts w:ascii="Arial" w:hAnsi="Arial" w:cs="Arial"/>
          <w:b/>
          <w:sz w:val="22"/>
          <w:szCs w:val="22"/>
          <w:lang w:val="en-US"/>
        </w:rPr>
      </w:pPr>
    </w:p>
    <w:p w14:paraId="4F34EEBF" w14:textId="77777777" w:rsidR="00921A9E" w:rsidRDefault="00921A9E" w:rsidP="004B43C4">
      <w:pPr>
        <w:jc w:val="both"/>
        <w:rPr>
          <w:rFonts w:ascii="Arial" w:hAnsi="Arial" w:cs="Arial"/>
          <w:b/>
          <w:sz w:val="22"/>
          <w:szCs w:val="22"/>
          <w:lang w:val="en-US"/>
        </w:rPr>
      </w:pPr>
    </w:p>
    <w:p w14:paraId="675D3610" w14:textId="0570B0A2" w:rsidR="00F03955" w:rsidRPr="008C7FCA" w:rsidRDefault="00E377A6" w:rsidP="004B43C4">
      <w:pPr>
        <w:jc w:val="both"/>
        <w:rPr>
          <w:rFonts w:ascii="Arial" w:hAnsi="Arial" w:cs="Arial"/>
          <w:b/>
          <w:sz w:val="22"/>
          <w:szCs w:val="22"/>
          <w:lang w:val="en-US"/>
        </w:rPr>
      </w:pPr>
      <w:r w:rsidRPr="00921A9E">
        <w:rPr>
          <w:rFonts w:ascii="Arial" w:hAnsi="Arial" w:cs="Arial"/>
          <w:b/>
          <w:sz w:val="22"/>
          <w:szCs w:val="22"/>
          <w:lang w:val="en-US"/>
        </w:rPr>
        <w:t>Discussion</w:t>
      </w:r>
    </w:p>
    <w:p w14:paraId="77E44A5A" w14:textId="013D6A9B" w:rsidR="003D66CF" w:rsidRPr="008C7FCA" w:rsidRDefault="00B42089" w:rsidP="004B43C4">
      <w:pPr>
        <w:jc w:val="both"/>
        <w:rPr>
          <w:rFonts w:ascii="Arial" w:hAnsi="Arial" w:cs="Arial"/>
          <w:sz w:val="22"/>
          <w:szCs w:val="22"/>
          <w:lang w:val="en-US"/>
        </w:rPr>
      </w:pPr>
      <w:r w:rsidRPr="00EF106F">
        <w:rPr>
          <w:rFonts w:ascii="Arial" w:hAnsi="Arial" w:cs="Arial"/>
          <w:sz w:val="22"/>
          <w:szCs w:val="22"/>
          <w:lang w:val="en-US"/>
        </w:rPr>
        <w:t xml:space="preserve">Within </w:t>
      </w:r>
      <w:r w:rsidR="00F86AA1" w:rsidRPr="00EF106F">
        <w:rPr>
          <w:rFonts w:ascii="Arial" w:hAnsi="Arial" w:cs="Arial"/>
          <w:sz w:val="22"/>
          <w:szCs w:val="22"/>
          <w:lang w:val="en-US"/>
        </w:rPr>
        <w:t>this</w:t>
      </w:r>
      <w:r w:rsidRPr="00EF106F">
        <w:rPr>
          <w:rFonts w:ascii="Arial" w:hAnsi="Arial" w:cs="Arial"/>
          <w:sz w:val="22"/>
          <w:szCs w:val="22"/>
          <w:lang w:val="en-US"/>
        </w:rPr>
        <w:t xml:space="preserve"> large combined prospective </w:t>
      </w:r>
      <w:r w:rsidR="008A3F7A" w:rsidRPr="00EF106F">
        <w:rPr>
          <w:rFonts w:ascii="Arial" w:hAnsi="Arial" w:cs="Arial"/>
          <w:sz w:val="22"/>
          <w:szCs w:val="22"/>
          <w:lang w:val="en-US"/>
        </w:rPr>
        <w:t>ctDNA testing</w:t>
      </w:r>
      <w:r w:rsidRPr="00EF106F">
        <w:rPr>
          <w:rFonts w:ascii="Arial" w:hAnsi="Arial" w:cs="Arial"/>
          <w:sz w:val="22"/>
          <w:szCs w:val="22"/>
          <w:lang w:val="en-US"/>
        </w:rPr>
        <w:t xml:space="preserve"> and multi-</w:t>
      </w:r>
      <w:r w:rsidR="000B4747">
        <w:rPr>
          <w:rFonts w:ascii="Arial" w:hAnsi="Arial" w:cs="Arial"/>
          <w:sz w:val="22"/>
          <w:szCs w:val="22"/>
          <w:lang w:val="en-US"/>
        </w:rPr>
        <w:t>cohort</w:t>
      </w:r>
      <w:r w:rsidRPr="00EF106F">
        <w:rPr>
          <w:rFonts w:ascii="Arial" w:hAnsi="Arial" w:cs="Arial"/>
          <w:sz w:val="22"/>
          <w:szCs w:val="22"/>
          <w:lang w:val="en-US"/>
        </w:rPr>
        <w:t xml:space="preserve"> </w:t>
      </w:r>
      <w:r w:rsidR="008A3F7A" w:rsidRPr="00EF106F">
        <w:rPr>
          <w:rFonts w:ascii="Arial" w:hAnsi="Arial" w:cs="Arial"/>
          <w:sz w:val="22"/>
          <w:szCs w:val="22"/>
          <w:lang w:val="en-US"/>
        </w:rPr>
        <w:t xml:space="preserve">platform </w:t>
      </w:r>
      <w:r w:rsidRPr="00EF106F">
        <w:rPr>
          <w:rFonts w:ascii="Arial" w:hAnsi="Arial" w:cs="Arial"/>
          <w:sz w:val="22"/>
          <w:szCs w:val="22"/>
          <w:lang w:val="en-US"/>
        </w:rPr>
        <w:t xml:space="preserve">trial </w:t>
      </w:r>
      <w:r w:rsidR="003C5F5C" w:rsidRPr="00EF106F">
        <w:rPr>
          <w:rFonts w:ascii="Arial" w:hAnsi="Arial" w:cs="Arial"/>
          <w:sz w:val="22"/>
          <w:szCs w:val="22"/>
          <w:lang w:val="en-US"/>
        </w:rPr>
        <w:t xml:space="preserve">in advanced breast cancer we </w:t>
      </w:r>
      <w:r w:rsidR="00F86AA1" w:rsidRPr="00EF106F">
        <w:rPr>
          <w:rFonts w:ascii="Arial" w:hAnsi="Arial" w:cs="Arial"/>
          <w:sz w:val="22"/>
          <w:szCs w:val="22"/>
          <w:lang w:val="en-US"/>
        </w:rPr>
        <w:t xml:space="preserve">have </w:t>
      </w:r>
      <w:r w:rsidR="003C5F5C" w:rsidRPr="00EF106F">
        <w:rPr>
          <w:rFonts w:ascii="Arial" w:hAnsi="Arial" w:cs="Arial"/>
          <w:sz w:val="22"/>
          <w:szCs w:val="22"/>
          <w:lang w:val="en-US"/>
        </w:rPr>
        <w:t>show</w:t>
      </w:r>
      <w:r w:rsidR="00F86AA1" w:rsidRPr="00EF106F">
        <w:rPr>
          <w:rFonts w:ascii="Arial" w:hAnsi="Arial" w:cs="Arial"/>
          <w:sz w:val="22"/>
          <w:szCs w:val="22"/>
          <w:lang w:val="en-US"/>
        </w:rPr>
        <w:t>n</w:t>
      </w:r>
      <w:r w:rsidR="003C5F5C" w:rsidRPr="00EF106F">
        <w:rPr>
          <w:rFonts w:ascii="Arial" w:hAnsi="Arial" w:cs="Arial"/>
          <w:sz w:val="22"/>
          <w:szCs w:val="22"/>
          <w:lang w:val="en-US"/>
        </w:rPr>
        <w:t xml:space="preserve"> that </w:t>
      </w:r>
      <w:r w:rsidR="00F30ABC" w:rsidRPr="00EF106F">
        <w:rPr>
          <w:rFonts w:ascii="Arial" w:hAnsi="Arial" w:cs="Arial"/>
          <w:sz w:val="22"/>
          <w:szCs w:val="22"/>
          <w:lang w:val="en-US"/>
        </w:rPr>
        <w:t>ct</w:t>
      </w:r>
      <w:r w:rsidR="003C5F5C" w:rsidRPr="00EF106F">
        <w:rPr>
          <w:rFonts w:ascii="Arial" w:hAnsi="Arial" w:cs="Arial"/>
          <w:sz w:val="22"/>
          <w:szCs w:val="22"/>
          <w:lang w:val="en-US"/>
        </w:rPr>
        <w:t xml:space="preserve">DNA testing </w:t>
      </w:r>
      <w:r w:rsidR="00090A37">
        <w:rPr>
          <w:rFonts w:ascii="Arial" w:hAnsi="Arial" w:cs="Arial"/>
          <w:sz w:val="22"/>
          <w:szCs w:val="22"/>
          <w:lang w:val="en-US"/>
        </w:rPr>
        <w:t xml:space="preserve">was </w:t>
      </w:r>
      <w:r w:rsidR="004F2C0E" w:rsidRPr="00EF106F">
        <w:rPr>
          <w:rFonts w:ascii="Arial" w:hAnsi="Arial" w:cs="Arial"/>
          <w:sz w:val="22"/>
          <w:szCs w:val="22"/>
          <w:lang w:val="en-US"/>
        </w:rPr>
        <w:t>highly</w:t>
      </w:r>
      <w:r w:rsidR="00952103" w:rsidRPr="00EF106F">
        <w:rPr>
          <w:rFonts w:ascii="Arial" w:hAnsi="Arial" w:cs="Arial"/>
          <w:sz w:val="22"/>
          <w:szCs w:val="22"/>
          <w:lang w:val="en-US"/>
        </w:rPr>
        <w:t xml:space="preserve"> accura</w:t>
      </w:r>
      <w:r w:rsidR="004F2C0E" w:rsidRPr="00EF106F">
        <w:rPr>
          <w:rFonts w:ascii="Arial" w:hAnsi="Arial" w:cs="Arial"/>
          <w:sz w:val="22"/>
          <w:szCs w:val="22"/>
          <w:lang w:val="en-US"/>
        </w:rPr>
        <w:t>te</w:t>
      </w:r>
      <w:r w:rsidR="003C5F5C" w:rsidRPr="00EF106F">
        <w:rPr>
          <w:rFonts w:ascii="Arial" w:hAnsi="Arial" w:cs="Arial"/>
          <w:sz w:val="22"/>
          <w:szCs w:val="22"/>
          <w:lang w:val="en-US"/>
        </w:rPr>
        <w:t xml:space="preserve">, with high </w:t>
      </w:r>
      <w:r w:rsidR="003C5F5C" w:rsidRPr="00EF106F">
        <w:rPr>
          <w:rFonts w:ascii="Arial" w:hAnsi="Arial" w:cs="Arial"/>
          <w:sz w:val="22"/>
          <w:szCs w:val="22"/>
          <w:lang w:val="en-US"/>
        </w:rPr>
        <w:lastRenderedPageBreak/>
        <w:t xml:space="preserve">agreement between different ctDNA testing techniques, </w:t>
      </w:r>
      <w:r w:rsidR="004F2C0E" w:rsidRPr="00EF106F">
        <w:rPr>
          <w:rFonts w:ascii="Arial" w:hAnsi="Arial" w:cs="Arial"/>
          <w:sz w:val="22"/>
          <w:szCs w:val="22"/>
          <w:lang w:val="en-US"/>
        </w:rPr>
        <w:t xml:space="preserve">with </w:t>
      </w:r>
      <w:r w:rsidR="003C5F5C" w:rsidRPr="00EF106F">
        <w:rPr>
          <w:rFonts w:ascii="Arial" w:hAnsi="Arial" w:cs="Arial"/>
          <w:sz w:val="22"/>
          <w:szCs w:val="22"/>
          <w:lang w:val="en-US"/>
        </w:rPr>
        <w:t xml:space="preserve">high </w:t>
      </w:r>
      <w:r w:rsidR="00952103" w:rsidRPr="00EF106F">
        <w:rPr>
          <w:rFonts w:ascii="Arial" w:hAnsi="Arial" w:cs="Arial"/>
          <w:sz w:val="22"/>
          <w:szCs w:val="22"/>
          <w:lang w:val="en-US"/>
        </w:rPr>
        <w:t xml:space="preserve">sensitivity for mutations identified in tissue </w:t>
      </w:r>
      <w:r w:rsidR="007463BB" w:rsidRPr="00EF106F">
        <w:rPr>
          <w:rFonts w:ascii="Arial" w:hAnsi="Arial" w:cs="Arial"/>
          <w:sz w:val="22"/>
          <w:szCs w:val="22"/>
          <w:lang w:val="en-US"/>
        </w:rPr>
        <w:t>advanced cancer</w:t>
      </w:r>
      <w:r w:rsidR="007463BB" w:rsidRPr="00EF106F" w:rsidDel="007463BB">
        <w:rPr>
          <w:rFonts w:ascii="Arial" w:hAnsi="Arial" w:cs="Arial"/>
          <w:sz w:val="22"/>
          <w:szCs w:val="22"/>
          <w:lang w:val="en-US"/>
        </w:rPr>
        <w:t xml:space="preserve"> </w:t>
      </w:r>
      <w:r w:rsidR="007463BB" w:rsidRPr="00EF106F">
        <w:rPr>
          <w:rFonts w:ascii="Arial" w:hAnsi="Arial" w:cs="Arial"/>
          <w:sz w:val="22"/>
          <w:szCs w:val="22"/>
          <w:lang w:val="en-US"/>
        </w:rPr>
        <w:t>biopsies</w:t>
      </w:r>
      <w:r w:rsidR="003C5F5C" w:rsidRPr="00EF106F">
        <w:rPr>
          <w:rFonts w:ascii="Arial" w:hAnsi="Arial" w:cs="Arial"/>
          <w:sz w:val="22"/>
          <w:szCs w:val="22"/>
          <w:lang w:val="en-US"/>
        </w:rPr>
        <w:t>. ctDNA testing identif</w:t>
      </w:r>
      <w:r w:rsidR="00CE6A53" w:rsidRPr="00EF106F">
        <w:rPr>
          <w:rFonts w:ascii="Arial" w:hAnsi="Arial" w:cs="Arial"/>
          <w:sz w:val="22"/>
          <w:szCs w:val="22"/>
          <w:lang w:val="en-US"/>
        </w:rPr>
        <w:t>ied</w:t>
      </w:r>
      <w:r w:rsidR="003C5F5C" w:rsidRPr="00EF106F">
        <w:rPr>
          <w:rFonts w:ascii="Arial" w:hAnsi="Arial" w:cs="Arial"/>
          <w:sz w:val="22"/>
          <w:szCs w:val="22"/>
          <w:lang w:val="en-US"/>
        </w:rPr>
        <w:t xml:space="preserve"> patients with rare targetable mutations </w:t>
      </w:r>
      <w:r w:rsidR="00993F81" w:rsidRPr="00EF106F">
        <w:rPr>
          <w:rFonts w:ascii="Arial" w:hAnsi="Arial" w:cs="Arial"/>
          <w:sz w:val="22"/>
          <w:szCs w:val="22"/>
          <w:lang w:val="en-US"/>
        </w:rPr>
        <w:t xml:space="preserve">and </w:t>
      </w:r>
      <w:r w:rsidR="00CE6A53" w:rsidRPr="00EF106F">
        <w:rPr>
          <w:rFonts w:ascii="Arial" w:hAnsi="Arial" w:cs="Arial"/>
          <w:sz w:val="22"/>
          <w:szCs w:val="22"/>
          <w:lang w:val="en-US"/>
        </w:rPr>
        <w:t xml:space="preserve">these </w:t>
      </w:r>
      <w:r w:rsidR="003C5F5C" w:rsidRPr="00EF106F">
        <w:rPr>
          <w:rFonts w:ascii="Arial" w:hAnsi="Arial" w:cs="Arial"/>
          <w:sz w:val="22"/>
          <w:szCs w:val="22"/>
          <w:lang w:val="en-US"/>
        </w:rPr>
        <w:t>patients</w:t>
      </w:r>
      <w:r w:rsidR="00993F81" w:rsidRPr="00EF106F">
        <w:rPr>
          <w:rFonts w:ascii="Arial" w:hAnsi="Arial" w:cs="Arial"/>
          <w:sz w:val="22"/>
          <w:szCs w:val="22"/>
          <w:lang w:val="en-US"/>
        </w:rPr>
        <w:t xml:space="preserve"> were recruited</w:t>
      </w:r>
      <w:r w:rsidR="003C5F5C" w:rsidRPr="00EF106F">
        <w:rPr>
          <w:rFonts w:ascii="Arial" w:hAnsi="Arial" w:cs="Arial"/>
          <w:sz w:val="22"/>
          <w:szCs w:val="22"/>
          <w:lang w:val="en-US"/>
        </w:rPr>
        <w:t xml:space="preserve"> </w:t>
      </w:r>
      <w:r w:rsidR="00632E6C" w:rsidRPr="00EF106F">
        <w:rPr>
          <w:rFonts w:ascii="Arial" w:hAnsi="Arial" w:cs="Arial"/>
          <w:sz w:val="22"/>
          <w:szCs w:val="22"/>
          <w:lang w:val="en-US"/>
        </w:rPr>
        <w:t xml:space="preserve">onto </w:t>
      </w:r>
      <w:r w:rsidR="00CE6A53" w:rsidRPr="00EF106F">
        <w:rPr>
          <w:rFonts w:ascii="Arial" w:hAnsi="Arial" w:cs="Arial"/>
          <w:sz w:val="22"/>
          <w:szCs w:val="22"/>
          <w:lang w:val="en-US"/>
        </w:rPr>
        <w:t xml:space="preserve">matching </w:t>
      </w:r>
      <w:r w:rsidR="00632E6C" w:rsidRPr="00EF106F">
        <w:rPr>
          <w:rFonts w:ascii="Arial" w:hAnsi="Arial" w:cs="Arial"/>
          <w:sz w:val="22"/>
          <w:szCs w:val="22"/>
          <w:lang w:val="en-US"/>
        </w:rPr>
        <w:t xml:space="preserve">targeted therapies </w:t>
      </w:r>
      <w:r w:rsidR="003C5F5C" w:rsidRPr="00EF106F">
        <w:rPr>
          <w:rFonts w:ascii="Arial" w:hAnsi="Arial" w:cs="Arial"/>
          <w:sz w:val="22"/>
          <w:szCs w:val="22"/>
          <w:lang w:val="en-US"/>
        </w:rPr>
        <w:t xml:space="preserve">without </w:t>
      </w:r>
      <w:r w:rsidR="00632E6C" w:rsidRPr="00EF106F">
        <w:rPr>
          <w:rFonts w:ascii="Arial" w:hAnsi="Arial" w:cs="Arial"/>
          <w:sz w:val="22"/>
          <w:szCs w:val="22"/>
          <w:lang w:val="en-US"/>
        </w:rPr>
        <w:t xml:space="preserve">confirmatory </w:t>
      </w:r>
      <w:r w:rsidR="00C4772B">
        <w:rPr>
          <w:rFonts w:ascii="Arial" w:hAnsi="Arial" w:cs="Arial"/>
          <w:sz w:val="22"/>
          <w:szCs w:val="22"/>
          <w:lang w:val="en-US"/>
        </w:rPr>
        <w:t>tumour</w:t>
      </w:r>
      <w:r w:rsidR="003C5F5C" w:rsidRPr="00EF106F">
        <w:rPr>
          <w:rFonts w:ascii="Arial" w:hAnsi="Arial" w:cs="Arial"/>
          <w:sz w:val="22"/>
          <w:szCs w:val="22"/>
          <w:lang w:val="en-US"/>
        </w:rPr>
        <w:t xml:space="preserve"> testing, </w:t>
      </w:r>
      <w:r w:rsidR="00CE6A53" w:rsidRPr="00EF106F">
        <w:rPr>
          <w:rFonts w:ascii="Arial" w:hAnsi="Arial" w:cs="Arial"/>
          <w:sz w:val="22"/>
          <w:szCs w:val="22"/>
          <w:lang w:val="en-US"/>
        </w:rPr>
        <w:t>with</w:t>
      </w:r>
      <w:r w:rsidR="00DB3D72" w:rsidRPr="00EF106F">
        <w:rPr>
          <w:rFonts w:ascii="Arial" w:hAnsi="Arial" w:cs="Arial"/>
          <w:sz w:val="22"/>
          <w:szCs w:val="22"/>
          <w:lang w:val="en-US"/>
        </w:rPr>
        <w:t xml:space="preserve"> activity</w:t>
      </w:r>
      <w:r w:rsidR="003C5F5C" w:rsidRPr="00EF106F">
        <w:rPr>
          <w:rFonts w:ascii="Arial" w:hAnsi="Arial" w:cs="Arial"/>
          <w:sz w:val="22"/>
          <w:szCs w:val="22"/>
          <w:lang w:val="en-US"/>
        </w:rPr>
        <w:t xml:space="preserve"> comparable </w:t>
      </w:r>
      <w:r w:rsidR="00C90430" w:rsidRPr="00EF106F">
        <w:rPr>
          <w:rFonts w:ascii="Arial" w:hAnsi="Arial" w:cs="Arial"/>
          <w:sz w:val="22"/>
          <w:szCs w:val="22"/>
          <w:lang w:val="en-US"/>
        </w:rPr>
        <w:t>to</w:t>
      </w:r>
      <w:r w:rsidR="00632E6C" w:rsidRPr="00EF106F">
        <w:rPr>
          <w:rFonts w:ascii="Arial" w:hAnsi="Arial" w:cs="Arial"/>
          <w:sz w:val="22"/>
          <w:szCs w:val="22"/>
          <w:lang w:val="en-US"/>
        </w:rPr>
        <w:t xml:space="preserve"> prior studies</w:t>
      </w:r>
      <w:r w:rsidR="003C5F5C" w:rsidRPr="00EF106F">
        <w:rPr>
          <w:rFonts w:ascii="Arial" w:hAnsi="Arial" w:cs="Arial"/>
          <w:sz w:val="22"/>
          <w:szCs w:val="22"/>
          <w:lang w:val="en-US"/>
        </w:rPr>
        <w:t xml:space="preserve"> based on </w:t>
      </w:r>
      <w:r w:rsidR="00C4772B">
        <w:rPr>
          <w:rFonts w:ascii="Arial" w:hAnsi="Arial" w:cs="Arial"/>
          <w:sz w:val="22"/>
          <w:szCs w:val="22"/>
          <w:lang w:val="en-US"/>
        </w:rPr>
        <w:t>tumour</w:t>
      </w:r>
      <w:r w:rsidR="003C5F5C" w:rsidRPr="00EF106F">
        <w:rPr>
          <w:rFonts w:ascii="Arial" w:hAnsi="Arial" w:cs="Arial"/>
          <w:sz w:val="22"/>
          <w:szCs w:val="22"/>
          <w:lang w:val="en-US"/>
        </w:rPr>
        <w:t xml:space="preserve"> </w:t>
      </w:r>
      <w:r w:rsidR="00EF106F">
        <w:rPr>
          <w:rFonts w:ascii="Arial" w:hAnsi="Arial" w:cs="Arial"/>
          <w:sz w:val="22"/>
          <w:szCs w:val="22"/>
          <w:lang w:val="en-US"/>
        </w:rPr>
        <w:t xml:space="preserve">tissue </w:t>
      </w:r>
      <w:r w:rsidR="0055484D" w:rsidRPr="00EF106F">
        <w:rPr>
          <w:rFonts w:ascii="Arial" w:hAnsi="Arial" w:cs="Arial"/>
          <w:sz w:val="22"/>
          <w:szCs w:val="22"/>
          <w:lang w:val="en-US"/>
        </w:rPr>
        <w:t>testing</w:t>
      </w:r>
      <w:r w:rsidR="0055484D">
        <w:rPr>
          <w:rFonts w:ascii="Arial" w:hAnsi="Arial" w:cs="Arial"/>
          <w:sz w:val="22"/>
          <w:szCs w:val="22"/>
          <w:vertAlign w:val="superscript"/>
          <w:lang w:val="en-US"/>
        </w:rPr>
        <w:t>4,5</w:t>
      </w:r>
      <w:r w:rsidR="003C5F5C" w:rsidRPr="00EF106F">
        <w:rPr>
          <w:rFonts w:ascii="Arial" w:hAnsi="Arial" w:cs="Arial"/>
          <w:sz w:val="22"/>
          <w:szCs w:val="22"/>
          <w:lang w:val="en-US"/>
        </w:rPr>
        <w:t>.</w:t>
      </w:r>
      <w:r w:rsidR="00D321DB" w:rsidRPr="00EF106F">
        <w:rPr>
          <w:rFonts w:ascii="Arial" w:hAnsi="Arial" w:cs="Arial"/>
          <w:sz w:val="22"/>
          <w:szCs w:val="22"/>
          <w:lang w:val="en-US"/>
        </w:rPr>
        <w:t xml:space="preserve"> We demonstrate</w:t>
      </w:r>
      <w:r w:rsidR="00C90430" w:rsidRPr="00EF106F">
        <w:rPr>
          <w:rFonts w:ascii="Arial" w:hAnsi="Arial" w:cs="Arial"/>
          <w:sz w:val="22"/>
          <w:szCs w:val="22"/>
          <w:lang w:val="en-US"/>
        </w:rPr>
        <w:t>d</w:t>
      </w:r>
      <w:r w:rsidR="00D321DB" w:rsidRPr="00EF106F">
        <w:rPr>
          <w:rFonts w:ascii="Arial" w:hAnsi="Arial" w:cs="Arial"/>
          <w:sz w:val="22"/>
          <w:szCs w:val="22"/>
          <w:lang w:val="en-US"/>
        </w:rPr>
        <w:t xml:space="preserve"> the ability to run a large national ctDNA screening-based platform study in advanced breast cancer, enrolling over 1000 patients from across the UK within less than </w:t>
      </w:r>
      <w:r w:rsidR="00C83D04">
        <w:rPr>
          <w:rFonts w:ascii="Arial" w:hAnsi="Arial" w:cs="Arial"/>
          <w:sz w:val="22"/>
          <w:szCs w:val="22"/>
          <w:lang w:val="en-US"/>
        </w:rPr>
        <w:t>three</w:t>
      </w:r>
      <w:r w:rsidR="00D321DB" w:rsidRPr="00EF106F">
        <w:rPr>
          <w:rFonts w:ascii="Arial" w:hAnsi="Arial" w:cs="Arial"/>
          <w:sz w:val="22"/>
          <w:szCs w:val="22"/>
          <w:lang w:val="en-US"/>
        </w:rPr>
        <w:t xml:space="preserve"> years, </w:t>
      </w:r>
      <w:r w:rsidR="00EF106F">
        <w:rPr>
          <w:rFonts w:ascii="Arial" w:hAnsi="Arial" w:cs="Arial"/>
          <w:sz w:val="22"/>
          <w:szCs w:val="22"/>
          <w:lang w:val="en-US"/>
        </w:rPr>
        <w:t>with a</w:t>
      </w:r>
      <w:r w:rsidR="003D66CF" w:rsidRPr="00EF106F">
        <w:rPr>
          <w:rFonts w:ascii="Arial" w:hAnsi="Arial" w:cs="Arial"/>
          <w:sz w:val="22"/>
          <w:szCs w:val="22"/>
          <w:lang w:val="en-US"/>
        </w:rPr>
        <w:t xml:space="preserve"> dynamic trial platform design evaluating multiple targeted treatment options simultaneously. </w:t>
      </w:r>
    </w:p>
    <w:p w14:paraId="54A1FEB9" w14:textId="2580C7B6" w:rsidR="003C5F5C" w:rsidRPr="008C7FCA" w:rsidRDefault="003C5F5C" w:rsidP="004B43C4">
      <w:pPr>
        <w:jc w:val="both"/>
        <w:rPr>
          <w:rFonts w:ascii="Arial" w:hAnsi="Arial" w:cs="Arial"/>
          <w:sz w:val="22"/>
          <w:szCs w:val="22"/>
          <w:lang w:val="en-US"/>
        </w:rPr>
      </w:pPr>
      <w:r w:rsidRPr="008C7FCA">
        <w:rPr>
          <w:rFonts w:ascii="Arial" w:hAnsi="Arial" w:cs="Arial"/>
          <w:sz w:val="22"/>
          <w:szCs w:val="22"/>
          <w:lang w:val="en-US"/>
        </w:rPr>
        <w:t xml:space="preserve">The </w:t>
      </w:r>
      <w:r w:rsidR="00DB36A5" w:rsidRPr="008C7FCA">
        <w:rPr>
          <w:rFonts w:ascii="Arial" w:hAnsi="Arial" w:cs="Arial"/>
          <w:sz w:val="22"/>
          <w:szCs w:val="22"/>
          <w:lang w:val="en-US"/>
        </w:rPr>
        <w:t xml:space="preserve">availability and </w:t>
      </w:r>
      <w:r w:rsidRPr="008C7FCA">
        <w:rPr>
          <w:rFonts w:ascii="Arial" w:hAnsi="Arial" w:cs="Arial"/>
          <w:sz w:val="22"/>
          <w:szCs w:val="22"/>
          <w:lang w:val="en-US"/>
        </w:rPr>
        <w:t>accuracy of ctDNA testing demonstrated in this study compares favo</w:t>
      </w:r>
      <w:r w:rsidR="00A10C87">
        <w:rPr>
          <w:rFonts w:ascii="Arial" w:hAnsi="Arial" w:cs="Arial"/>
          <w:sz w:val="22"/>
          <w:szCs w:val="22"/>
          <w:lang w:val="en-US"/>
        </w:rPr>
        <w:t>u</w:t>
      </w:r>
      <w:r w:rsidRPr="008C7FCA">
        <w:rPr>
          <w:rFonts w:ascii="Arial" w:hAnsi="Arial" w:cs="Arial"/>
          <w:sz w:val="22"/>
          <w:szCs w:val="22"/>
          <w:lang w:val="en-US"/>
        </w:rPr>
        <w:t xml:space="preserve">rably with </w:t>
      </w:r>
      <w:r w:rsidR="00C025C6" w:rsidRPr="008C7FCA">
        <w:rPr>
          <w:rFonts w:ascii="Arial" w:hAnsi="Arial" w:cs="Arial"/>
          <w:sz w:val="22"/>
          <w:szCs w:val="22"/>
          <w:lang w:val="en-US"/>
        </w:rPr>
        <w:t>t</w:t>
      </w:r>
      <w:r w:rsidR="00C025C6">
        <w:rPr>
          <w:rFonts w:ascii="Arial" w:hAnsi="Arial" w:cs="Arial"/>
          <w:sz w:val="22"/>
          <w:szCs w:val="22"/>
          <w:lang w:val="en-US"/>
        </w:rPr>
        <w:t>issue-</w:t>
      </w:r>
      <w:r w:rsidR="00DB36A5" w:rsidRPr="008C7FCA">
        <w:rPr>
          <w:rFonts w:ascii="Arial" w:hAnsi="Arial" w:cs="Arial"/>
          <w:sz w:val="22"/>
          <w:szCs w:val="22"/>
          <w:lang w:val="en-US"/>
        </w:rPr>
        <w:t xml:space="preserve">based mutation </w:t>
      </w:r>
      <w:r w:rsidRPr="008C7FCA">
        <w:rPr>
          <w:rFonts w:ascii="Arial" w:hAnsi="Arial" w:cs="Arial"/>
          <w:sz w:val="22"/>
          <w:szCs w:val="22"/>
          <w:lang w:val="en-US"/>
        </w:rPr>
        <w:t xml:space="preserve">testing. </w:t>
      </w:r>
      <w:r w:rsidR="00C06264" w:rsidRPr="008C7FCA">
        <w:rPr>
          <w:rFonts w:ascii="Arial" w:hAnsi="Arial" w:cs="Arial"/>
          <w:sz w:val="22"/>
          <w:szCs w:val="22"/>
          <w:lang w:val="en-US"/>
        </w:rPr>
        <w:t>Nearly</w:t>
      </w:r>
      <w:r w:rsidRPr="008C7FCA">
        <w:rPr>
          <w:rFonts w:ascii="Arial" w:hAnsi="Arial" w:cs="Arial"/>
          <w:sz w:val="22"/>
          <w:szCs w:val="22"/>
          <w:lang w:val="en-US"/>
        </w:rPr>
        <w:t xml:space="preserve"> all patients (9</w:t>
      </w:r>
      <w:r w:rsidR="00B03C0F" w:rsidRPr="008C7FCA">
        <w:rPr>
          <w:rFonts w:ascii="Arial" w:hAnsi="Arial" w:cs="Arial"/>
          <w:sz w:val="22"/>
          <w:szCs w:val="22"/>
          <w:lang w:val="en-US"/>
        </w:rPr>
        <w:t>8.9</w:t>
      </w:r>
      <w:r w:rsidRPr="008C7FCA">
        <w:rPr>
          <w:rFonts w:ascii="Arial" w:hAnsi="Arial" w:cs="Arial"/>
          <w:sz w:val="22"/>
          <w:szCs w:val="22"/>
          <w:lang w:val="en-US"/>
        </w:rPr>
        <w:t>%) received a result from ctDNA testin</w:t>
      </w:r>
      <w:r w:rsidR="00C06264" w:rsidRPr="008C7FCA">
        <w:rPr>
          <w:rFonts w:ascii="Arial" w:hAnsi="Arial" w:cs="Arial"/>
          <w:sz w:val="22"/>
          <w:szCs w:val="22"/>
          <w:lang w:val="en-US"/>
        </w:rPr>
        <w:t>g</w:t>
      </w:r>
      <w:r w:rsidR="00B03C0F" w:rsidRPr="008C7FCA">
        <w:rPr>
          <w:rFonts w:ascii="Arial" w:hAnsi="Arial" w:cs="Arial"/>
          <w:sz w:val="22"/>
          <w:szCs w:val="22"/>
          <w:lang w:val="en-US"/>
        </w:rPr>
        <w:t>,</w:t>
      </w:r>
      <w:r w:rsidR="00C025C6">
        <w:rPr>
          <w:rFonts w:ascii="Arial" w:hAnsi="Arial" w:cs="Arial"/>
          <w:sz w:val="22"/>
          <w:szCs w:val="22"/>
          <w:lang w:val="en-US"/>
        </w:rPr>
        <w:t xml:space="preserve"> </w:t>
      </w:r>
      <w:r w:rsidR="00B03C0F" w:rsidRPr="008C7FCA">
        <w:rPr>
          <w:rFonts w:ascii="Arial" w:hAnsi="Arial" w:cs="Arial"/>
          <w:sz w:val="22"/>
          <w:szCs w:val="22"/>
          <w:lang w:val="en-US"/>
        </w:rPr>
        <w:t>contrasting</w:t>
      </w:r>
      <w:r w:rsidR="00993F81">
        <w:rPr>
          <w:rFonts w:ascii="Arial" w:hAnsi="Arial" w:cs="Arial"/>
          <w:sz w:val="22"/>
          <w:szCs w:val="22"/>
          <w:lang w:val="en-US"/>
        </w:rPr>
        <w:t xml:space="preserve"> with</w:t>
      </w:r>
      <w:r w:rsidR="00367E7C" w:rsidRPr="008C7FCA">
        <w:rPr>
          <w:rFonts w:ascii="Arial" w:hAnsi="Arial" w:cs="Arial"/>
          <w:sz w:val="22"/>
          <w:szCs w:val="22"/>
          <w:lang w:val="en-US"/>
        </w:rPr>
        <w:t xml:space="preserve"> </w:t>
      </w:r>
      <w:r w:rsidR="00C06264" w:rsidRPr="008C7FCA">
        <w:rPr>
          <w:rFonts w:ascii="Arial" w:hAnsi="Arial" w:cs="Arial"/>
          <w:sz w:val="22"/>
          <w:szCs w:val="22"/>
          <w:lang w:val="en-US"/>
        </w:rPr>
        <w:t xml:space="preserve">prior </w:t>
      </w:r>
      <w:r w:rsidR="00C4772B">
        <w:rPr>
          <w:rFonts w:ascii="Arial" w:hAnsi="Arial" w:cs="Arial"/>
          <w:sz w:val="22"/>
          <w:szCs w:val="22"/>
          <w:lang w:val="en-US"/>
        </w:rPr>
        <w:t>tumour</w:t>
      </w:r>
      <w:r w:rsidR="00C06264" w:rsidRPr="008C7FCA">
        <w:rPr>
          <w:rFonts w:ascii="Arial" w:hAnsi="Arial" w:cs="Arial"/>
          <w:sz w:val="22"/>
          <w:szCs w:val="22"/>
          <w:lang w:val="en-US"/>
        </w:rPr>
        <w:t xml:space="preserve"> sequencing studies </w:t>
      </w:r>
      <w:r w:rsidR="00C025C6">
        <w:rPr>
          <w:rFonts w:ascii="Arial" w:hAnsi="Arial" w:cs="Arial"/>
          <w:sz w:val="22"/>
          <w:szCs w:val="22"/>
          <w:lang w:val="en-US"/>
        </w:rPr>
        <w:t>w</w:t>
      </w:r>
      <w:r w:rsidR="00993F81">
        <w:rPr>
          <w:rFonts w:ascii="Arial" w:hAnsi="Arial" w:cs="Arial"/>
          <w:sz w:val="22"/>
          <w:szCs w:val="22"/>
          <w:lang w:val="en-US"/>
        </w:rPr>
        <w:t>h</w:t>
      </w:r>
      <w:r w:rsidR="00C025C6">
        <w:rPr>
          <w:rFonts w:ascii="Arial" w:hAnsi="Arial" w:cs="Arial"/>
          <w:sz w:val="22"/>
          <w:szCs w:val="22"/>
          <w:lang w:val="en-US"/>
        </w:rPr>
        <w:t xml:space="preserve">ere </w:t>
      </w:r>
      <w:r w:rsidR="00C06264" w:rsidRPr="008C7FCA">
        <w:rPr>
          <w:rFonts w:ascii="Arial" w:hAnsi="Arial" w:cs="Arial"/>
          <w:sz w:val="22"/>
          <w:szCs w:val="22"/>
          <w:lang w:val="en-US"/>
        </w:rPr>
        <w:t xml:space="preserve">results were typically received in only </w:t>
      </w:r>
      <w:r w:rsidR="00B03C0F" w:rsidRPr="008C7FCA">
        <w:rPr>
          <w:rFonts w:ascii="Arial" w:hAnsi="Arial" w:cs="Arial"/>
          <w:sz w:val="22"/>
          <w:szCs w:val="22"/>
          <w:lang w:val="en-US"/>
        </w:rPr>
        <w:t>70</w:t>
      </w:r>
      <w:r w:rsidR="008A3F7A" w:rsidRPr="008C7FCA">
        <w:rPr>
          <w:rFonts w:ascii="Arial" w:hAnsi="Arial" w:cs="Arial"/>
          <w:sz w:val="22"/>
          <w:szCs w:val="22"/>
          <w:lang w:val="en-US"/>
        </w:rPr>
        <w:t>-90%</w:t>
      </w:r>
      <w:r w:rsidR="00B03C0F" w:rsidRPr="008C7FCA">
        <w:rPr>
          <w:rFonts w:ascii="Arial" w:hAnsi="Arial" w:cs="Arial"/>
          <w:sz w:val="22"/>
          <w:szCs w:val="22"/>
          <w:lang w:val="en-US"/>
        </w:rPr>
        <w:t xml:space="preserve"> </w:t>
      </w:r>
      <w:r w:rsidR="0019483F" w:rsidRPr="008C7FCA">
        <w:rPr>
          <w:rFonts w:ascii="Arial" w:hAnsi="Arial" w:cs="Arial"/>
          <w:sz w:val="22"/>
          <w:szCs w:val="22"/>
          <w:lang w:val="en-US"/>
        </w:rPr>
        <w:t>patients</w:t>
      </w:r>
      <w:r w:rsidR="0019483F">
        <w:rPr>
          <w:rFonts w:ascii="Arial" w:hAnsi="Arial" w:cs="Arial"/>
          <w:sz w:val="22"/>
          <w:szCs w:val="22"/>
          <w:vertAlign w:val="superscript"/>
          <w:lang w:val="en-US"/>
        </w:rPr>
        <w:t>15,16</w:t>
      </w:r>
      <w:r w:rsidR="00C025C6">
        <w:rPr>
          <w:rFonts w:ascii="Arial" w:hAnsi="Arial" w:cs="Arial"/>
          <w:sz w:val="22"/>
          <w:szCs w:val="22"/>
          <w:lang w:val="en-US"/>
        </w:rPr>
        <w:t xml:space="preserve">. </w:t>
      </w:r>
      <w:r w:rsidR="001719B7">
        <w:rPr>
          <w:rFonts w:ascii="Arial" w:hAnsi="Arial" w:cs="Arial"/>
          <w:sz w:val="22"/>
          <w:szCs w:val="22"/>
          <w:lang w:val="en-US"/>
        </w:rPr>
        <w:t xml:space="preserve">In addition, prior </w:t>
      </w:r>
      <w:r w:rsidR="00C4772B">
        <w:rPr>
          <w:rFonts w:ascii="Arial" w:hAnsi="Arial" w:cs="Arial"/>
          <w:sz w:val="22"/>
          <w:szCs w:val="22"/>
          <w:lang w:val="en-US"/>
        </w:rPr>
        <w:t>tumour</w:t>
      </w:r>
      <w:r w:rsidR="001719B7">
        <w:rPr>
          <w:rFonts w:ascii="Arial" w:hAnsi="Arial" w:cs="Arial"/>
          <w:sz w:val="22"/>
          <w:szCs w:val="22"/>
          <w:lang w:val="en-US"/>
        </w:rPr>
        <w:t xml:space="preserve"> sequencing studies generally </w:t>
      </w:r>
      <w:r w:rsidR="00993F81">
        <w:rPr>
          <w:rFonts w:ascii="Arial" w:hAnsi="Arial" w:cs="Arial"/>
          <w:sz w:val="22"/>
          <w:szCs w:val="22"/>
          <w:lang w:val="en-US"/>
        </w:rPr>
        <w:t xml:space="preserve">only </w:t>
      </w:r>
      <w:r w:rsidR="001719B7">
        <w:rPr>
          <w:rFonts w:ascii="Arial" w:hAnsi="Arial" w:cs="Arial"/>
          <w:sz w:val="22"/>
          <w:szCs w:val="22"/>
          <w:lang w:val="en-US"/>
        </w:rPr>
        <w:t xml:space="preserve">included patients with biopsiable disease, which is not a constraint for ctDNA testing. </w:t>
      </w:r>
      <w:r w:rsidR="00C025C6">
        <w:rPr>
          <w:rFonts w:ascii="Arial" w:hAnsi="Arial" w:cs="Arial"/>
          <w:sz w:val="22"/>
          <w:szCs w:val="22"/>
          <w:lang w:val="en-US"/>
        </w:rPr>
        <w:t xml:space="preserve">Results were received </w:t>
      </w:r>
      <w:r w:rsidR="00DD4AFC">
        <w:rPr>
          <w:rFonts w:ascii="Arial" w:hAnsi="Arial" w:cs="Arial"/>
          <w:sz w:val="22"/>
          <w:szCs w:val="22"/>
          <w:lang w:val="en-US"/>
        </w:rPr>
        <w:t xml:space="preserve">relatively </w:t>
      </w:r>
      <w:r w:rsidR="00C025C6">
        <w:rPr>
          <w:rFonts w:ascii="Arial" w:hAnsi="Arial" w:cs="Arial"/>
          <w:sz w:val="22"/>
          <w:szCs w:val="22"/>
          <w:lang w:val="en-US"/>
        </w:rPr>
        <w:t>quickly</w:t>
      </w:r>
      <w:r w:rsidR="00DD4AFC">
        <w:rPr>
          <w:rFonts w:ascii="Arial" w:hAnsi="Arial" w:cs="Arial"/>
          <w:sz w:val="22"/>
          <w:szCs w:val="22"/>
          <w:lang w:val="en-US"/>
        </w:rPr>
        <w:t xml:space="preserve"> after blood draw</w:t>
      </w:r>
      <w:r w:rsidR="00C025C6">
        <w:rPr>
          <w:rFonts w:ascii="Arial" w:hAnsi="Arial" w:cs="Arial"/>
          <w:sz w:val="22"/>
          <w:szCs w:val="22"/>
          <w:lang w:val="en-US"/>
        </w:rPr>
        <w:t xml:space="preserve">, </w:t>
      </w:r>
      <w:r w:rsidR="00794384">
        <w:rPr>
          <w:rFonts w:ascii="Arial" w:hAnsi="Arial" w:cs="Arial"/>
          <w:sz w:val="22"/>
          <w:szCs w:val="22"/>
          <w:lang w:val="en-US"/>
        </w:rPr>
        <w:t xml:space="preserve">compared to tissue-based testing, </w:t>
      </w:r>
      <w:r w:rsidR="00DD4AFC">
        <w:rPr>
          <w:rFonts w:ascii="Arial" w:hAnsi="Arial" w:cs="Arial"/>
          <w:sz w:val="22"/>
          <w:szCs w:val="22"/>
          <w:lang w:val="en-US"/>
        </w:rPr>
        <w:t>a</w:t>
      </w:r>
      <w:r w:rsidR="00C025C6">
        <w:rPr>
          <w:rFonts w:ascii="Arial" w:hAnsi="Arial" w:cs="Arial"/>
          <w:sz w:val="22"/>
          <w:szCs w:val="22"/>
          <w:lang w:val="en-US"/>
        </w:rPr>
        <w:t xml:space="preserve">nd </w:t>
      </w:r>
      <w:r w:rsidR="001719B7">
        <w:rPr>
          <w:rFonts w:ascii="Arial" w:hAnsi="Arial" w:cs="Arial"/>
          <w:sz w:val="22"/>
          <w:szCs w:val="22"/>
          <w:lang w:val="en-US"/>
        </w:rPr>
        <w:t>this resulted in a</w:t>
      </w:r>
      <w:r w:rsidR="00C025C6">
        <w:rPr>
          <w:rFonts w:ascii="Arial" w:hAnsi="Arial" w:cs="Arial"/>
          <w:sz w:val="22"/>
          <w:szCs w:val="22"/>
          <w:lang w:val="en-US"/>
        </w:rPr>
        <w:t xml:space="preserve"> high conversion </w:t>
      </w:r>
      <w:r w:rsidR="0066799B">
        <w:rPr>
          <w:rFonts w:ascii="Arial" w:hAnsi="Arial" w:cs="Arial"/>
          <w:sz w:val="22"/>
          <w:szCs w:val="22"/>
          <w:lang w:val="en-US"/>
        </w:rPr>
        <w:t xml:space="preserve">rate </w:t>
      </w:r>
      <w:r w:rsidR="00C025C6">
        <w:rPr>
          <w:rFonts w:ascii="Arial" w:hAnsi="Arial" w:cs="Arial"/>
          <w:sz w:val="22"/>
          <w:szCs w:val="22"/>
          <w:lang w:val="en-US"/>
        </w:rPr>
        <w:t xml:space="preserve">of </w:t>
      </w:r>
      <w:r w:rsidR="00923A37" w:rsidRPr="008C7FCA">
        <w:rPr>
          <w:rFonts w:ascii="Arial" w:hAnsi="Arial" w:cs="Arial"/>
          <w:sz w:val="22"/>
          <w:szCs w:val="22"/>
          <w:lang w:val="en-US"/>
        </w:rPr>
        <w:t xml:space="preserve">patients with </w:t>
      </w:r>
      <w:r w:rsidR="00C025C6" w:rsidRPr="006E378E">
        <w:rPr>
          <w:rFonts w:ascii="Arial" w:hAnsi="Arial" w:cs="Arial"/>
          <w:sz w:val="22"/>
          <w:szCs w:val="22"/>
          <w:lang w:val="en-US"/>
        </w:rPr>
        <w:t>ctDNA</w:t>
      </w:r>
      <w:r w:rsidR="00C025C6" w:rsidRPr="00C025C6">
        <w:rPr>
          <w:rFonts w:ascii="Arial" w:hAnsi="Arial" w:cs="Arial"/>
          <w:sz w:val="22"/>
          <w:szCs w:val="22"/>
          <w:lang w:val="en-US"/>
        </w:rPr>
        <w:t xml:space="preserve"> </w:t>
      </w:r>
      <w:r w:rsidR="00923A37" w:rsidRPr="008C7FCA">
        <w:rPr>
          <w:rFonts w:ascii="Arial" w:hAnsi="Arial" w:cs="Arial"/>
          <w:sz w:val="22"/>
          <w:szCs w:val="22"/>
          <w:lang w:val="en-US"/>
        </w:rPr>
        <w:t>mutations in</w:t>
      </w:r>
      <w:r w:rsidR="00C025C6">
        <w:rPr>
          <w:rFonts w:ascii="Arial" w:hAnsi="Arial" w:cs="Arial"/>
          <w:sz w:val="22"/>
          <w:szCs w:val="22"/>
          <w:lang w:val="en-US"/>
        </w:rPr>
        <w:t>to</w:t>
      </w:r>
      <w:r w:rsidR="00923A37" w:rsidRPr="008C7FCA">
        <w:rPr>
          <w:rFonts w:ascii="Arial" w:hAnsi="Arial" w:cs="Arial"/>
          <w:sz w:val="22"/>
          <w:szCs w:val="22"/>
          <w:lang w:val="en-US"/>
        </w:rPr>
        <w:t xml:space="preserve"> the corresponding treatment cohort</w:t>
      </w:r>
      <w:r w:rsidR="00DD4AFC">
        <w:rPr>
          <w:rFonts w:ascii="Arial" w:hAnsi="Arial" w:cs="Arial"/>
          <w:sz w:val="22"/>
          <w:szCs w:val="22"/>
          <w:lang w:val="en-US"/>
        </w:rPr>
        <w:t>.</w:t>
      </w:r>
      <w:r w:rsidR="00794384">
        <w:rPr>
          <w:rFonts w:ascii="Arial" w:hAnsi="Arial" w:cs="Arial"/>
          <w:sz w:val="22"/>
          <w:szCs w:val="22"/>
          <w:lang w:val="en-US"/>
        </w:rPr>
        <w:t xml:space="preserve"> </w:t>
      </w:r>
      <w:r w:rsidR="005324DA" w:rsidRPr="008C7FCA">
        <w:rPr>
          <w:rFonts w:ascii="Arial" w:hAnsi="Arial" w:cs="Arial"/>
          <w:sz w:val="22"/>
          <w:szCs w:val="22"/>
          <w:lang w:val="en-US"/>
        </w:rPr>
        <w:t xml:space="preserve">The accuracy of ctDNA testing </w:t>
      </w:r>
      <w:r w:rsidR="00DD4AFC">
        <w:rPr>
          <w:rFonts w:ascii="Arial" w:hAnsi="Arial" w:cs="Arial"/>
          <w:sz w:val="22"/>
          <w:szCs w:val="22"/>
          <w:lang w:val="en-US"/>
        </w:rPr>
        <w:t>was also similar to that achieved with</w:t>
      </w:r>
      <w:r w:rsidR="005324DA" w:rsidRPr="008C7FCA">
        <w:rPr>
          <w:rFonts w:ascii="Arial" w:hAnsi="Arial" w:cs="Arial"/>
          <w:sz w:val="22"/>
          <w:szCs w:val="22"/>
          <w:lang w:val="en-US"/>
        </w:rPr>
        <w:t xml:space="preserve"> </w:t>
      </w:r>
      <w:r w:rsidR="00DD4AFC">
        <w:rPr>
          <w:rFonts w:ascii="Arial" w:hAnsi="Arial" w:cs="Arial"/>
          <w:sz w:val="22"/>
          <w:szCs w:val="22"/>
          <w:lang w:val="en-US"/>
        </w:rPr>
        <w:t>tissue</w:t>
      </w:r>
      <w:r w:rsidR="005324DA" w:rsidRPr="008C7FCA">
        <w:rPr>
          <w:rFonts w:ascii="Arial" w:hAnsi="Arial" w:cs="Arial"/>
          <w:sz w:val="22"/>
          <w:szCs w:val="22"/>
          <w:lang w:val="en-US"/>
        </w:rPr>
        <w:t xml:space="preserve"> </w:t>
      </w:r>
      <w:r w:rsidR="0019483F" w:rsidRPr="008C7FCA">
        <w:rPr>
          <w:rFonts w:ascii="Arial" w:hAnsi="Arial" w:cs="Arial"/>
          <w:sz w:val="22"/>
          <w:szCs w:val="22"/>
          <w:lang w:val="en-US"/>
        </w:rPr>
        <w:t>sequencing</w:t>
      </w:r>
      <w:r w:rsidR="0019483F">
        <w:rPr>
          <w:rFonts w:ascii="Arial" w:hAnsi="Arial" w:cs="Arial"/>
          <w:sz w:val="22"/>
          <w:szCs w:val="22"/>
          <w:vertAlign w:val="superscript"/>
          <w:lang w:val="en-US"/>
        </w:rPr>
        <w:t>17</w:t>
      </w:r>
      <w:r w:rsidR="007463BB">
        <w:rPr>
          <w:rFonts w:ascii="Arial" w:hAnsi="Arial" w:cs="Arial"/>
          <w:sz w:val="22"/>
          <w:szCs w:val="22"/>
          <w:lang w:val="en-US"/>
        </w:rPr>
        <w:t>.</w:t>
      </w:r>
      <w:r w:rsidR="00DD4AFC">
        <w:rPr>
          <w:rFonts w:ascii="Arial" w:hAnsi="Arial" w:cs="Arial"/>
          <w:sz w:val="22"/>
          <w:szCs w:val="22"/>
          <w:lang w:val="en-US"/>
        </w:rPr>
        <w:t xml:space="preserve"> D</w:t>
      </w:r>
      <w:r w:rsidR="008A3F7A" w:rsidRPr="008C7FCA">
        <w:rPr>
          <w:rFonts w:ascii="Arial" w:hAnsi="Arial" w:cs="Arial"/>
          <w:sz w:val="22"/>
          <w:szCs w:val="22"/>
          <w:lang w:val="en-US"/>
        </w:rPr>
        <w:t>iscordance between ctDNA results was still observed for patients at low allele frequency mutations</w:t>
      </w:r>
      <w:r w:rsidR="00373A9F" w:rsidRPr="008C7FCA">
        <w:rPr>
          <w:rFonts w:ascii="Arial" w:hAnsi="Arial" w:cs="Arial"/>
          <w:sz w:val="22"/>
          <w:szCs w:val="22"/>
          <w:lang w:val="en-US"/>
        </w:rPr>
        <w:t xml:space="preserve"> (</w:t>
      </w:r>
      <w:r w:rsidR="0023213F">
        <w:rPr>
          <w:rFonts w:ascii="Arial" w:hAnsi="Arial" w:cs="Arial"/>
          <w:sz w:val="22"/>
          <w:szCs w:val="22"/>
          <w:lang w:val="en-US"/>
        </w:rPr>
        <w:t>appendix p17</w:t>
      </w:r>
      <w:r w:rsidR="003C161C">
        <w:rPr>
          <w:rFonts w:ascii="Arial" w:hAnsi="Arial" w:cs="Arial"/>
          <w:sz w:val="22"/>
          <w:szCs w:val="22"/>
          <w:lang w:val="en-US"/>
        </w:rPr>
        <w:t>)</w:t>
      </w:r>
      <w:r w:rsidR="00DD4AFC">
        <w:rPr>
          <w:rFonts w:ascii="Arial" w:hAnsi="Arial" w:cs="Arial"/>
          <w:sz w:val="22"/>
          <w:szCs w:val="22"/>
          <w:lang w:val="en-US"/>
        </w:rPr>
        <w:t>, suggesting further potential for assay development. Nevertheless, the degree of sensitivity observed in this study suggests that</w:t>
      </w:r>
      <w:r w:rsidR="00514DD8">
        <w:rPr>
          <w:rFonts w:ascii="Arial" w:hAnsi="Arial" w:cs="Arial"/>
          <w:sz w:val="22"/>
          <w:szCs w:val="22"/>
          <w:lang w:val="en-US"/>
        </w:rPr>
        <w:t>,</w:t>
      </w:r>
      <w:r w:rsidR="00DD4AFC">
        <w:rPr>
          <w:rFonts w:ascii="Arial" w:hAnsi="Arial" w:cs="Arial"/>
          <w:sz w:val="22"/>
          <w:szCs w:val="22"/>
          <w:lang w:val="en-US"/>
        </w:rPr>
        <w:t xml:space="preserve"> within the patient population </w:t>
      </w:r>
      <w:r w:rsidR="00D430A2">
        <w:rPr>
          <w:rFonts w:ascii="Arial" w:hAnsi="Arial" w:cs="Arial"/>
          <w:sz w:val="22"/>
          <w:szCs w:val="22"/>
          <w:lang w:val="en-US"/>
        </w:rPr>
        <w:t xml:space="preserve">of advanced disease patients </w:t>
      </w:r>
      <w:r w:rsidR="00716C74">
        <w:rPr>
          <w:rFonts w:ascii="Arial" w:hAnsi="Arial" w:cs="Arial"/>
          <w:sz w:val="22"/>
          <w:szCs w:val="22"/>
          <w:lang w:val="en-US"/>
        </w:rPr>
        <w:t>recruited</w:t>
      </w:r>
      <w:r w:rsidR="00DD4AFC">
        <w:rPr>
          <w:rFonts w:ascii="Arial" w:hAnsi="Arial" w:cs="Arial"/>
          <w:sz w:val="22"/>
          <w:szCs w:val="22"/>
          <w:lang w:val="en-US"/>
        </w:rPr>
        <w:t>, ctDNA testing could replace tissue</w:t>
      </w:r>
      <w:r w:rsidR="00B222FE">
        <w:rPr>
          <w:rFonts w:ascii="Arial" w:hAnsi="Arial" w:cs="Arial"/>
          <w:sz w:val="22"/>
          <w:szCs w:val="22"/>
          <w:lang w:val="en-US"/>
        </w:rPr>
        <w:t>-</w:t>
      </w:r>
      <w:r w:rsidR="00DD4AFC">
        <w:rPr>
          <w:rFonts w:ascii="Arial" w:hAnsi="Arial" w:cs="Arial"/>
          <w:sz w:val="22"/>
          <w:szCs w:val="22"/>
          <w:lang w:val="en-US"/>
        </w:rPr>
        <w:t xml:space="preserve">based </w:t>
      </w:r>
      <w:r w:rsidR="001A7958">
        <w:rPr>
          <w:rFonts w:ascii="Arial" w:hAnsi="Arial" w:cs="Arial"/>
          <w:sz w:val="22"/>
          <w:szCs w:val="22"/>
          <w:lang w:val="en-US"/>
        </w:rPr>
        <w:t>mutation analysis</w:t>
      </w:r>
      <w:r w:rsidR="00DD4AFC">
        <w:rPr>
          <w:rFonts w:ascii="Arial" w:hAnsi="Arial" w:cs="Arial"/>
          <w:sz w:val="22"/>
          <w:szCs w:val="22"/>
          <w:lang w:val="en-US"/>
        </w:rPr>
        <w:t>.</w:t>
      </w:r>
      <w:r w:rsidR="001A7958">
        <w:rPr>
          <w:rFonts w:ascii="Arial" w:hAnsi="Arial" w:cs="Arial"/>
          <w:sz w:val="22"/>
          <w:szCs w:val="22"/>
          <w:lang w:val="en-US"/>
        </w:rPr>
        <w:t xml:space="preserve"> However, we note that tissue biopsy will remain important for immunohistochemistry, and copy number</w:t>
      </w:r>
      <w:r w:rsidR="00E25C3F">
        <w:rPr>
          <w:rFonts w:ascii="Arial" w:hAnsi="Arial" w:cs="Arial"/>
          <w:sz w:val="22"/>
          <w:szCs w:val="22"/>
          <w:lang w:val="en-US"/>
        </w:rPr>
        <w:t>-</w:t>
      </w:r>
      <w:r w:rsidR="001A7958">
        <w:rPr>
          <w:rFonts w:ascii="Arial" w:hAnsi="Arial" w:cs="Arial"/>
          <w:sz w:val="22"/>
          <w:szCs w:val="22"/>
          <w:lang w:val="en-US"/>
        </w:rPr>
        <w:t xml:space="preserve">based assessment. </w:t>
      </w:r>
      <w:r w:rsidR="003D66CF" w:rsidRPr="008C7FCA">
        <w:rPr>
          <w:rFonts w:ascii="Arial" w:hAnsi="Arial" w:cs="Arial"/>
          <w:sz w:val="22"/>
          <w:szCs w:val="22"/>
          <w:lang w:val="en-US"/>
        </w:rPr>
        <w:t xml:space="preserve">Digital PCR offered similar accuracy to sequencing, with substantial cost efficiency, although </w:t>
      </w:r>
      <w:r w:rsidR="003D66CF">
        <w:rPr>
          <w:rFonts w:ascii="Arial" w:hAnsi="Arial" w:cs="Arial"/>
          <w:sz w:val="22"/>
          <w:szCs w:val="22"/>
          <w:lang w:val="en-US"/>
        </w:rPr>
        <w:t>wa</w:t>
      </w:r>
      <w:r w:rsidR="003D66CF" w:rsidRPr="008C7FCA">
        <w:rPr>
          <w:rFonts w:ascii="Arial" w:hAnsi="Arial" w:cs="Arial"/>
          <w:sz w:val="22"/>
          <w:szCs w:val="22"/>
          <w:lang w:val="en-US"/>
        </w:rPr>
        <w:t>s limited to the specific mutations analy</w:t>
      </w:r>
      <w:r w:rsidR="00C83D04">
        <w:rPr>
          <w:rFonts w:ascii="Arial" w:hAnsi="Arial" w:cs="Arial"/>
          <w:sz w:val="22"/>
          <w:szCs w:val="22"/>
          <w:lang w:val="en-US"/>
        </w:rPr>
        <w:t>s</w:t>
      </w:r>
      <w:r w:rsidR="003D66CF" w:rsidRPr="008C7FCA">
        <w:rPr>
          <w:rFonts w:ascii="Arial" w:hAnsi="Arial" w:cs="Arial"/>
          <w:sz w:val="22"/>
          <w:szCs w:val="22"/>
          <w:lang w:val="en-US"/>
        </w:rPr>
        <w:t xml:space="preserve">ed. </w:t>
      </w:r>
      <w:r w:rsidR="007308FB">
        <w:rPr>
          <w:rFonts w:ascii="Arial" w:hAnsi="Arial" w:cs="Arial"/>
          <w:sz w:val="22"/>
          <w:szCs w:val="22"/>
          <w:lang w:val="en-US"/>
        </w:rPr>
        <w:t xml:space="preserve">The academic clinical laboratory conducting the digital PCR assay achieved the trial target turnaround time of results within 14 days. A lower turnaround time could easily be achieved if required in clinical practice, representing a cost-efficient method of ctDNA analysis. </w:t>
      </w:r>
      <w:r w:rsidR="00BF3A31">
        <w:rPr>
          <w:rFonts w:ascii="Arial" w:hAnsi="Arial" w:cs="Arial"/>
          <w:sz w:val="22"/>
          <w:szCs w:val="22"/>
          <w:lang w:val="en-US"/>
        </w:rPr>
        <w:t>Of the 1044 patients who underwent ctDNA testing, in total 5</w:t>
      </w:r>
      <w:r w:rsidR="00332CA3">
        <w:rPr>
          <w:rFonts w:ascii="Arial" w:hAnsi="Arial" w:cs="Arial"/>
          <w:sz w:val="22"/>
          <w:szCs w:val="22"/>
          <w:lang w:val="en-US"/>
        </w:rPr>
        <w:t>3</w:t>
      </w:r>
      <w:r w:rsidR="00BF3A31">
        <w:rPr>
          <w:rFonts w:ascii="Arial" w:hAnsi="Arial" w:cs="Arial"/>
          <w:sz w:val="22"/>
          <w:szCs w:val="22"/>
          <w:lang w:val="en-US"/>
        </w:rPr>
        <w:t>3 had a potentially actionable mutation (</w:t>
      </w:r>
      <w:r w:rsidR="00332CA3">
        <w:rPr>
          <w:rFonts w:ascii="Arial" w:hAnsi="Arial" w:cs="Arial"/>
          <w:sz w:val="22"/>
          <w:szCs w:val="22"/>
          <w:lang w:val="en-US"/>
        </w:rPr>
        <w:t>51</w:t>
      </w:r>
      <w:r w:rsidR="00BF3A31">
        <w:rPr>
          <w:rFonts w:ascii="Arial" w:hAnsi="Arial" w:cs="Arial"/>
          <w:sz w:val="22"/>
          <w:szCs w:val="22"/>
          <w:lang w:val="en-US"/>
        </w:rPr>
        <w:t xml:space="preserve">% - </w:t>
      </w:r>
      <w:r w:rsidR="00BF3A31">
        <w:rPr>
          <w:rFonts w:ascii="Arial" w:hAnsi="Arial" w:cs="Arial"/>
          <w:i/>
          <w:iCs/>
          <w:sz w:val="22"/>
          <w:szCs w:val="22"/>
          <w:lang w:val="en-US"/>
        </w:rPr>
        <w:t xml:space="preserve">PIK3CA, ESR1, </w:t>
      </w:r>
      <w:r w:rsidR="00942B8B">
        <w:rPr>
          <w:rFonts w:ascii="Arial" w:hAnsi="Arial" w:cs="Arial"/>
          <w:i/>
          <w:iCs/>
          <w:sz w:val="22"/>
          <w:szCs w:val="22"/>
          <w:lang w:val="en-US"/>
        </w:rPr>
        <w:t>ERBB2</w:t>
      </w:r>
      <w:r w:rsidR="00BF3A31">
        <w:rPr>
          <w:rFonts w:ascii="Arial" w:hAnsi="Arial" w:cs="Arial"/>
          <w:i/>
          <w:iCs/>
          <w:sz w:val="22"/>
          <w:szCs w:val="22"/>
          <w:lang w:val="en-US"/>
        </w:rPr>
        <w:t xml:space="preserve">, AKT1, </w:t>
      </w:r>
      <w:r w:rsidR="001759B9">
        <w:rPr>
          <w:rFonts w:ascii="Arial" w:hAnsi="Arial" w:cs="Arial"/>
          <w:i/>
          <w:iCs/>
          <w:sz w:val="22"/>
          <w:szCs w:val="22"/>
          <w:lang w:val="en-US"/>
        </w:rPr>
        <w:t xml:space="preserve">or </w:t>
      </w:r>
      <w:r w:rsidR="00BF3A31">
        <w:rPr>
          <w:rFonts w:ascii="Arial" w:hAnsi="Arial" w:cs="Arial"/>
          <w:i/>
          <w:iCs/>
          <w:sz w:val="22"/>
          <w:szCs w:val="22"/>
          <w:lang w:val="en-US"/>
        </w:rPr>
        <w:t>PTEN)</w:t>
      </w:r>
      <w:r w:rsidR="00BF3A31">
        <w:rPr>
          <w:rFonts w:ascii="Arial" w:hAnsi="Arial" w:cs="Arial"/>
          <w:sz w:val="22"/>
          <w:szCs w:val="22"/>
          <w:lang w:val="en-US"/>
        </w:rPr>
        <w:t xml:space="preserve"> indicating a potential value for ctDNA testing.</w:t>
      </w:r>
      <w:r w:rsidR="00E25C3F">
        <w:rPr>
          <w:rFonts w:ascii="Arial" w:hAnsi="Arial" w:cs="Arial"/>
          <w:sz w:val="22"/>
          <w:szCs w:val="22"/>
          <w:lang w:val="en-US"/>
        </w:rPr>
        <w:t xml:space="preserve"> </w:t>
      </w:r>
    </w:p>
    <w:p w14:paraId="3A86BD17" w14:textId="64F7349D" w:rsidR="00514DD8" w:rsidRPr="008C7FCA" w:rsidRDefault="003C5F5C" w:rsidP="004B43C4">
      <w:pPr>
        <w:jc w:val="both"/>
        <w:rPr>
          <w:rFonts w:ascii="Arial" w:hAnsi="Arial" w:cs="Arial"/>
          <w:sz w:val="22"/>
          <w:szCs w:val="22"/>
          <w:lang w:val="en-US"/>
        </w:rPr>
      </w:pPr>
      <w:r w:rsidRPr="008C7FCA">
        <w:rPr>
          <w:rFonts w:ascii="Arial" w:hAnsi="Arial" w:cs="Arial"/>
          <w:sz w:val="22"/>
          <w:szCs w:val="22"/>
          <w:lang w:val="en-US"/>
        </w:rPr>
        <w:t xml:space="preserve">Our results </w:t>
      </w:r>
      <w:r w:rsidR="000979BF" w:rsidRPr="008C7FCA">
        <w:rPr>
          <w:rFonts w:ascii="Arial" w:hAnsi="Arial" w:cs="Arial"/>
          <w:sz w:val="22"/>
          <w:szCs w:val="22"/>
          <w:lang w:val="en-US"/>
        </w:rPr>
        <w:t xml:space="preserve">confirm </w:t>
      </w:r>
      <w:r w:rsidR="00352BF0" w:rsidRPr="008C7FCA">
        <w:rPr>
          <w:rFonts w:ascii="Arial" w:hAnsi="Arial" w:cs="Arial"/>
          <w:sz w:val="22"/>
          <w:szCs w:val="22"/>
          <w:lang w:val="en-US"/>
        </w:rPr>
        <w:t xml:space="preserve">clinically </w:t>
      </w:r>
      <w:r w:rsidR="00112DBF" w:rsidRPr="008C7FCA">
        <w:rPr>
          <w:rFonts w:ascii="Arial" w:hAnsi="Arial" w:cs="Arial"/>
          <w:sz w:val="22"/>
          <w:szCs w:val="22"/>
          <w:lang w:val="en-US"/>
        </w:rPr>
        <w:t>relevant</w:t>
      </w:r>
      <w:r w:rsidR="00352BF0" w:rsidRPr="008C7FCA">
        <w:rPr>
          <w:rFonts w:ascii="Arial" w:hAnsi="Arial" w:cs="Arial"/>
          <w:sz w:val="22"/>
          <w:szCs w:val="22"/>
          <w:lang w:val="en-US"/>
        </w:rPr>
        <w:t xml:space="preserve"> </w:t>
      </w:r>
      <w:r w:rsidR="000979BF" w:rsidRPr="008C7FCA">
        <w:rPr>
          <w:rFonts w:ascii="Arial" w:hAnsi="Arial" w:cs="Arial"/>
          <w:sz w:val="22"/>
          <w:szCs w:val="22"/>
          <w:lang w:val="en-US"/>
        </w:rPr>
        <w:t>activity of targeted therapies against rare activ</w:t>
      </w:r>
      <w:r w:rsidR="00CC0CFD" w:rsidRPr="008C7FCA">
        <w:rPr>
          <w:rFonts w:ascii="Arial" w:hAnsi="Arial" w:cs="Arial"/>
          <w:sz w:val="22"/>
          <w:szCs w:val="22"/>
          <w:lang w:val="en-US"/>
        </w:rPr>
        <w:t>a</w:t>
      </w:r>
      <w:r w:rsidR="000979BF" w:rsidRPr="008C7FCA">
        <w:rPr>
          <w:rFonts w:ascii="Arial" w:hAnsi="Arial" w:cs="Arial"/>
          <w:sz w:val="22"/>
          <w:szCs w:val="22"/>
          <w:lang w:val="en-US"/>
        </w:rPr>
        <w:t xml:space="preserve">ting mutations in breast cancer. </w:t>
      </w:r>
      <w:r w:rsidR="00D949D4">
        <w:rPr>
          <w:rFonts w:ascii="Arial" w:hAnsi="Arial" w:cs="Arial"/>
          <w:sz w:val="22"/>
          <w:szCs w:val="22"/>
          <w:lang w:val="en-US"/>
        </w:rPr>
        <w:t>In a</w:t>
      </w:r>
      <w:r w:rsidR="00D949D4" w:rsidRPr="008C7FCA">
        <w:rPr>
          <w:rFonts w:ascii="Arial" w:hAnsi="Arial" w:cs="Arial"/>
          <w:sz w:val="22"/>
          <w:szCs w:val="22"/>
          <w:lang w:val="en-US"/>
        </w:rPr>
        <w:t xml:space="preserve"> </w:t>
      </w:r>
      <w:r w:rsidRPr="008C7FCA">
        <w:rPr>
          <w:rFonts w:ascii="Arial" w:hAnsi="Arial" w:cs="Arial"/>
          <w:sz w:val="22"/>
          <w:szCs w:val="22"/>
          <w:lang w:val="en-US"/>
        </w:rPr>
        <w:t>prior phase I study with expansion cohort</w:t>
      </w:r>
      <w:r w:rsidR="00D949D4">
        <w:rPr>
          <w:rFonts w:ascii="Arial" w:hAnsi="Arial" w:cs="Arial"/>
          <w:sz w:val="22"/>
          <w:szCs w:val="22"/>
          <w:lang w:val="en-US"/>
        </w:rPr>
        <w:t xml:space="preserve"> </w:t>
      </w:r>
      <w:r w:rsidRPr="008C7FCA">
        <w:rPr>
          <w:rFonts w:ascii="Arial" w:hAnsi="Arial" w:cs="Arial"/>
          <w:sz w:val="22"/>
          <w:szCs w:val="22"/>
          <w:lang w:val="en-US"/>
        </w:rPr>
        <w:t>of neratinib</w:t>
      </w:r>
      <w:r w:rsidR="00D949D4">
        <w:rPr>
          <w:rFonts w:ascii="Arial" w:hAnsi="Arial" w:cs="Arial"/>
          <w:sz w:val="22"/>
          <w:szCs w:val="22"/>
          <w:lang w:val="en-US"/>
        </w:rPr>
        <w:t>,</w:t>
      </w:r>
      <w:r w:rsidRPr="008C7FCA">
        <w:rPr>
          <w:rFonts w:ascii="Arial" w:hAnsi="Arial" w:cs="Arial"/>
          <w:sz w:val="22"/>
          <w:szCs w:val="22"/>
          <w:lang w:val="en-US"/>
        </w:rPr>
        <w:t xml:space="preserve"> in </w:t>
      </w:r>
      <w:r w:rsidR="00942B8B">
        <w:rPr>
          <w:rFonts w:ascii="Arial" w:hAnsi="Arial" w:cs="Arial"/>
          <w:i/>
          <w:sz w:val="22"/>
          <w:szCs w:val="22"/>
          <w:lang w:val="en-US"/>
        </w:rPr>
        <w:t>ERBB2</w:t>
      </w:r>
      <w:r w:rsidR="00942B8B" w:rsidRPr="008C7FCA">
        <w:rPr>
          <w:rFonts w:ascii="Arial" w:hAnsi="Arial" w:cs="Arial"/>
          <w:sz w:val="22"/>
          <w:szCs w:val="22"/>
          <w:lang w:val="en-US"/>
        </w:rPr>
        <w:t xml:space="preserve"> </w:t>
      </w:r>
      <w:r w:rsidR="00E1700C" w:rsidRPr="008C7FCA">
        <w:rPr>
          <w:rFonts w:ascii="Arial" w:hAnsi="Arial" w:cs="Arial"/>
          <w:sz w:val="22"/>
          <w:szCs w:val="22"/>
          <w:lang w:val="en-US"/>
        </w:rPr>
        <w:t xml:space="preserve">mutant </w:t>
      </w:r>
      <w:r w:rsidRPr="008C7FCA">
        <w:rPr>
          <w:rFonts w:ascii="Arial" w:hAnsi="Arial" w:cs="Arial"/>
          <w:sz w:val="22"/>
          <w:szCs w:val="22"/>
          <w:lang w:val="en-US"/>
        </w:rPr>
        <w:t>breast cance</w:t>
      </w:r>
      <w:r w:rsidR="00112DBF" w:rsidRPr="008C7FCA">
        <w:rPr>
          <w:rFonts w:ascii="Arial" w:hAnsi="Arial" w:cs="Arial"/>
          <w:sz w:val="22"/>
          <w:szCs w:val="22"/>
          <w:lang w:val="en-US"/>
        </w:rPr>
        <w:t>r</w:t>
      </w:r>
      <w:r w:rsidR="00B222FE">
        <w:rPr>
          <w:rFonts w:ascii="Arial" w:hAnsi="Arial" w:cs="Arial"/>
          <w:sz w:val="22"/>
          <w:szCs w:val="22"/>
          <w:lang w:val="en-US"/>
        </w:rPr>
        <w:t xml:space="preserve"> identified in tissue</w:t>
      </w:r>
      <w:r w:rsidR="00D949D4">
        <w:rPr>
          <w:rFonts w:ascii="Arial" w:hAnsi="Arial" w:cs="Arial"/>
          <w:sz w:val="22"/>
          <w:szCs w:val="22"/>
          <w:lang w:val="en-US"/>
        </w:rPr>
        <w:t>,</w:t>
      </w:r>
      <w:r w:rsidR="005A2609" w:rsidRPr="008C7FCA">
        <w:rPr>
          <w:rFonts w:ascii="Arial" w:hAnsi="Arial" w:cs="Arial"/>
          <w:sz w:val="22"/>
          <w:szCs w:val="22"/>
          <w:lang w:val="en-US"/>
        </w:rPr>
        <w:t xml:space="preserve"> the</w:t>
      </w:r>
      <w:r w:rsidRPr="008C7FCA">
        <w:rPr>
          <w:rFonts w:ascii="Arial" w:hAnsi="Arial" w:cs="Arial"/>
          <w:sz w:val="22"/>
          <w:szCs w:val="22"/>
          <w:lang w:val="en-US"/>
        </w:rPr>
        <w:t>r</w:t>
      </w:r>
      <w:r w:rsidR="005A2609" w:rsidRPr="008C7FCA">
        <w:rPr>
          <w:rFonts w:ascii="Arial" w:hAnsi="Arial" w:cs="Arial"/>
          <w:sz w:val="22"/>
          <w:szCs w:val="22"/>
          <w:lang w:val="en-US"/>
        </w:rPr>
        <w:t xml:space="preserve">e was a 32% unconfirmed response rate at </w:t>
      </w:r>
      <w:r w:rsidR="00C83D04">
        <w:rPr>
          <w:rFonts w:ascii="Arial" w:hAnsi="Arial" w:cs="Arial"/>
          <w:sz w:val="22"/>
          <w:szCs w:val="22"/>
          <w:lang w:val="en-US"/>
        </w:rPr>
        <w:t>eight</w:t>
      </w:r>
      <w:r w:rsidR="005A2609" w:rsidRPr="008C7FCA">
        <w:rPr>
          <w:rFonts w:ascii="Arial" w:hAnsi="Arial" w:cs="Arial"/>
          <w:sz w:val="22"/>
          <w:szCs w:val="22"/>
          <w:lang w:val="en-US"/>
        </w:rPr>
        <w:t xml:space="preserve"> </w:t>
      </w:r>
      <w:r w:rsidR="0055484D" w:rsidRPr="008C7FCA">
        <w:rPr>
          <w:rFonts w:ascii="Arial" w:hAnsi="Arial" w:cs="Arial"/>
          <w:sz w:val="22"/>
          <w:szCs w:val="22"/>
          <w:lang w:val="en-US"/>
        </w:rPr>
        <w:t>weeks</w:t>
      </w:r>
      <w:r w:rsidR="0055484D">
        <w:rPr>
          <w:rFonts w:ascii="Arial" w:hAnsi="Arial" w:cs="Arial"/>
          <w:sz w:val="22"/>
          <w:szCs w:val="22"/>
          <w:vertAlign w:val="superscript"/>
          <w:lang w:val="en-US"/>
        </w:rPr>
        <w:t>4</w:t>
      </w:r>
      <w:r w:rsidRPr="008C7FCA">
        <w:rPr>
          <w:rFonts w:ascii="Arial" w:hAnsi="Arial" w:cs="Arial"/>
          <w:sz w:val="22"/>
          <w:szCs w:val="22"/>
          <w:lang w:val="en-US"/>
        </w:rPr>
        <w:t xml:space="preserve">. </w:t>
      </w:r>
      <w:r w:rsidR="000845DE">
        <w:rPr>
          <w:rFonts w:ascii="Arial" w:hAnsi="Arial" w:cs="Arial"/>
          <w:sz w:val="22"/>
          <w:szCs w:val="22"/>
          <w:lang w:val="en-US"/>
        </w:rPr>
        <w:t xml:space="preserve">Here, neratinib in </w:t>
      </w:r>
      <w:r w:rsidR="00942B8B">
        <w:rPr>
          <w:rFonts w:ascii="Arial" w:hAnsi="Arial" w:cs="Arial"/>
          <w:i/>
          <w:sz w:val="22"/>
          <w:szCs w:val="22"/>
          <w:lang w:val="en-US"/>
        </w:rPr>
        <w:t>ERBB2</w:t>
      </w:r>
      <w:r w:rsidR="00942B8B" w:rsidRPr="008C7FCA">
        <w:rPr>
          <w:rFonts w:ascii="Arial" w:hAnsi="Arial" w:cs="Arial"/>
          <w:sz w:val="22"/>
          <w:szCs w:val="22"/>
          <w:lang w:val="en-US"/>
        </w:rPr>
        <w:t xml:space="preserve"> </w:t>
      </w:r>
      <w:r w:rsidR="005324DA" w:rsidRPr="008C7FCA">
        <w:rPr>
          <w:rFonts w:ascii="Arial" w:hAnsi="Arial" w:cs="Arial"/>
          <w:sz w:val="22"/>
          <w:szCs w:val="22"/>
          <w:lang w:val="en-US"/>
        </w:rPr>
        <w:t xml:space="preserve">mutant breast cancer </w:t>
      </w:r>
      <w:r w:rsidR="00B222FE">
        <w:rPr>
          <w:rFonts w:ascii="Arial" w:hAnsi="Arial" w:cs="Arial"/>
          <w:sz w:val="22"/>
          <w:szCs w:val="22"/>
          <w:lang w:val="en-US"/>
        </w:rPr>
        <w:t xml:space="preserve">identified in ctDNA </w:t>
      </w:r>
      <w:r w:rsidR="005324DA" w:rsidRPr="008C7FCA">
        <w:rPr>
          <w:rFonts w:ascii="Arial" w:hAnsi="Arial" w:cs="Arial"/>
          <w:sz w:val="22"/>
          <w:szCs w:val="22"/>
          <w:lang w:val="en-US"/>
        </w:rPr>
        <w:t>ha</w:t>
      </w:r>
      <w:r w:rsidR="000845DE">
        <w:rPr>
          <w:rFonts w:ascii="Arial" w:hAnsi="Arial" w:cs="Arial"/>
          <w:sz w:val="22"/>
          <w:szCs w:val="22"/>
          <w:lang w:val="en-US"/>
        </w:rPr>
        <w:t>d</w:t>
      </w:r>
      <w:r w:rsidR="005324DA" w:rsidRPr="008C7FCA">
        <w:rPr>
          <w:rFonts w:ascii="Arial" w:hAnsi="Arial" w:cs="Arial"/>
          <w:sz w:val="22"/>
          <w:szCs w:val="22"/>
          <w:lang w:val="en-US"/>
        </w:rPr>
        <w:t xml:space="preserve"> </w:t>
      </w:r>
      <w:r w:rsidR="005A2609" w:rsidRPr="008C7FCA">
        <w:rPr>
          <w:rFonts w:ascii="Arial" w:hAnsi="Arial" w:cs="Arial"/>
          <w:sz w:val="22"/>
          <w:szCs w:val="22"/>
          <w:lang w:val="en-US"/>
        </w:rPr>
        <w:t xml:space="preserve">comparable </w:t>
      </w:r>
      <w:r w:rsidR="00352BF0" w:rsidRPr="008C7FCA">
        <w:rPr>
          <w:rFonts w:ascii="Arial" w:hAnsi="Arial" w:cs="Arial"/>
          <w:sz w:val="22"/>
          <w:szCs w:val="22"/>
          <w:lang w:val="en-US"/>
        </w:rPr>
        <w:t xml:space="preserve">activity </w:t>
      </w:r>
      <w:r w:rsidR="005A2609" w:rsidRPr="008C7FCA">
        <w:rPr>
          <w:rFonts w:ascii="Arial" w:hAnsi="Arial" w:cs="Arial"/>
          <w:sz w:val="22"/>
          <w:szCs w:val="22"/>
          <w:lang w:val="en-US"/>
        </w:rPr>
        <w:t>to that observed guided by tissue testing</w:t>
      </w:r>
      <w:r w:rsidR="00115B70" w:rsidRPr="008C7FCA">
        <w:rPr>
          <w:rFonts w:ascii="Arial" w:hAnsi="Arial" w:cs="Arial"/>
          <w:sz w:val="22"/>
          <w:szCs w:val="22"/>
          <w:lang w:val="en-US"/>
        </w:rPr>
        <w:t>, with durab</w:t>
      </w:r>
      <w:r w:rsidR="000845DE">
        <w:rPr>
          <w:rFonts w:ascii="Arial" w:hAnsi="Arial" w:cs="Arial"/>
          <w:sz w:val="22"/>
          <w:szCs w:val="22"/>
          <w:lang w:val="en-US"/>
        </w:rPr>
        <w:t>le</w:t>
      </w:r>
      <w:r w:rsidR="00FA1FB6" w:rsidRPr="008C7FCA">
        <w:rPr>
          <w:rFonts w:ascii="Arial" w:hAnsi="Arial" w:cs="Arial"/>
          <w:sz w:val="22"/>
          <w:szCs w:val="22"/>
          <w:lang w:val="en-US"/>
        </w:rPr>
        <w:t xml:space="preserve"> responses</w:t>
      </w:r>
      <w:r w:rsidR="00115B70" w:rsidRPr="008C7FCA">
        <w:rPr>
          <w:rFonts w:ascii="Arial" w:hAnsi="Arial" w:cs="Arial"/>
          <w:sz w:val="22"/>
          <w:szCs w:val="22"/>
          <w:lang w:val="en-US"/>
        </w:rPr>
        <w:t xml:space="preserve">. </w:t>
      </w:r>
      <w:r w:rsidR="000979BF" w:rsidRPr="008C7FCA">
        <w:rPr>
          <w:rFonts w:ascii="Arial" w:hAnsi="Arial" w:cs="Arial"/>
          <w:sz w:val="22"/>
          <w:szCs w:val="22"/>
          <w:lang w:val="en-US"/>
        </w:rPr>
        <w:t>Simi</w:t>
      </w:r>
      <w:r w:rsidR="00F74386" w:rsidRPr="008C7FCA">
        <w:rPr>
          <w:rFonts w:ascii="Arial" w:hAnsi="Arial" w:cs="Arial"/>
          <w:sz w:val="22"/>
          <w:szCs w:val="22"/>
          <w:lang w:val="en-US"/>
        </w:rPr>
        <w:t xml:space="preserve">larly, capivasertib had high activity in patients with </w:t>
      </w:r>
      <w:r w:rsidR="005433BF" w:rsidRPr="008C7FCA">
        <w:rPr>
          <w:rFonts w:ascii="Arial" w:hAnsi="Arial" w:cs="Arial"/>
          <w:sz w:val="22"/>
          <w:szCs w:val="22"/>
          <w:lang w:val="en-US"/>
        </w:rPr>
        <w:t xml:space="preserve">ctDNA identified </w:t>
      </w:r>
      <w:r w:rsidR="00280A78" w:rsidRPr="008C7FCA">
        <w:rPr>
          <w:rFonts w:ascii="Arial" w:hAnsi="Arial" w:cs="Arial"/>
          <w:i/>
          <w:sz w:val="22"/>
          <w:szCs w:val="22"/>
          <w:lang w:val="en-US"/>
        </w:rPr>
        <w:t>AKT1</w:t>
      </w:r>
      <w:r w:rsidR="00280A78" w:rsidRPr="008C7FCA">
        <w:rPr>
          <w:rFonts w:ascii="Arial" w:hAnsi="Arial" w:cs="Arial"/>
          <w:sz w:val="22"/>
          <w:szCs w:val="22"/>
          <w:lang w:val="en-US"/>
        </w:rPr>
        <w:t xml:space="preserve"> mutations, both in HR</w:t>
      </w:r>
      <w:r w:rsidR="00214215">
        <w:rPr>
          <w:rFonts w:ascii="Arial" w:hAnsi="Arial" w:cs="Arial"/>
          <w:sz w:val="22"/>
          <w:szCs w:val="22"/>
          <w:lang w:val="en-US"/>
        </w:rPr>
        <w:t>-positive</w:t>
      </w:r>
      <w:r w:rsidR="00214215" w:rsidRPr="008C7FCA">
        <w:rPr>
          <w:rFonts w:ascii="Arial" w:hAnsi="Arial" w:cs="Arial"/>
          <w:sz w:val="22"/>
          <w:szCs w:val="22"/>
          <w:lang w:val="en-US"/>
        </w:rPr>
        <w:t xml:space="preserve"> </w:t>
      </w:r>
      <w:r w:rsidR="00280A78" w:rsidRPr="008C7FCA">
        <w:rPr>
          <w:rFonts w:ascii="Arial" w:hAnsi="Arial" w:cs="Arial"/>
          <w:sz w:val="22"/>
          <w:szCs w:val="22"/>
          <w:lang w:val="en-US"/>
        </w:rPr>
        <w:t>cancer with fulvestrant and in HR-</w:t>
      </w:r>
      <w:r w:rsidR="00214215">
        <w:rPr>
          <w:rFonts w:ascii="Arial" w:hAnsi="Arial" w:cs="Arial"/>
          <w:sz w:val="22"/>
          <w:szCs w:val="22"/>
          <w:lang w:val="en-US"/>
        </w:rPr>
        <w:t>negative</w:t>
      </w:r>
      <w:r w:rsidR="00280A78" w:rsidRPr="008C7FCA">
        <w:rPr>
          <w:rFonts w:ascii="Arial" w:hAnsi="Arial" w:cs="Arial"/>
          <w:sz w:val="22"/>
          <w:szCs w:val="22"/>
          <w:lang w:val="en-US"/>
        </w:rPr>
        <w:t xml:space="preserve"> cancer as a single agent</w:t>
      </w:r>
      <w:r w:rsidR="00E30631" w:rsidRPr="008C7FCA">
        <w:rPr>
          <w:rFonts w:ascii="Arial" w:hAnsi="Arial" w:cs="Arial"/>
          <w:sz w:val="22"/>
          <w:szCs w:val="22"/>
          <w:lang w:val="en-US"/>
        </w:rPr>
        <w:t xml:space="preserve">, again </w:t>
      </w:r>
      <w:r w:rsidR="00E30631" w:rsidRPr="008C7FCA">
        <w:rPr>
          <w:rFonts w:ascii="Arial" w:hAnsi="Arial" w:cs="Arial"/>
          <w:sz w:val="22"/>
          <w:szCs w:val="22"/>
          <w:lang w:val="en-US"/>
        </w:rPr>
        <w:lastRenderedPageBreak/>
        <w:t xml:space="preserve">confirming results of a prior phase I </w:t>
      </w:r>
      <w:r w:rsidR="0055484D" w:rsidRPr="008C7FCA">
        <w:rPr>
          <w:rFonts w:ascii="Arial" w:hAnsi="Arial" w:cs="Arial"/>
          <w:sz w:val="22"/>
          <w:szCs w:val="22"/>
          <w:lang w:val="en-US"/>
        </w:rPr>
        <w:t>study</w:t>
      </w:r>
      <w:r w:rsidR="0055484D">
        <w:rPr>
          <w:rFonts w:ascii="Arial" w:hAnsi="Arial" w:cs="Arial"/>
          <w:sz w:val="22"/>
          <w:szCs w:val="22"/>
          <w:vertAlign w:val="superscript"/>
          <w:lang w:val="en-US"/>
        </w:rPr>
        <w:t>5</w:t>
      </w:r>
      <w:r w:rsidR="000D0E1C" w:rsidRPr="008C7FCA">
        <w:rPr>
          <w:rFonts w:ascii="Arial" w:hAnsi="Arial" w:cs="Arial"/>
          <w:sz w:val="22"/>
          <w:szCs w:val="22"/>
          <w:lang w:val="en-US"/>
        </w:rPr>
        <w:t>.</w:t>
      </w:r>
      <w:r w:rsidR="00280A78" w:rsidRPr="008C7FCA">
        <w:rPr>
          <w:rFonts w:ascii="Arial" w:hAnsi="Arial" w:cs="Arial"/>
          <w:sz w:val="22"/>
          <w:szCs w:val="22"/>
          <w:lang w:val="en-US"/>
        </w:rPr>
        <w:t xml:space="preserve"> </w:t>
      </w:r>
      <w:r w:rsidR="000845DE" w:rsidRPr="00BE1DDE">
        <w:rPr>
          <w:rFonts w:ascii="Arial" w:hAnsi="Arial" w:cs="Arial"/>
          <w:sz w:val="22"/>
          <w:szCs w:val="22"/>
          <w:lang w:val="en-US"/>
        </w:rPr>
        <w:t>Confirming</w:t>
      </w:r>
      <w:r w:rsidR="000845DE">
        <w:rPr>
          <w:rFonts w:ascii="Arial" w:hAnsi="Arial" w:cs="Arial"/>
          <w:sz w:val="22"/>
          <w:szCs w:val="22"/>
          <w:lang w:val="en-US"/>
        </w:rPr>
        <w:t xml:space="preserve"> the high activity of these drugs against </w:t>
      </w:r>
      <w:r w:rsidR="00942B8B">
        <w:rPr>
          <w:rFonts w:ascii="Arial" w:hAnsi="Arial" w:cs="Arial"/>
          <w:i/>
          <w:iCs/>
          <w:sz w:val="22"/>
          <w:szCs w:val="22"/>
          <w:lang w:val="en-US"/>
        </w:rPr>
        <w:t>ERBB2</w:t>
      </w:r>
      <w:r w:rsidR="00942B8B">
        <w:rPr>
          <w:rFonts w:ascii="Arial" w:hAnsi="Arial" w:cs="Arial"/>
          <w:sz w:val="22"/>
          <w:szCs w:val="22"/>
          <w:lang w:val="en-US"/>
        </w:rPr>
        <w:t xml:space="preserve"> </w:t>
      </w:r>
      <w:r w:rsidR="000845DE">
        <w:rPr>
          <w:rFonts w:ascii="Arial" w:hAnsi="Arial" w:cs="Arial"/>
          <w:sz w:val="22"/>
          <w:szCs w:val="22"/>
          <w:lang w:val="en-US"/>
        </w:rPr>
        <w:t xml:space="preserve">and </w:t>
      </w:r>
      <w:r w:rsidR="000845DE" w:rsidRPr="000845DE">
        <w:rPr>
          <w:rFonts w:ascii="Arial" w:hAnsi="Arial" w:cs="Arial"/>
          <w:i/>
          <w:iCs/>
          <w:sz w:val="22"/>
          <w:szCs w:val="22"/>
          <w:lang w:val="en-US"/>
        </w:rPr>
        <w:t>AKT1</w:t>
      </w:r>
      <w:r w:rsidR="000845DE">
        <w:rPr>
          <w:rFonts w:ascii="Arial" w:hAnsi="Arial" w:cs="Arial"/>
          <w:sz w:val="22"/>
          <w:szCs w:val="22"/>
          <w:lang w:val="en-US"/>
        </w:rPr>
        <w:t xml:space="preserve"> mutations, strongly suggest the need for registration trials</w:t>
      </w:r>
      <w:r w:rsidR="00107C53">
        <w:rPr>
          <w:rFonts w:ascii="Arial" w:hAnsi="Arial" w:cs="Arial"/>
          <w:sz w:val="22"/>
          <w:szCs w:val="22"/>
          <w:lang w:val="en-US"/>
        </w:rPr>
        <w:t>,</w:t>
      </w:r>
      <w:r w:rsidR="000845DE">
        <w:rPr>
          <w:rFonts w:ascii="Arial" w:hAnsi="Arial" w:cs="Arial"/>
          <w:sz w:val="22"/>
          <w:szCs w:val="22"/>
          <w:lang w:val="en-US"/>
        </w:rPr>
        <w:t xml:space="preserve"> </w:t>
      </w:r>
      <w:r w:rsidR="00107C53">
        <w:rPr>
          <w:rFonts w:ascii="Arial" w:hAnsi="Arial" w:cs="Arial"/>
          <w:sz w:val="22"/>
          <w:szCs w:val="22"/>
          <w:lang w:val="en-US"/>
        </w:rPr>
        <w:t>facilitated</w:t>
      </w:r>
      <w:r w:rsidR="000845DE">
        <w:rPr>
          <w:rFonts w:ascii="Arial" w:hAnsi="Arial" w:cs="Arial"/>
          <w:sz w:val="22"/>
          <w:szCs w:val="22"/>
          <w:lang w:val="en-US"/>
        </w:rPr>
        <w:t xml:space="preserve"> by </w:t>
      </w:r>
      <w:r w:rsidR="00107C53">
        <w:rPr>
          <w:rFonts w:ascii="Arial" w:hAnsi="Arial" w:cs="Arial"/>
          <w:sz w:val="22"/>
          <w:szCs w:val="22"/>
          <w:lang w:val="en-US"/>
        </w:rPr>
        <w:t xml:space="preserve">a </w:t>
      </w:r>
      <w:r w:rsidR="000845DE">
        <w:rPr>
          <w:rFonts w:ascii="Arial" w:hAnsi="Arial" w:cs="Arial"/>
          <w:sz w:val="22"/>
          <w:szCs w:val="22"/>
          <w:lang w:val="en-US"/>
        </w:rPr>
        <w:t>ctDNA testing</w:t>
      </w:r>
      <w:r w:rsidR="00107C53">
        <w:rPr>
          <w:rFonts w:ascii="Arial" w:hAnsi="Arial" w:cs="Arial"/>
          <w:sz w:val="22"/>
          <w:szCs w:val="22"/>
          <w:lang w:val="en-US"/>
        </w:rPr>
        <w:t xml:space="preserve"> program</w:t>
      </w:r>
      <w:r w:rsidR="006724EC">
        <w:rPr>
          <w:rFonts w:ascii="Arial" w:hAnsi="Arial" w:cs="Arial"/>
          <w:sz w:val="22"/>
          <w:szCs w:val="22"/>
          <w:lang w:val="en-US"/>
        </w:rPr>
        <w:t>.</w:t>
      </w:r>
      <w:r w:rsidR="00221BB2">
        <w:rPr>
          <w:rFonts w:ascii="Arial" w:hAnsi="Arial" w:cs="Arial"/>
          <w:sz w:val="22"/>
          <w:szCs w:val="22"/>
          <w:lang w:val="en-US"/>
        </w:rPr>
        <w:t xml:space="preserve"> </w:t>
      </w:r>
    </w:p>
    <w:p w14:paraId="2E4FA0A9" w14:textId="0F8D8555" w:rsidR="00744B53" w:rsidRDefault="00772BB4" w:rsidP="004B43C4">
      <w:pPr>
        <w:jc w:val="both"/>
        <w:rPr>
          <w:rFonts w:ascii="Arial" w:hAnsi="Arial" w:cs="Arial"/>
          <w:sz w:val="22"/>
          <w:szCs w:val="22"/>
          <w:lang w:val="en-US"/>
        </w:rPr>
      </w:pPr>
      <w:r w:rsidRPr="008C7FCA">
        <w:rPr>
          <w:rFonts w:ascii="Arial" w:hAnsi="Arial" w:cs="Arial"/>
          <w:sz w:val="22"/>
          <w:szCs w:val="22"/>
          <w:lang w:val="en-US"/>
        </w:rPr>
        <w:t xml:space="preserve">Our study did not show benefit from </w:t>
      </w:r>
      <w:r w:rsidR="00F86AA1">
        <w:rPr>
          <w:rFonts w:ascii="Arial" w:hAnsi="Arial" w:cs="Arial"/>
          <w:sz w:val="22"/>
          <w:szCs w:val="22"/>
          <w:lang w:val="en-US"/>
        </w:rPr>
        <w:t>increas</w:t>
      </w:r>
      <w:r w:rsidRPr="008C7FCA">
        <w:rPr>
          <w:rFonts w:ascii="Arial" w:hAnsi="Arial" w:cs="Arial"/>
          <w:sz w:val="22"/>
          <w:szCs w:val="22"/>
          <w:lang w:val="en-US"/>
        </w:rPr>
        <w:t xml:space="preserve">ing the dose of fulvestrant in patients with </w:t>
      </w:r>
      <w:r w:rsidRPr="008C7FCA">
        <w:rPr>
          <w:rFonts w:ascii="Arial" w:hAnsi="Arial" w:cs="Arial"/>
          <w:i/>
          <w:sz w:val="22"/>
          <w:szCs w:val="22"/>
          <w:lang w:val="en-US"/>
        </w:rPr>
        <w:t>ESR1</w:t>
      </w:r>
      <w:r w:rsidRPr="008C7FCA">
        <w:rPr>
          <w:rFonts w:ascii="Arial" w:hAnsi="Arial" w:cs="Arial"/>
          <w:sz w:val="22"/>
          <w:szCs w:val="22"/>
          <w:lang w:val="en-US"/>
        </w:rPr>
        <w:t xml:space="preserve"> mutations in ctDNA. Prior research has suggested that fulvestrant at standard doses d</w:t>
      </w:r>
      <w:r w:rsidR="00C90430">
        <w:rPr>
          <w:rFonts w:ascii="Arial" w:hAnsi="Arial" w:cs="Arial"/>
          <w:sz w:val="22"/>
          <w:szCs w:val="22"/>
          <w:lang w:val="en-US"/>
        </w:rPr>
        <w:t>oes</w:t>
      </w:r>
      <w:r w:rsidRPr="008C7FCA">
        <w:rPr>
          <w:rFonts w:ascii="Arial" w:hAnsi="Arial" w:cs="Arial"/>
          <w:sz w:val="22"/>
          <w:szCs w:val="22"/>
          <w:lang w:val="en-US"/>
        </w:rPr>
        <w:t xml:space="preserve"> not maximally inhibit or degrade mutated </w:t>
      </w:r>
      <w:r w:rsidR="0055484D" w:rsidRPr="008C7FCA">
        <w:rPr>
          <w:rFonts w:ascii="Arial" w:hAnsi="Arial" w:cs="Arial"/>
          <w:i/>
          <w:sz w:val="22"/>
          <w:szCs w:val="22"/>
          <w:lang w:val="en-US"/>
        </w:rPr>
        <w:t>ESR1</w:t>
      </w:r>
      <w:r w:rsidR="0055484D">
        <w:rPr>
          <w:rFonts w:ascii="Arial" w:hAnsi="Arial" w:cs="Arial"/>
          <w:sz w:val="22"/>
          <w:szCs w:val="22"/>
          <w:vertAlign w:val="superscript"/>
          <w:lang w:val="en-US"/>
        </w:rPr>
        <w:t>18</w:t>
      </w:r>
      <w:r w:rsidRPr="008C7FCA">
        <w:rPr>
          <w:rFonts w:ascii="Arial" w:hAnsi="Arial" w:cs="Arial"/>
          <w:sz w:val="22"/>
          <w:szCs w:val="22"/>
          <w:lang w:val="en-US"/>
        </w:rPr>
        <w:t xml:space="preserve">, and we assessed whether more frequent administration of </w:t>
      </w:r>
      <w:r w:rsidRPr="00921A9E">
        <w:rPr>
          <w:rFonts w:ascii="Arial" w:hAnsi="Arial" w:cs="Arial"/>
          <w:sz w:val="22"/>
          <w:szCs w:val="22"/>
          <w:lang w:val="en-US"/>
        </w:rPr>
        <w:t xml:space="preserve">fulvestrant would increase </w:t>
      </w:r>
      <w:r w:rsidR="00352BF0" w:rsidRPr="00921A9E">
        <w:rPr>
          <w:rFonts w:ascii="Arial" w:hAnsi="Arial" w:cs="Arial"/>
          <w:sz w:val="22"/>
          <w:szCs w:val="22"/>
          <w:lang w:val="en-US"/>
        </w:rPr>
        <w:t>therapeutic utility</w:t>
      </w:r>
      <w:r w:rsidRPr="00921A9E">
        <w:rPr>
          <w:rFonts w:ascii="Arial" w:hAnsi="Arial" w:cs="Arial"/>
          <w:sz w:val="22"/>
          <w:szCs w:val="22"/>
          <w:lang w:val="en-US"/>
        </w:rPr>
        <w:t>. Although exposure was</w:t>
      </w:r>
      <w:r w:rsidR="00A21C97" w:rsidRPr="00921A9E">
        <w:rPr>
          <w:rFonts w:ascii="Arial" w:hAnsi="Arial" w:cs="Arial"/>
          <w:sz w:val="22"/>
          <w:szCs w:val="22"/>
          <w:lang w:val="en-US"/>
        </w:rPr>
        <w:t xml:space="preserve"> </w:t>
      </w:r>
      <w:r w:rsidRPr="00921A9E">
        <w:rPr>
          <w:rFonts w:ascii="Arial" w:hAnsi="Arial" w:cs="Arial"/>
          <w:sz w:val="22"/>
          <w:szCs w:val="22"/>
          <w:lang w:val="en-US"/>
        </w:rPr>
        <w:t>increased in later cycles</w:t>
      </w:r>
      <w:r w:rsidR="00107C53" w:rsidRPr="00921A9E">
        <w:rPr>
          <w:rFonts w:ascii="Arial" w:hAnsi="Arial" w:cs="Arial"/>
          <w:sz w:val="22"/>
          <w:szCs w:val="22"/>
          <w:lang w:val="en-US"/>
        </w:rPr>
        <w:t xml:space="preserve"> (</w:t>
      </w:r>
      <w:r w:rsidR="005E1E58" w:rsidRPr="00921A9E">
        <w:rPr>
          <w:rFonts w:ascii="Arial" w:hAnsi="Arial" w:cs="Arial"/>
          <w:sz w:val="22"/>
          <w:szCs w:val="22"/>
          <w:lang w:val="en-US"/>
        </w:rPr>
        <w:t>appendix p</w:t>
      </w:r>
      <w:r w:rsidR="00451A24" w:rsidRPr="00921A9E">
        <w:rPr>
          <w:rFonts w:ascii="Arial" w:hAnsi="Arial" w:cs="Arial"/>
          <w:sz w:val="22"/>
          <w:szCs w:val="22"/>
          <w:lang w:val="en-US"/>
        </w:rPr>
        <w:t>10</w:t>
      </w:r>
      <w:r w:rsidR="00107C53" w:rsidRPr="00921A9E">
        <w:rPr>
          <w:rFonts w:ascii="Arial" w:hAnsi="Arial" w:cs="Arial"/>
          <w:sz w:val="22"/>
          <w:szCs w:val="22"/>
          <w:lang w:val="en-US"/>
        </w:rPr>
        <w:t>)</w:t>
      </w:r>
      <w:r w:rsidRPr="00921A9E">
        <w:rPr>
          <w:rFonts w:ascii="Arial" w:hAnsi="Arial" w:cs="Arial"/>
          <w:sz w:val="22"/>
          <w:szCs w:val="22"/>
          <w:lang w:val="en-US"/>
        </w:rPr>
        <w:t xml:space="preserve"> this was insufficient to </w:t>
      </w:r>
      <w:r w:rsidR="0066348F" w:rsidRPr="00921A9E">
        <w:rPr>
          <w:rFonts w:ascii="Arial" w:hAnsi="Arial" w:cs="Arial"/>
          <w:sz w:val="22"/>
          <w:szCs w:val="22"/>
          <w:lang w:val="en-US"/>
        </w:rPr>
        <w:t>enhance</w:t>
      </w:r>
      <w:r w:rsidRPr="00921A9E">
        <w:rPr>
          <w:rFonts w:ascii="Arial" w:hAnsi="Arial" w:cs="Arial"/>
          <w:sz w:val="22"/>
          <w:szCs w:val="22"/>
          <w:lang w:val="en-US"/>
        </w:rPr>
        <w:t xml:space="preserve"> </w:t>
      </w:r>
      <w:r w:rsidR="00277B03" w:rsidRPr="00921A9E">
        <w:rPr>
          <w:rFonts w:ascii="Arial" w:hAnsi="Arial" w:cs="Arial"/>
          <w:sz w:val="22"/>
          <w:szCs w:val="22"/>
          <w:lang w:val="en-US"/>
        </w:rPr>
        <w:t xml:space="preserve">activity </w:t>
      </w:r>
      <w:r w:rsidR="00167255" w:rsidRPr="00921A9E">
        <w:rPr>
          <w:rFonts w:ascii="Arial" w:hAnsi="Arial" w:cs="Arial"/>
          <w:sz w:val="22"/>
          <w:szCs w:val="22"/>
          <w:lang w:val="en-US"/>
        </w:rPr>
        <w:t>with the response rate</w:t>
      </w:r>
      <w:r w:rsidR="00F86AA1" w:rsidRPr="00921A9E">
        <w:rPr>
          <w:rFonts w:ascii="Arial" w:hAnsi="Arial" w:cs="Arial"/>
          <w:sz w:val="22"/>
          <w:szCs w:val="22"/>
          <w:lang w:val="en-US"/>
        </w:rPr>
        <w:t xml:space="preserve"> similar to </w:t>
      </w:r>
      <w:r w:rsidR="00031FFC" w:rsidRPr="00921A9E">
        <w:rPr>
          <w:rFonts w:ascii="Arial" w:hAnsi="Arial" w:cs="Arial"/>
          <w:sz w:val="22"/>
          <w:szCs w:val="22"/>
          <w:lang w:val="en-US"/>
        </w:rPr>
        <w:t>that</w:t>
      </w:r>
      <w:r w:rsidR="00F86AA1" w:rsidRPr="00921A9E">
        <w:rPr>
          <w:rFonts w:ascii="Arial" w:hAnsi="Arial" w:cs="Arial"/>
          <w:sz w:val="22"/>
          <w:szCs w:val="22"/>
          <w:lang w:val="en-US"/>
        </w:rPr>
        <w:t xml:space="preserve"> previously </w:t>
      </w:r>
      <w:r w:rsidR="0055484D" w:rsidRPr="00921A9E">
        <w:rPr>
          <w:rFonts w:ascii="Arial" w:hAnsi="Arial" w:cs="Arial"/>
          <w:sz w:val="22"/>
          <w:szCs w:val="22"/>
          <w:lang w:val="en-US"/>
        </w:rPr>
        <w:t>reported</w:t>
      </w:r>
      <w:r w:rsidR="0055484D" w:rsidRPr="00921A9E">
        <w:rPr>
          <w:rFonts w:ascii="Arial" w:hAnsi="Arial" w:cs="Arial"/>
          <w:sz w:val="22"/>
          <w:szCs w:val="22"/>
          <w:vertAlign w:val="superscript"/>
          <w:lang w:val="en-US"/>
        </w:rPr>
        <w:t>19,20</w:t>
      </w:r>
      <w:r w:rsidR="00277B03" w:rsidRPr="00921A9E">
        <w:rPr>
          <w:rFonts w:ascii="Arial" w:hAnsi="Arial" w:cs="Arial"/>
          <w:sz w:val="22"/>
          <w:szCs w:val="22"/>
          <w:lang w:val="en-US"/>
        </w:rPr>
        <w:t>. W</w:t>
      </w:r>
      <w:r w:rsidR="0080163B" w:rsidRPr="00921A9E">
        <w:rPr>
          <w:rFonts w:ascii="Arial" w:hAnsi="Arial" w:cs="Arial"/>
          <w:sz w:val="22"/>
          <w:szCs w:val="22"/>
          <w:lang w:val="en-US"/>
        </w:rPr>
        <w:t xml:space="preserve">e note </w:t>
      </w:r>
      <w:r w:rsidR="00277B03" w:rsidRPr="00921A9E">
        <w:rPr>
          <w:rFonts w:ascii="Arial" w:hAnsi="Arial" w:cs="Arial"/>
          <w:sz w:val="22"/>
          <w:szCs w:val="22"/>
          <w:lang w:val="en-US"/>
        </w:rPr>
        <w:t xml:space="preserve">however </w:t>
      </w:r>
      <w:r w:rsidR="0080163B" w:rsidRPr="00921A9E">
        <w:rPr>
          <w:rFonts w:ascii="Arial" w:hAnsi="Arial" w:cs="Arial"/>
          <w:sz w:val="22"/>
          <w:szCs w:val="22"/>
          <w:lang w:val="en-US"/>
        </w:rPr>
        <w:t>that this study recruit</w:t>
      </w:r>
      <w:r w:rsidR="00277B03" w:rsidRPr="00921A9E">
        <w:rPr>
          <w:rFonts w:ascii="Arial" w:hAnsi="Arial" w:cs="Arial"/>
          <w:sz w:val="22"/>
          <w:szCs w:val="22"/>
          <w:lang w:val="en-US"/>
        </w:rPr>
        <w:t>ed</w:t>
      </w:r>
      <w:r w:rsidR="0080163B" w:rsidRPr="00921A9E">
        <w:rPr>
          <w:rFonts w:ascii="Arial" w:hAnsi="Arial" w:cs="Arial"/>
          <w:sz w:val="22"/>
          <w:szCs w:val="22"/>
          <w:lang w:val="en-US"/>
        </w:rPr>
        <w:t xml:space="preserve"> a heavily pre-treated population that may have reduced the </w:t>
      </w:r>
      <w:r w:rsidR="00514DD8" w:rsidRPr="00921A9E">
        <w:rPr>
          <w:rFonts w:ascii="Arial" w:hAnsi="Arial" w:cs="Arial"/>
          <w:sz w:val="22"/>
          <w:szCs w:val="22"/>
          <w:lang w:val="en-US"/>
        </w:rPr>
        <w:t>effectiveness</w:t>
      </w:r>
      <w:r w:rsidR="0080163B" w:rsidRPr="00921A9E">
        <w:rPr>
          <w:rFonts w:ascii="Arial" w:hAnsi="Arial" w:cs="Arial"/>
          <w:sz w:val="22"/>
          <w:szCs w:val="22"/>
          <w:lang w:val="en-US"/>
        </w:rPr>
        <w:t xml:space="preserve"> of fulvestrant (Table</w:t>
      </w:r>
      <w:r w:rsidR="002522D6" w:rsidRPr="00921A9E">
        <w:rPr>
          <w:rFonts w:ascii="Arial" w:hAnsi="Arial" w:cs="Arial"/>
          <w:sz w:val="22"/>
          <w:szCs w:val="22"/>
          <w:lang w:val="en-US"/>
        </w:rPr>
        <w:t xml:space="preserve"> </w:t>
      </w:r>
      <w:r w:rsidR="0080163B" w:rsidRPr="00921A9E">
        <w:rPr>
          <w:rFonts w:ascii="Arial" w:hAnsi="Arial" w:cs="Arial"/>
          <w:sz w:val="22"/>
          <w:szCs w:val="22"/>
          <w:lang w:val="en-US"/>
        </w:rPr>
        <w:t xml:space="preserve">1). </w:t>
      </w:r>
      <w:r w:rsidR="005C7045" w:rsidRPr="00921A9E">
        <w:rPr>
          <w:rFonts w:ascii="Arial" w:hAnsi="Arial" w:cs="Arial"/>
          <w:sz w:val="22"/>
          <w:szCs w:val="22"/>
          <w:lang w:val="en-US"/>
        </w:rPr>
        <w:t>M</w:t>
      </w:r>
      <w:r w:rsidR="00DC3493" w:rsidRPr="00921A9E">
        <w:rPr>
          <w:rFonts w:ascii="Arial" w:hAnsi="Arial" w:cs="Arial"/>
          <w:sz w:val="22"/>
          <w:szCs w:val="22"/>
          <w:lang w:val="en-US"/>
        </w:rPr>
        <w:t xml:space="preserve">ore </w:t>
      </w:r>
      <w:r w:rsidR="00514DD8" w:rsidRPr="00921A9E">
        <w:rPr>
          <w:rFonts w:ascii="Arial" w:hAnsi="Arial" w:cs="Arial"/>
          <w:sz w:val="22"/>
          <w:szCs w:val="22"/>
          <w:lang w:val="en-US"/>
        </w:rPr>
        <w:t xml:space="preserve">potent ER inhibitors, </w:t>
      </w:r>
      <w:r w:rsidR="00DC3493" w:rsidRPr="00921A9E">
        <w:rPr>
          <w:rFonts w:ascii="Arial" w:hAnsi="Arial" w:cs="Arial"/>
          <w:sz w:val="22"/>
          <w:szCs w:val="22"/>
          <w:lang w:val="en-US"/>
        </w:rPr>
        <w:t>such as novel oral estrogen receptor degraders and modulators</w:t>
      </w:r>
      <w:r w:rsidR="005C7045" w:rsidRPr="00921A9E">
        <w:rPr>
          <w:rFonts w:ascii="Arial" w:hAnsi="Arial" w:cs="Arial"/>
          <w:sz w:val="22"/>
          <w:szCs w:val="22"/>
          <w:lang w:val="en-US"/>
        </w:rPr>
        <w:t>, are</w:t>
      </w:r>
      <w:r w:rsidR="00A52492" w:rsidRPr="00921A9E">
        <w:rPr>
          <w:rFonts w:ascii="Arial" w:hAnsi="Arial" w:cs="Arial"/>
          <w:sz w:val="22"/>
          <w:szCs w:val="22"/>
          <w:lang w:val="en-US"/>
        </w:rPr>
        <w:t xml:space="preserve"> also</w:t>
      </w:r>
      <w:r w:rsidR="005C7045" w:rsidRPr="00921A9E">
        <w:rPr>
          <w:rFonts w:ascii="Arial" w:hAnsi="Arial" w:cs="Arial"/>
          <w:sz w:val="22"/>
          <w:szCs w:val="22"/>
          <w:lang w:val="en-US"/>
        </w:rPr>
        <w:t xml:space="preserve"> likely </w:t>
      </w:r>
      <w:r w:rsidR="0055484D" w:rsidRPr="00921A9E">
        <w:rPr>
          <w:rFonts w:ascii="Arial" w:hAnsi="Arial" w:cs="Arial"/>
          <w:sz w:val="22"/>
          <w:szCs w:val="22"/>
          <w:lang w:val="en-US"/>
        </w:rPr>
        <w:t>required</w:t>
      </w:r>
      <w:r w:rsidR="0055484D" w:rsidRPr="00921A9E">
        <w:rPr>
          <w:rFonts w:ascii="Arial" w:hAnsi="Arial" w:cs="Arial"/>
          <w:sz w:val="22"/>
          <w:szCs w:val="22"/>
          <w:vertAlign w:val="superscript"/>
          <w:lang w:val="en-US"/>
        </w:rPr>
        <w:t>21</w:t>
      </w:r>
      <w:r w:rsidR="00DC3493" w:rsidRPr="00921A9E">
        <w:rPr>
          <w:rFonts w:ascii="Arial" w:hAnsi="Arial" w:cs="Arial"/>
          <w:sz w:val="22"/>
          <w:szCs w:val="22"/>
          <w:lang w:val="en-US"/>
        </w:rPr>
        <w:t>.</w:t>
      </w:r>
      <w:r w:rsidR="0022216D" w:rsidRPr="00921A9E">
        <w:rPr>
          <w:rFonts w:ascii="Arial" w:hAnsi="Arial" w:cs="Arial"/>
          <w:sz w:val="22"/>
          <w:szCs w:val="22"/>
          <w:lang w:val="en-US"/>
        </w:rPr>
        <w:t xml:space="preserve"> </w:t>
      </w:r>
      <w:r w:rsidR="00EF5AEC" w:rsidRPr="00921A9E">
        <w:rPr>
          <w:rFonts w:ascii="Arial" w:hAnsi="Arial" w:cs="Arial"/>
          <w:sz w:val="22"/>
          <w:szCs w:val="22"/>
          <w:lang w:val="en-US"/>
        </w:rPr>
        <w:t xml:space="preserve">In this study patients with Y537S </w:t>
      </w:r>
      <w:r w:rsidR="00EF5AEC" w:rsidRPr="00921A9E">
        <w:rPr>
          <w:rFonts w:ascii="Arial" w:hAnsi="Arial" w:cs="Arial"/>
          <w:i/>
          <w:iCs/>
          <w:sz w:val="22"/>
          <w:szCs w:val="22"/>
          <w:lang w:val="en-US"/>
        </w:rPr>
        <w:t>ESR1</w:t>
      </w:r>
      <w:r w:rsidR="00EF5AEC" w:rsidRPr="00921A9E">
        <w:rPr>
          <w:rFonts w:ascii="Arial" w:hAnsi="Arial" w:cs="Arial"/>
          <w:sz w:val="22"/>
          <w:szCs w:val="22"/>
          <w:lang w:val="en-US"/>
        </w:rPr>
        <w:t xml:space="preserve"> mutations were no less sensitive to fulvestrant than those with other </w:t>
      </w:r>
      <w:r w:rsidR="00EF5AEC" w:rsidRPr="00921A9E">
        <w:rPr>
          <w:rFonts w:ascii="Arial" w:hAnsi="Arial" w:cs="Arial"/>
          <w:i/>
          <w:iCs/>
          <w:sz w:val="22"/>
          <w:szCs w:val="22"/>
          <w:lang w:val="en-US"/>
        </w:rPr>
        <w:t>ESR1</w:t>
      </w:r>
      <w:r w:rsidR="00EF5AEC" w:rsidRPr="00921A9E">
        <w:rPr>
          <w:rFonts w:ascii="Arial" w:hAnsi="Arial" w:cs="Arial"/>
          <w:sz w:val="22"/>
          <w:szCs w:val="22"/>
          <w:lang w:val="en-US"/>
        </w:rPr>
        <w:t xml:space="preserve"> mutations</w:t>
      </w:r>
      <w:r w:rsidR="00D71A81" w:rsidRPr="00921A9E">
        <w:rPr>
          <w:rFonts w:ascii="Arial" w:hAnsi="Arial" w:cs="Arial"/>
          <w:sz w:val="22"/>
          <w:szCs w:val="22"/>
          <w:lang w:val="en-US"/>
        </w:rPr>
        <w:t>,</w:t>
      </w:r>
      <w:r w:rsidR="008B3588" w:rsidRPr="00921A9E">
        <w:rPr>
          <w:rFonts w:ascii="Arial" w:hAnsi="Arial" w:cs="Arial"/>
          <w:sz w:val="22"/>
          <w:szCs w:val="22"/>
          <w:lang w:val="en-US"/>
        </w:rPr>
        <w:t xml:space="preserve"> </w:t>
      </w:r>
      <w:r w:rsidR="001536A6" w:rsidRPr="00921A9E">
        <w:rPr>
          <w:rFonts w:ascii="Arial" w:hAnsi="Arial" w:cs="Arial"/>
          <w:i/>
          <w:iCs/>
          <w:sz w:val="22"/>
          <w:szCs w:val="22"/>
          <w:lang w:val="en-US"/>
        </w:rPr>
        <w:t>ESR1</w:t>
      </w:r>
      <w:r w:rsidR="001536A6" w:rsidRPr="00921A9E">
        <w:rPr>
          <w:rFonts w:ascii="Arial" w:hAnsi="Arial" w:cs="Arial"/>
          <w:sz w:val="22"/>
          <w:szCs w:val="22"/>
          <w:lang w:val="en-US"/>
        </w:rPr>
        <w:t xml:space="preserve"> mutations were frequently sub-clonal (Figure</w:t>
      </w:r>
      <w:r w:rsidR="002522D6" w:rsidRPr="00921A9E">
        <w:rPr>
          <w:rFonts w:ascii="Arial" w:hAnsi="Arial" w:cs="Arial"/>
          <w:sz w:val="22"/>
          <w:szCs w:val="22"/>
          <w:lang w:val="en-US"/>
        </w:rPr>
        <w:t xml:space="preserve"> </w:t>
      </w:r>
      <w:r w:rsidR="001536A6" w:rsidRPr="00921A9E">
        <w:rPr>
          <w:rFonts w:ascii="Arial" w:hAnsi="Arial" w:cs="Arial"/>
          <w:sz w:val="22"/>
          <w:szCs w:val="22"/>
          <w:lang w:val="en-US"/>
        </w:rPr>
        <w:t xml:space="preserve">2), with detection of </w:t>
      </w:r>
      <w:r w:rsidR="001536A6" w:rsidRPr="00921A9E">
        <w:rPr>
          <w:rFonts w:ascii="Arial" w:hAnsi="Arial" w:cs="Arial"/>
          <w:i/>
          <w:iCs/>
          <w:sz w:val="22"/>
          <w:szCs w:val="22"/>
          <w:lang w:val="en-US"/>
        </w:rPr>
        <w:t>ESR1</w:t>
      </w:r>
      <w:r w:rsidR="001536A6" w:rsidRPr="00921A9E">
        <w:rPr>
          <w:rFonts w:ascii="Arial" w:hAnsi="Arial" w:cs="Arial"/>
          <w:sz w:val="22"/>
          <w:szCs w:val="22"/>
          <w:lang w:val="en-US"/>
        </w:rPr>
        <w:t xml:space="preserve"> mutations in ctDNA not present in contemporaneous single-site tissue biopsies (</w:t>
      </w:r>
      <w:r w:rsidR="0023213F" w:rsidRPr="00921A9E">
        <w:rPr>
          <w:rFonts w:ascii="Arial" w:hAnsi="Arial" w:cs="Arial"/>
          <w:sz w:val="22"/>
          <w:szCs w:val="22"/>
          <w:lang w:val="en-US"/>
        </w:rPr>
        <w:t>appendix p17</w:t>
      </w:r>
      <w:r w:rsidR="001536A6" w:rsidRPr="00921A9E">
        <w:rPr>
          <w:rFonts w:ascii="Arial" w:hAnsi="Arial" w:cs="Arial"/>
          <w:sz w:val="22"/>
          <w:szCs w:val="22"/>
          <w:lang w:val="en-US"/>
        </w:rPr>
        <w:t>)</w:t>
      </w:r>
      <w:r w:rsidR="001A7958" w:rsidRPr="00921A9E">
        <w:rPr>
          <w:rFonts w:ascii="Arial" w:hAnsi="Arial" w:cs="Arial"/>
          <w:sz w:val="22"/>
          <w:szCs w:val="22"/>
          <w:lang w:val="en-US"/>
        </w:rPr>
        <w:t>, reflecting the limited sampling of single-site tissue biopsies.</w:t>
      </w:r>
      <w:r w:rsidR="00791DED" w:rsidRPr="00921A9E">
        <w:rPr>
          <w:rFonts w:ascii="Arial" w:hAnsi="Arial" w:cs="Arial"/>
          <w:sz w:val="22"/>
          <w:szCs w:val="22"/>
          <w:lang w:val="en-US"/>
        </w:rPr>
        <w:t xml:space="preserve"> </w:t>
      </w:r>
      <w:r w:rsidR="008B3588" w:rsidRPr="00921A9E">
        <w:rPr>
          <w:rFonts w:ascii="Arial" w:hAnsi="Arial" w:cs="Arial"/>
          <w:sz w:val="22"/>
          <w:szCs w:val="22"/>
          <w:lang w:val="en-US"/>
        </w:rPr>
        <w:t xml:space="preserve">Efficacy was similar in patients with and without </w:t>
      </w:r>
      <w:r w:rsidR="008B3588" w:rsidRPr="00921A9E">
        <w:rPr>
          <w:rFonts w:ascii="Arial" w:hAnsi="Arial" w:cs="Arial"/>
          <w:i/>
          <w:iCs/>
          <w:sz w:val="22"/>
          <w:szCs w:val="22"/>
          <w:lang w:val="en-US"/>
        </w:rPr>
        <w:t>ESR1</w:t>
      </w:r>
      <w:r w:rsidR="008B3588" w:rsidRPr="00921A9E">
        <w:rPr>
          <w:rFonts w:ascii="Arial" w:hAnsi="Arial" w:cs="Arial"/>
          <w:sz w:val="22"/>
          <w:szCs w:val="22"/>
          <w:lang w:val="en-US"/>
        </w:rPr>
        <w:t xml:space="preserve"> mutations in tissue sequencing (</w:t>
      </w:r>
      <w:r w:rsidR="005E1E58" w:rsidRPr="00921A9E">
        <w:rPr>
          <w:rFonts w:ascii="Arial" w:hAnsi="Arial" w:cs="Arial"/>
          <w:sz w:val="22"/>
          <w:szCs w:val="22"/>
          <w:lang w:val="en-US"/>
        </w:rPr>
        <w:t>appendix p</w:t>
      </w:r>
      <w:r w:rsidR="0023213F" w:rsidRPr="00921A9E">
        <w:rPr>
          <w:rFonts w:ascii="Arial" w:hAnsi="Arial" w:cs="Arial"/>
          <w:sz w:val="22"/>
          <w:szCs w:val="22"/>
          <w:lang w:val="en-US"/>
        </w:rPr>
        <w:t>29</w:t>
      </w:r>
      <w:r w:rsidR="008B3588" w:rsidRPr="00921A9E">
        <w:rPr>
          <w:rFonts w:ascii="Arial" w:hAnsi="Arial" w:cs="Arial"/>
          <w:sz w:val="22"/>
          <w:szCs w:val="22"/>
          <w:lang w:val="en-US"/>
        </w:rPr>
        <w:t>).</w:t>
      </w:r>
    </w:p>
    <w:p w14:paraId="0FD08FF7" w14:textId="7DE162A0" w:rsidR="00772BB4" w:rsidRDefault="00744B53" w:rsidP="004B43C4">
      <w:pPr>
        <w:jc w:val="both"/>
        <w:rPr>
          <w:rFonts w:ascii="Arial" w:hAnsi="Arial" w:cs="Arial"/>
          <w:sz w:val="22"/>
          <w:szCs w:val="22"/>
          <w:lang w:val="en-US"/>
        </w:rPr>
      </w:pPr>
      <w:r>
        <w:rPr>
          <w:rFonts w:ascii="Arial" w:hAnsi="Arial" w:cs="Arial"/>
          <w:sz w:val="22"/>
          <w:szCs w:val="22"/>
          <w:lang w:val="en-US"/>
        </w:rPr>
        <w:t xml:space="preserve">Our study has limitations. Inclusion of relatively pre-treated patients may have limited efficacy, especially in cohort A, </w:t>
      </w:r>
      <w:r w:rsidR="00A56B14">
        <w:rPr>
          <w:rFonts w:ascii="Arial" w:hAnsi="Arial" w:cs="Arial"/>
          <w:sz w:val="22"/>
          <w:szCs w:val="22"/>
          <w:lang w:val="en-US"/>
        </w:rPr>
        <w:t>and</w:t>
      </w:r>
      <w:r>
        <w:rPr>
          <w:rFonts w:ascii="Arial" w:hAnsi="Arial" w:cs="Arial"/>
          <w:sz w:val="22"/>
          <w:szCs w:val="22"/>
          <w:lang w:val="en-US"/>
        </w:rPr>
        <w:t xml:space="preserve"> future </w:t>
      </w:r>
      <w:r w:rsidR="005A1569">
        <w:rPr>
          <w:rFonts w:ascii="Arial" w:hAnsi="Arial" w:cs="Arial"/>
          <w:sz w:val="22"/>
          <w:szCs w:val="22"/>
          <w:lang w:val="en-US"/>
        </w:rPr>
        <w:t>ctDNA sele</w:t>
      </w:r>
      <w:r w:rsidR="00C36506">
        <w:rPr>
          <w:rFonts w:ascii="Arial" w:hAnsi="Arial" w:cs="Arial"/>
          <w:sz w:val="22"/>
          <w:szCs w:val="22"/>
          <w:lang w:val="en-US"/>
        </w:rPr>
        <w:t>cti</w:t>
      </w:r>
      <w:r w:rsidR="005A1569">
        <w:rPr>
          <w:rFonts w:ascii="Arial" w:hAnsi="Arial" w:cs="Arial"/>
          <w:sz w:val="22"/>
          <w:szCs w:val="22"/>
          <w:lang w:val="en-US"/>
        </w:rPr>
        <w:t xml:space="preserve">on </w:t>
      </w:r>
      <w:r>
        <w:rPr>
          <w:rFonts w:ascii="Arial" w:hAnsi="Arial" w:cs="Arial"/>
          <w:sz w:val="22"/>
          <w:szCs w:val="22"/>
          <w:lang w:val="en-US"/>
        </w:rPr>
        <w:t>trials may benefit from more restrictive entry criteria.</w:t>
      </w:r>
      <w:r w:rsidR="0004285B">
        <w:rPr>
          <w:rFonts w:ascii="Arial" w:hAnsi="Arial" w:cs="Arial"/>
          <w:sz w:val="22"/>
          <w:szCs w:val="22"/>
          <w:lang w:val="en-US"/>
        </w:rPr>
        <w:t xml:space="preserve"> The study was designed to assess the efficacy of therapies against specific genomic events, </w:t>
      </w:r>
      <w:r w:rsidR="00483AFB">
        <w:rPr>
          <w:rFonts w:ascii="Arial" w:hAnsi="Arial" w:cs="Arial"/>
          <w:sz w:val="22"/>
          <w:szCs w:val="22"/>
          <w:lang w:val="en-US"/>
        </w:rPr>
        <w:t xml:space="preserve">it </w:t>
      </w:r>
      <w:r w:rsidR="0004285B">
        <w:rPr>
          <w:rFonts w:ascii="Arial" w:hAnsi="Arial" w:cs="Arial"/>
          <w:sz w:val="22"/>
          <w:szCs w:val="22"/>
          <w:lang w:val="en-US"/>
        </w:rPr>
        <w:t xml:space="preserve">did not target </w:t>
      </w:r>
      <w:r w:rsidR="0004285B">
        <w:rPr>
          <w:rFonts w:ascii="Arial" w:hAnsi="Arial" w:cs="Arial"/>
          <w:i/>
          <w:iCs/>
          <w:sz w:val="22"/>
          <w:szCs w:val="22"/>
          <w:lang w:val="en-US"/>
        </w:rPr>
        <w:t>PIK3CA</w:t>
      </w:r>
      <w:r w:rsidR="0004285B">
        <w:rPr>
          <w:rFonts w:ascii="Arial" w:hAnsi="Arial" w:cs="Arial"/>
          <w:sz w:val="22"/>
          <w:szCs w:val="22"/>
          <w:lang w:val="en-US"/>
        </w:rPr>
        <w:t xml:space="preserve"> </w:t>
      </w:r>
      <w:r w:rsidR="0055484D">
        <w:rPr>
          <w:rFonts w:ascii="Arial" w:hAnsi="Arial" w:cs="Arial"/>
          <w:sz w:val="22"/>
          <w:szCs w:val="22"/>
          <w:lang w:val="en-US"/>
        </w:rPr>
        <w:t>mutations</w:t>
      </w:r>
      <w:r w:rsidR="0055484D">
        <w:rPr>
          <w:rFonts w:ascii="Arial" w:hAnsi="Arial" w:cs="Arial"/>
          <w:sz w:val="22"/>
          <w:szCs w:val="22"/>
          <w:vertAlign w:val="superscript"/>
          <w:lang w:val="en-US"/>
        </w:rPr>
        <w:t>1</w:t>
      </w:r>
      <w:r w:rsidR="0004285B">
        <w:rPr>
          <w:rFonts w:ascii="Arial" w:hAnsi="Arial" w:cs="Arial"/>
          <w:sz w:val="22"/>
          <w:szCs w:val="22"/>
          <w:lang w:val="en-US"/>
        </w:rPr>
        <w:t>, and reflecting th</w:t>
      </w:r>
      <w:r w:rsidR="007308FB">
        <w:rPr>
          <w:rFonts w:ascii="Arial" w:hAnsi="Arial" w:cs="Arial"/>
          <w:sz w:val="22"/>
          <w:szCs w:val="22"/>
          <w:lang w:val="en-US"/>
        </w:rPr>
        <w:t>is</w:t>
      </w:r>
      <w:r w:rsidR="0004285B">
        <w:rPr>
          <w:rFonts w:ascii="Arial" w:hAnsi="Arial" w:cs="Arial"/>
          <w:sz w:val="22"/>
          <w:szCs w:val="22"/>
          <w:lang w:val="en-US"/>
        </w:rPr>
        <w:t xml:space="preserve"> design relatively few of the overall tested patients responded to therapy (17/1051). </w:t>
      </w:r>
      <w:r w:rsidR="000439B8">
        <w:rPr>
          <w:rFonts w:ascii="Arial" w:hAnsi="Arial" w:cs="Arial"/>
          <w:sz w:val="22"/>
          <w:szCs w:val="22"/>
          <w:lang w:val="en-US"/>
        </w:rPr>
        <w:t xml:space="preserve">Cohort D was conceived as a basket cohort in </w:t>
      </w:r>
      <w:r w:rsidR="00794384">
        <w:rPr>
          <w:rFonts w:ascii="Arial" w:hAnsi="Arial" w:cs="Arial"/>
          <w:sz w:val="22"/>
          <w:szCs w:val="22"/>
          <w:lang w:val="en-US"/>
        </w:rPr>
        <w:t>plasmaMATCH</w:t>
      </w:r>
      <w:r w:rsidR="000439B8">
        <w:rPr>
          <w:rFonts w:ascii="Arial" w:hAnsi="Arial" w:cs="Arial"/>
          <w:sz w:val="22"/>
          <w:szCs w:val="22"/>
          <w:lang w:val="en-US"/>
        </w:rPr>
        <w:t xml:space="preserve"> from </w:t>
      </w:r>
      <w:r w:rsidR="0088703C">
        <w:rPr>
          <w:rFonts w:ascii="Arial" w:hAnsi="Arial" w:cs="Arial"/>
          <w:sz w:val="22"/>
          <w:szCs w:val="22"/>
          <w:lang w:val="en-US"/>
        </w:rPr>
        <w:t xml:space="preserve">the </w:t>
      </w:r>
      <w:r w:rsidR="000439B8">
        <w:rPr>
          <w:rFonts w:ascii="Arial" w:hAnsi="Arial" w:cs="Arial"/>
          <w:sz w:val="22"/>
          <w:szCs w:val="22"/>
          <w:lang w:val="en-US"/>
        </w:rPr>
        <w:t xml:space="preserve">outset, </w:t>
      </w:r>
      <w:r w:rsidR="00794384">
        <w:rPr>
          <w:rFonts w:ascii="Arial" w:hAnsi="Arial" w:cs="Arial"/>
          <w:sz w:val="22"/>
          <w:szCs w:val="22"/>
          <w:lang w:val="en-US"/>
        </w:rPr>
        <w:t>to explore the efficacy of capivasertib in different AKT activating mutations. O</w:t>
      </w:r>
      <w:r w:rsidR="000439B8">
        <w:rPr>
          <w:rFonts w:ascii="Arial" w:hAnsi="Arial" w:cs="Arial"/>
          <w:sz w:val="22"/>
          <w:szCs w:val="22"/>
          <w:lang w:val="en-US"/>
        </w:rPr>
        <w:t xml:space="preserve">nly cohort D allowed entry of patients with prior tissue sequencing results, as it was anticipated that ctDNA testing alone may not recruit sufficient patients. </w:t>
      </w:r>
      <w:r w:rsidR="00E76FA1">
        <w:rPr>
          <w:rFonts w:ascii="Arial" w:hAnsi="Arial" w:cs="Arial"/>
          <w:sz w:val="22"/>
          <w:szCs w:val="22"/>
          <w:lang w:val="en-US"/>
        </w:rPr>
        <w:t xml:space="preserve">Although we identify low activity of capivasertib in </w:t>
      </w:r>
      <w:r w:rsidR="00E76FA1" w:rsidRPr="00E76FA1">
        <w:rPr>
          <w:rFonts w:ascii="Arial" w:hAnsi="Arial" w:cs="Arial"/>
          <w:i/>
          <w:iCs/>
          <w:sz w:val="22"/>
          <w:szCs w:val="22"/>
          <w:lang w:val="en-US"/>
        </w:rPr>
        <w:t>PTEN</w:t>
      </w:r>
      <w:r w:rsidR="00E76FA1">
        <w:rPr>
          <w:rFonts w:ascii="Arial" w:hAnsi="Arial" w:cs="Arial"/>
          <w:sz w:val="22"/>
          <w:szCs w:val="22"/>
          <w:lang w:val="en-US"/>
        </w:rPr>
        <w:t xml:space="preserve"> mutant cancers as a single agent, AKT inhibition in combination with paclitaxel chemotherapy may be efficacious in </w:t>
      </w:r>
      <w:r w:rsidR="00E76FA1">
        <w:rPr>
          <w:rFonts w:ascii="Arial" w:hAnsi="Arial" w:cs="Arial"/>
          <w:i/>
          <w:iCs/>
          <w:sz w:val="22"/>
          <w:szCs w:val="22"/>
          <w:lang w:val="en-US"/>
        </w:rPr>
        <w:t>PTEN</w:t>
      </w:r>
      <w:r w:rsidR="00E76FA1">
        <w:rPr>
          <w:rFonts w:ascii="Arial" w:hAnsi="Arial" w:cs="Arial"/>
          <w:sz w:val="22"/>
          <w:szCs w:val="22"/>
          <w:lang w:val="en-US"/>
        </w:rPr>
        <w:t xml:space="preserve"> mutant </w:t>
      </w:r>
      <w:r w:rsidR="0055484D">
        <w:rPr>
          <w:rFonts w:ascii="Arial" w:hAnsi="Arial" w:cs="Arial"/>
          <w:sz w:val="22"/>
          <w:szCs w:val="22"/>
          <w:lang w:val="en-US"/>
        </w:rPr>
        <w:t>cancers</w:t>
      </w:r>
      <w:r w:rsidR="0055484D">
        <w:rPr>
          <w:rFonts w:ascii="Arial" w:hAnsi="Arial" w:cs="Arial"/>
          <w:sz w:val="22"/>
          <w:szCs w:val="22"/>
          <w:vertAlign w:val="superscript"/>
          <w:lang w:val="en-US"/>
        </w:rPr>
        <w:t>22,23</w:t>
      </w:r>
      <w:r w:rsidR="00E76FA1">
        <w:rPr>
          <w:rFonts w:ascii="Arial" w:hAnsi="Arial" w:cs="Arial"/>
          <w:sz w:val="22"/>
          <w:szCs w:val="22"/>
          <w:lang w:val="en-US"/>
        </w:rPr>
        <w:t>.</w:t>
      </w:r>
      <w:r w:rsidR="00CB260A">
        <w:rPr>
          <w:rFonts w:ascii="Arial" w:hAnsi="Arial" w:cs="Arial"/>
          <w:sz w:val="22"/>
          <w:szCs w:val="22"/>
          <w:lang w:val="en-US"/>
        </w:rPr>
        <w:t xml:space="preserve"> Capivasertib </w:t>
      </w:r>
      <w:r w:rsidR="0037441F">
        <w:rPr>
          <w:rFonts w:ascii="Arial" w:hAnsi="Arial" w:cs="Arial"/>
          <w:sz w:val="22"/>
          <w:szCs w:val="22"/>
          <w:lang w:val="en-US"/>
        </w:rPr>
        <w:t>plus</w:t>
      </w:r>
      <w:r w:rsidR="00CB260A">
        <w:rPr>
          <w:rFonts w:ascii="Arial" w:hAnsi="Arial" w:cs="Arial"/>
          <w:sz w:val="22"/>
          <w:szCs w:val="22"/>
          <w:lang w:val="en-US"/>
        </w:rPr>
        <w:t xml:space="preserve"> fulvestrant </w:t>
      </w:r>
      <w:r w:rsidR="00A56B14">
        <w:rPr>
          <w:rFonts w:ascii="Arial" w:hAnsi="Arial" w:cs="Arial"/>
          <w:sz w:val="22"/>
          <w:szCs w:val="22"/>
          <w:lang w:val="en-US"/>
        </w:rPr>
        <w:t xml:space="preserve">may be </w:t>
      </w:r>
      <w:r w:rsidR="00CB260A">
        <w:rPr>
          <w:rFonts w:ascii="Arial" w:hAnsi="Arial" w:cs="Arial"/>
          <w:sz w:val="22"/>
          <w:szCs w:val="22"/>
          <w:lang w:val="en-US"/>
        </w:rPr>
        <w:t>efficacious in endocrine resistant ER</w:t>
      </w:r>
      <w:r w:rsidR="00C83D04">
        <w:rPr>
          <w:rFonts w:ascii="Arial" w:hAnsi="Arial" w:cs="Arial"/>
          <w:sz w:val="22"/>
          <w:szCs w:val="22"/>
          <w:lang w:val="en-US"/>
        </w:rPr>
        <w:t>-</w:t>
      </w:r>
      <w:r w:rsidR="00CB260A">
        <w:rPr>
          <w:rFonts w:ascii="Arial" w:hAnsi="Arial" w:cs="Arial"/>
          <w:sz w:val="22"/>
          <w:szCs w:val="22"/>
          <w:lang w:val="en-US"/>
        </w:rPr>
        <w:t>positive breast cancer without mutation selection in the FA</w:t>
      </w:r>
      <w:r w:rsidR="00F37537">
        <w:rPr>
          <w:rFonts w:ascii="Arial" w:hAnsi="Arial" w:cs="Arial"/>
          <w:sz w:val="22"/>
          <w:szCs w:val="22"/>
          <w:lang w:val="en-US"/>
        </w:rPr>
        <w:t>K</w:t>
      </w:r>
      <w:r w:rsidR="00CB260A">
        <w:rPr>
          <w:rFonts w:ascii="Arial" w:hAnsi="Arial" w:cs="Arial"/>
          <w:sz w:val="22"/>
          <w:szCs w:val="22"/>
          <w:lang w:val="en-US"/>
        </w:rPr>
        <w:t xml:space="preserve">TION </w:t>
      </w:r>
      <w:r w:rsidR="0055484D">
        <w:rPr>
          <w:rFonts w:ascii="Arial" w:hAnsi="Arial" w:cs="Arial"/>
          <w:sz w:val="22"/>
          <w:szCs w:val="22"/>
          <w:lang w:val="en-US"/>
        </w:rPr>
        <w:t>trial</w:t>
      </w:r>
      <w:r w:rsidR="0055484D">
        <w:rPr>
          <w:rFonts w:ascii="Arial" w:hAnsi="Arial" w:cs="Arial"/>
          <w:sz w:val="22"/>
          <w:szCs w:val="22"/>
          <w:vertAlign w:val="superscript"/>
          <w:lang w:val="en-US"/>
        </w:rPr>
        <w:t>24</w:t>
      </w:r>
      <w:r w:rsidR="00FF3142">
        <w:rPr>
          <w:rFonts w:ascii="Arial" w:hAnsi="Arial" w:cs="Arial"/>
          <w:sz w:val="22"/>
          <w:szCs w:val="22"/>
          <w:lang w:val="en-US"/>
        </w:rPr>
        <w:t>.</w:t>
      </w:r>
      <w:r w:rsidR="0037441F">
        <w:rPr>
          <w:rFonts w:ascii="Arial" w:hAnsi="Arial" w:cs="Arial"/>
          <w:sz w:val="22"/>
          <w:szCs w:val="22"/>
          <w:lang w:val="en-US"/>
        </w:rPr>
        <w:t xml:space="preserve"> </w:t>
      </w:r>
      <w:r w:rsidR="00FF3142">
        <w:rPr>
          <w:rFonts w:ascii="Arial" w:hAnsi="Arial" w:cs="Arial"/>
          <w:sz w:val="22"/>
          <w:szCs w:val="22"/>
          <w:lang w:val="en-US"/>
        </w:rPr>
        <w:t>I</w:t>
      </w:r>
      <w:r w:rsidR="0037441F">
        <w:rPr>
          <w:rFonts w:ascii="Arial" w:hAnsi="Arial" w:cs="Arial"/>
          <w:sz w:val="22"/>
          <w:szCs w:val="22"/>
          <w:lang w:val="en-US"/>
        </w:rPr>
        <w:t xml:space="preserve">t is not possible to </w:t>
      </w:r>
      <w:r w:rsidR="00C83D04">
        <w:rPr>
          <w:rFonts w:ascii="Arial" w:hAnsi="Arial" w:cs="Arial"/>
          <w:sz w:val="22"/>
          <w:szCs w:val="22"/>
          <w:lang w:val="en-US"/>
        </w:rPr>
        <w:t>robustly</w:t>
      </w:r>
      <w:r w:rsidR="00D87BC3">
        <w:rPr>
          <w:rFonts w:ascii="Arial" w:hAnsi="Arial" w:cs="Arial"/>
          <w:sz w:val="22"/>
          <w:szCs w:val="22"/>
          <w:lang w:val="en-US"/>
        </w:rPr>
        <w:t xml:space="preserve"> </w:t>
      </w:r>
      <w:r w:rsidR="0037441F">
        <w:rPr>
          <w:rFonts w:ascii="Arial" w:hAnsi="Arial" w:cs="Arial"/>
          <w:sz w:val="22"/>
          <w:szCs w:val="22"/>
          <w:lang w:val="en-US"/>
        </w:rPr>
        <w:t>compare plasmaMATCH with FA</w:t>
      </w:r>
      <w:r w:rsidR="00F37537">
        <w:rPr>
          <w:rFonts w:ascii="Arial" w:hAnsi="Arial" w:cs="Arial"/>
          <w:sz w:val="22"/>
          <w:szCs w:val="22"/>
          <w:lang w:val="en-US"/>
        </w:rPr>
        <w:t>K</w:t>
      </w:r>
      <w:r w:rsidR="0037441F">
        <w:rPr>
          <w:rFonts w:ascii="Arial" w:hAnsi="Arial" w:cs="Arial"/>
          <w:sz w:val="22"/>
          <w:szCs w:val="22"/>
          <w:lang w:val="en-US"/>
        </w:rPr>
        <w:t>TION,</w:t>
      </w:r>
      <w:r w:rsidR="00FF3142">
        <w:rPr>
          <w:rFonts w:ascii="Arial" w:hAnsi="Arial" w:cs="Arial"/>
          <w:sz w:val="22"/>
          <w:szCs w:val="22"/>
          <w:lang w:val="en-US"/>
        </w:rPr>
        <w:t xml:space="preserve"> </w:t>
      </w:r>
      <w:r w:rsidR="0037441F">
        <w:rPr>
          <w:rFonts w:ascii="Arial" w:hAnsi="Arial" w:cs="Arial"/>
          <w:sz w:val="22"/>
          <w:szCs w:val="22"/>
          <w:lang w:val="en-US"/>
        </w:rPr>
        <w:t xml:space="preserve">as plasmaMATCH patients had higher levels of prior treatment, and </w:t>
      </w:r>
      <w:r w:rsidR="0037441F" w:rsidRPr="0037441F">
        <w:rPr>
          <w:rFonts w:ascii="Arial" w:hAnsi="Arial" w:cs="Arial"/>
          <w:i/>
          <w:iCs/>
          <w:sz w:val="22"/>
          <w:szCs w:val="22"/>
          <w:lang w:val="en-US"/>
        </w:rPr>
        <w:t>AKT1</w:t>
      </w:r>
      <w:r w:rsidR="0037441F">
        <w:rPr>
          <w:rFonts w:ascii="Arial" w:hAnsi="Arial" w:cs="Arial"/>
          <w:sz w:val="22"/>
          <w:szCs w:val="22"/>
          <w:lang w:val="en-US"/>
        </w:rPr>
        <w:t xml:space="preserve"> mutations were not assessed and would be </w:t>
      </w:r>
      <w:r w:rsidR="003F28F7">
        <w:rPr>
          <w:rFonts w:ascii="Arial" w:hAnsi="Arial" w:cs="Arial"/>
          <w:sz w:val="22"/>
          <w:szCs w:val="22"/>
          <w:lang w:val="en-US"/>
        </w:rPr>
        <w:t>few</w:t>
      </w:r>
      <w:r w:rsidR="00D73216">
        <w:rPr>
          <w:rFonts w:ascii="Arial" w:hAnsi="Arial" w:cs="Arial"/>
          <w:sz w:val="22"/>
          <w:szCs w:val="22"/>
          <w:lang w:val="en-US"/>
        </w:rPr>
        <w:t xml:space="preserve"> in number</w:t>
      </w:r>
      <w:r w:rsidR="0037441F">
        <w:rPr>
          <w:rFonts w:ascii="Arial" w:hAnsi="Arial" w:cs="Arial"/>
          <w:sz w:val="22"/>
          <w:szCs w:val="22"/>
          <w:lang w:val="en-US"/>
        </w:rPr>
        <w:t xml:space="preserve"> in </w:t>
      </w:r>
      <w:r w:rsidR="0055484D">
        <w:rPr>
          <w:rFonts w:ascii="Arial" w:hAnsi="Arial" w:cs="Arial"/>
          <w:sz w:val="22"/>
          <w:szCs w:val="22"/>
          <w:lang w:val="en-US"/>
        </w:rPr>
        <w:t>FAKTION</w:t>
      </w:r>
      <w:r w:rsidR="0055484D">
        <w:rPr>
          <w:rFonts w:ascii="Arial" w:hAnsi="Arial" w:cs="Arial"/>
          <w:sz w:val="22"/>
          <w:szCs w:val="22"/>
          <w:vertAlign w:val="superscript"/>
          <w:lang w:val="en-US"/>
        </w:rPr>
        <w:t>24</w:t>
      </w:r>
      <w:r w:rsidR="0037441F">
        <w:rPr>
          <w:rFonts w:ascii="Arial" w:hAnsi="Arial" w:cs="Arial"/>
          <w:sz w:val="22"/>
          <w:szCs w:val="22"/>
          <w:lang w:val="en-US"/>
        </w:rPr>
        <w:t>.</w:t>
      </w:r>
      <w:r w:rsidR="00A56B14">
        <w:rPr>
          <w:rFonts w:ascii="Arial" w:hAnsi="Arial" w:cs="Arial"/>
          <w:sz w:val="22"/>
          <w:szCs w:val="22"/>
          <w:lang w:val="en-US"/>
        </w:rPr>
        <w:t xml:space="preserve"> </w:t>
      </w:r>
    </w:p>
    <w:p w14:paraId="521B964F" w14:textId="77777777" w:rsidR="00942BCE" w:rsidRPr="008C7FCA" w:rsidRDefault="00942BCE" w:rsidP="004B43C4">
      <w:pPr>
        <w:jc w:val="both"/>
        <w:rPr>
          <w:rFonts w:ascii="Arial" w:hAnsi="Arial" w:cs="Arial"/>
          <w:sz w:val="22"/>
          <w:szCs w:val="22"/>
          <w:lang w:val="en-US"/>
        </w:rPr>
      </w:pPr>
    </w:p>
    <w:p w14:paraId="6F0D6BC9" w14:textId="42EFA16D" w:rsidR="006C49A4" w:rsidRPr="008C7FCA" w:rsidRDefault="006C49A4" w:rsidP="004B43C4">
      <w:pPr>
        <w:jc w:val="both"/>
        <w:rPr>
          <w:rFonts w:ascii="Arial" w:hAnsi="Arial" w:cs="Arial"/>
          <w:sz w:val="22"/>
          <w:szCs w:val="22"/>
          <w:lang w:val="en-US"/>
        </w:rPr>
      </w:pPr>
      <w:r w:rsidRPr="008C7FCA">
        <w:rPr>
          <w:rFonts w:ascii="Arial" w:hAnsi="Arial" w:cs="Arial"/>
          <w:sz w:val="22"/>
          <w:szCs w:val="22"/>
          <w:lang w:val="en-US"/>
        </w:rPr>
        <w:t>In conclusion we show that ctDNA testing, with the assays employed in this study, has sufficient accuracy for widespread adoption</w:t>
      </w:r>
      <w:r w:rsidR="00EB5BB5">
        <w:rPr>
          <w:rFonts w:ascii="Arial" w:hAnsi="Arial" w:cs="Arial"/>
          <w:sz w:val="22"/>
          <w:szCs w:val="22"/>
          <w:lang w:val="en-US"/>
        </w:rPr>
        <w:t xml:space="preserve"> in clinical practice</w:t>
      </w:r>
      <w:r w:rsidR="009B2628">
        <w:rPr>
          <w:rFonts w:ascii="Arial" w:hAnsi="Arial" w:cs="Arial"/>
          <w:sz w:val="22"/>
          <w:szCs w:val="22"/>
          <w:lang w:val="en-US"/>
        </w:rPr>
        <w:t xml:space="preserve"> </w:t>
      </w:r>
      <w:r w:rsidR="00077263" w:rsidRPr="00077263">
        <w:rPr>
          <w:rFonts w:ascii="Arial" w:hAnsi="Arial" w:cs="Arial"/>
          <w:sz w:val="22"/>
          <w:szCs w:val="22"/>
          <w:lang w:val="en-US"/>
        </w:rPr>
        <w:t xml:space="preserve">to identify patients suitable for </w:t>
      </w:r>
      <w:r w:rsidR="00077263" w:rsidRPr="00077263">
        <w:rPr>
          <w:rFonts w:ascii="Arial" w:hAnsi="Arial" w:cs="Arial"/>
          <w:sz w:val="22"/>
          <w:szCs w:val="22"/>
          <w:lang w:val="en-US"/>
        </w:rPr>
        <w:lastRenderedPageBreak/>
        <w:t>licensed targeted therapies in routine clinical practice</w:t>
      </w:r>
      <w:r w:rsidR="004F10F3">
        <w:rPr>
          <w:rFonts w:ascii="Arial" w:hAnsi="Arial" w:cs="Arial"/>
          <w:sz w:val="22"/>
          <w:szCs w:val="22"/>
          <w:lang w:val="en-US"/>
        </w:rPr>
        <w:t xml:space="preserve">, </w:t>
      </w:r>
      <w:r w:rsidR="00077263" w:rsidRPr="00077263">
        <w:rPr>
          <w:rFonts w:ascii="Arial" w:hAnsi="Arial" w:cs="Arial"/>
          <w:sz w:val="22"/>
          <w:szCs w:val="22"/>
          <w:lang w:val="en-US"/>
        </w:rPr>
        <w:t xml:space="preserve">such as </w:t>
      </w:r>
      <w:r w:rsidR="00077263" w:rsidRPr="00122349">
        <w:rPr>
          <w:rFonts w:ascii="Arial" w:hAnsi="Arial" w:cs="Arial"/>
          <w:i/>
          <w:sz w:val="22"/>
          <w:szCs w:val="22"/>
          <w:lang w:val="en-US"/>
        </w:rPr>
        <w:t>PIK3CA</w:t>
      </w:r>
      <w:r w:rsidR="00077263" w:rsidRPr="00077263">
        <w:rPr>
          <w:rFonts w:ascii="Arial" w:hAnsi="Arial" w:cs="Arial"/>
          <w:sz w:val="22"/>
          <w:szCs w:val="22"/>
          <w:lang w:val="en-US"/>
        </w:rPr>
        <w:t xml:space="preserve"> mutant breast cancer</w:t>
      </w:r>
      <w:r w:rsidR="00864E86">
        <w:rPr>
          <w:rFonts w:ascii="Arial" w:hAnsi="Arial" w:cs="Arial"/>
          <w:sz w:val="22"/>
          <w:szCs w:val="22"/>
          <w:lang w:val="en-US"/>
        </w:rPr>
        <w:t>,</w:t>
      </w:r>
      <w:r w:rsidR="00BD08D4">
        <w:rPr>
          <w:rFonts w:ascii="Arial" w:hAnsi="Arial" w:cs="Arial"/>
          <w:sz w:val="22"/>
          <w:szCs w:val="22"/>
          <w:lang w:val="en-US"/>
        </w:rPr>
        <w:t xml:space="preserve"> </w:t>
      </w:r>
      <w:r w:rsidR="00864E86">
        <w:rPr>
          <w:rFonts w:ascii="Arial" w:hAnsi="Arial" w:cs="Arial"/>
          <w:sz w:val="22"/>
          <w:szCs w:val="22"/>
          <w:lang w:val="en-US"/>
        </w:rPr>
        <w:t xml:space="preserve">with the </w:t>
      </w:r>
      <w:r w:rsidR="00D619D8">
        <w:rPr>
          <w:rFonts w:ascii="Arial" w:hAnsi="Arial" w:cs="Arial"/>
          <w:sz w:val="22"/>
          <w:szCs w:val="22"/>
          <w:lang w:val="en-US"/>
        </w:rPr>
        <w:t xml:space="preserve">transformative </w:t>
      </w:r>
      <w:r w:rsidR="00864E86">
        <w:rPr>
          <w:rFonts w:ascii="Arial" w:hAnsi="Arial" w:cs="Arial"/>
          <w:sz w:val="22"/>
          <w:szCs w:val="22"/>
          <w:lang w:val="en-US"/>
        </w:rPr>
        <w:t xml:space="preserve">potential </w:t>
      </w:r>
      <w:r w:rsidR="003258B8">
        <w:rPr>
          <w:rFonts w:ascii="Arial" w:hAnsi="Arial" w:cs="Arial"/>
          <w:sz w:val="22"/>
          <w:szCs w:val="22"/>
          <w:lang w:val="en-US"/>
        </w:rPr>
        <w:t>of</w:t>
      </w:r>
      <w:r w:rsidR="00864E86">
        <w:rPr>
          <w:rFonts w:ascii="Arial" w:hAnsi="Arial" w:cs="Arial"/>
          <w:sz w:val="22"/>
          <w:szCs w:val="22"/>
          <w:lang w:val="en-US"/>
        </w:rPr>
        <w:t xml:space="preserve"> </w:t>
      </w:r>
      <w:r w:rsidR="0014459D">
        <w:rPr>
          <w:rFonts w:ascii="Arial" w:hAnsi="Arial" w:cs="Arial"/>
          <w:sz w:val="22"/>
          <w:szCs w:val="22"/>
          <w:lang w:val="en-US"/>
        </w:rPr>
        <w:t xml:space="preserve">efficient and </w:t>
      </w:r>
      <w:r w:rsidR="00BD08D4">
        <w:rPr>
          <w:rFonts w:ascii="Arial" w:hAnsi="Arial" w:cs="Arial"/>
          <w:sz w:val="22"/>
          <w:szCs w:val="22"/>
          <w:lang w:val="en-US"/>
        </w:rPr>
        <w:t>rapid screening</w:t>
      </w:r>
      <w:r w:rsidR="00864E86">
        <w:rPr>
          <w:rFonts w:ascii="Arial" w:hAnsi="Arial" w:cs="Arial"/>
          <w:sz w:val="22"/>
          <w:szCs w:val="22"/>
          <w:lang w:val="en-US"/>
        </w:rPr>
        <w:t xml:space="preserve"> for</w:t>
      </w:r>
      <w:r w:rsidR="00EB5BB5">
        <w:rPr>
          <w:rFonts w:ascii="Arial" w:hAnsi="Arial" w:cs="Arial"/>
          <w:sz w:val="22"/>
          <w:szCs w:val="22"/>
          <w:lang w:val="en-US"/>
        </w:rPr>
        <w:t xml:space="preserve"> </w:t>
      </w:r>
      <w:r w:rsidR="00864E86">
        <w:rPr>
          <w:rFonts w:ascii="Arial" w:hAnsi="Arial" w:cs="Arial"/>
          <w:sz w:val="22"/>
          <w:szCs w:val="22"/>
          <w:lang w:val="en-US"/>
        </w:rPr>
        <w:t xml:space="preserve">clinical </w:t>
      </w:r>
      <w:r w:rsidR="00EB5BB5">
        <w:rPr>
          <w:rFonts w:ascii="Arial" w:hAnsi="Arial" w:cs="Arial"/>
          <w:sz w:val="22"/>
          <w:szCs w:val="22"/>
          <w:lang w:val="en-US"/>
        </w:rPr>
        <w:t>trials</w:t>
      </w:r>
      <w:r w:rsidRPr="008C7FCA">
        <w:rPr>
          <w:rFonts w:ascii="Arial" w:hAnsi="Arial" w:cs="Arial"/>
          <w:sz w:val="22"/>
          <w:szCs w:val="22"/>
          <w:lang w:val="en-US"/>
        </w:rPr>
        <w:t xml:space="preserve">. </w:t>
      </w:r>
      <w:r w:rsidR="001B38EA" w:rsidRPr="008C7FCA">
        <w:rPr>
          <w:rFonts w:ascii="Arial" w:hAnsi="Arial" w:cs="Arial"/>
          <w:sz w:val="22"/>
          <w:szCs w:val="22"/>
          <w:lang w:val="en-US"/>
        </w:rPr>
        <w:t>A</w:t>
      </w:r>
      <w:r w:rsidRPr="008C7FCA">
        <w:rPr>
          <w:rFonts w:ascii="Arial" w:hAnsi="Arial" w:cs="Arial"/>
          <w:sz w:val="22"/>
          <w:szCs w:val="22"/>
          <w:lang w:val="en-US"/>
        </w:rPr>
        <w:t xml:space="preserve"> high proportion of patients </w:t>
      </w:r>
      <w:r w:rsidR="00985B81" w:rsidRPr="008C7FCA">
        <w:rPr>
          <w:rFonts w:ascii="Arial" w:hAnsi="Arial" w:cs="Arial"/>
          <w:sz w:val="22"/>
          <w:szCs w:val="22"/>
          <w:lang w:val="en-US"/>
        </w:rPr>
        <w:t xml:space="preserve">with specific targeted mutations were able to </w:t>
      </w:r>
      <w:r w:rsidRPr="008C7FCA">
        <w:rPr>
          <w:rFonts w:ascii="Arial" w:hAnsi="Arial" w:cs="Arial"/>
          <w:sz w:val="22"/>
          <w:szCs w:val="22"/>
          <w:lang w:val="en-US"/>
        </w:rPr>
        <w:t xml:space="preserve">enroll </w:t>
      </w:r>
      <w:r w:rsidR="00985B81" w:rsidRPr="008C7FCA">
        <w:rPr>
          <w:rFonts w:ascii="Arial" w:hAnsi="Arial" w:cs="Arial"/>
          <w:sz w:val="22"/>
          <w:szCs w:val="22"/>
          <w:lang w:val="en-US"/>
        </w:rPr>
        <w:t>on the matching treatment cohort</w:t>
      </w:r>
      <w:r w:rsidR="001B38EA" w:rsidRPr="008C7FCA">
        <w:rPr>
          <w:rFonts w:ascii="Arial" w:hAnsi="Arial" w:cs="Arial"/>
          <w:sz w:val="22"/>
          <w:szCs w:val="22"/>
          <w:lang w:val="en-US"/>
        </w:rPr>
        <w:t xml:space="preserve">, with </w:t>
      </w:r>
      <w:r w:rsidR="009B2628">
        <w:rPr>
          <w:rFonts w:ascii="Arial" w:hAnsi="Arial" w:cs="Arial"/>
          <w:sz w:val="22"/>
          <w:szCs w:val="22"/>
          <w:lang w:val="en-US"/>
        </w:rPr>
        <w:t xml:space="preserve">clinically important </w:t>
      </w:r>
      <w:r w:rsidR="006B23A2">
        <w:rPr>
          <w:rFonts w:ascii="Arial" w:hAnsi="Arial" w:cs="Arial"/>
          <w:sz w:val="22"/>
          <w:szCs w:val="22"/>
          <w:lang w:val="en-US"/>
        </w:rPr>
        <w:t xml:space="preserve">activity </w:t>
      </w:r>
      <w:r w:rsidR="009B2628">
        <w:rPr>
          <w:rFonts w:ascii="Arial" w:hAnsi="Arial" w:cs="Arial"/>
          <w:sz w:val="22"/>
          <w:szCs w:val="22"/>
          <w:lang w:val="en-US"/>
        </w:rPr>
        <w:t xml:space="preserve">observed with </w:t>
      </w:r>
      <w:r w:rsidR="001B38EA" w:rsidRPr="008C7FCA">
        <w:rPr>
          <w:rFonts w:ascii="Arial" w:hAnsi="Arial" w:cs="Arial"/>
          <w:sz w:val="22"/>
          <w:szCs w:val="22"/>
          <w:lang w:val="en-US"/>
        </w:rPr>
        <w:t xml:space="preserve">therapies matched to </w:t>
      </w:r>
      <w:r w:rsidR="00EB5BB5" w:rsidRPr="008C7FCA">
        <w:rPr>
          <w:rFonts w:ascii="Arial" w:hAnsi="Arial" w:cs="Arial"/>
          <w:i/>
          <w:iCs/>
          <w:sz w:val="22"/>
          <w:szCs w:val="22"/>
          <w:lang w:val="en-US"/>
        </w:rPr>
        <w:t>AKT1</w:t>
      </w:r>
      <w:r w:rsidR="00EB5BB5">
        <w:rPr>
          <w:rFonts w:ascii="Arial" w:hAnsi="Arial" w:cs="Arial"/>
          <w:sz w:val="22"/>
          <w:szCs w:val="22"/>
          <w:lang w:val="en-US"/>
        </w:rPr>
        <w:t xml:space="preserve"> and </w:t>
      </w:r>
      <w:r w:rsidR="00122349">
        <w:rPr>
          <w:rFonts w:ascii="Arial" w:hAnsi="Arial" w:cs="Arial"/>
          <w:i/>
          <w:iCs/>
          <w:sz w:val="22"/>
          <w:szCs w:val="22"/>
          <w:lang w:val="en-US"/>
        </w:rPr>
        <w:t>ERBB2</w:t>
      </w:r>
      <w:r w:rsidR="00122349">
        <w:rPr>
          <w:rFonts w:ascii="Arial" w:hAnsi="Arial" w:cs="Arial"/>
          <w:sz w:val="22"/>
          <w:szCs w:val="22"/>
          <w:lang w:val="en-US"/>
        </w:rPr>
        <w:t xml:space="preserve"> </w:t>
      </w:r>
      <w:r w:rsidR="001B38EA" w:rsidRPr="008C7FCA">
        <w:rPr>
          <w:rFonts w:ascii="Arial" w:hAnsi="Arial" w:cs="Arial"/>
          <w:sz w:val="22"/>
          <w:szCs w:val="22"/>
          <w:lang w:val="en-US"/>
        </w:rPr>
        <w:t>mutations.</w:t>
      </w:r>
      <w:r w:rsidRPr="008C7FCA">
        <w:rPr>
          <w:rFonts w:ascii="Arial" w:hAnsi="Arial" w:cs="Arial"/>
          <w:sz w:val="22"/>
          <w:szCs w:val="22"/>
          <w:lang w:val="en-US"/>
        </w:rPr>
        <w:t xml:space="preserve"> With mutation matching therapy now approved in breast cancer, with alpelisib in </w:t>
      </w:r>
      <w:r w:rsidRPr="008C7FCA">
        <w:rPr>
          <w:rFonts w:ascii="Arial" w:hAnsi="Arial" w:cs="Arial"/>
          <w:i/>
          <w:sz w:val="22"/>
          <w:szCs w:val="22"/>
          <w:lang w:val="en-US"/>
        </w:rPr>
        <w:t>PIK3CA</w:t>
      </w:r>
      <w:r w:rsidRPr="008C7FCA">
        <w:rPr>
          <w:rFonts w:ascii="Arial" w:hAnsi="Arial" w:cs="Arial"/>
          <w:sz w:val="22"/>
          <w:szCs w:val="22"/>
          <w:lang w:val="en-US"/>
        </w:rPr>
        <w:t xml:space="preserve"> mutant </w:t>
      </w:r>
      <w:r w:rsidR="008E2AD6">
        <w:rPr>
          <w:rFonts w:ascii="Arial" w:hAnsi="Arial" w:cs="Arial"/>
          <w:sz w:val="22"/>
          <w:szCs w:val="22"/>
          <w:lang w:val="en-US"/>
        </w:rPr>
        <w:t>disease</w:t>
      </w:r>
      <w:r w:rsidRPr="008C7FCA">
        <w:rPr>
          <w:rFonts w:ascii="Arial" w:hAnsi="Arial" w:cs="Arial"/>
          <w:sz w:val="22"/>
          <w:szCs w:val="22"/>
          <w:lang w:val="en-US"/>
        </w:rPr>
        <w:t>, ctDNA testing can be seen as a standard</w:t>
      </w:r>
      <w:r w:rsidR="006B23A2">
        <w:rPr>
          <w:rFonts w:ascii="Arial" w:hAnsi="Arial" w:cs="Arial"/>
          <w:sz w:val="22"/>
          <w:szCs w:val="22"/>
          <w:lang w:val="en-US"/>
        </w:rPr>
        <w:t>-</w:t>
      </w:r>
      <w:r w:rsidRPr="008C7FCA">
        <w:rPr>
          <w:rFonts w:ascii="Arial" w:hAnsi="Arial" w:cs="Arial"/>
          <w:sz w:val="22"/>
          <w:szCs w:val="22"/>
          <w:lang w:val="en-US"/>
        </w:rPr>
        <w:t>of</w:t>
      </w:r>
      <w:r w:rsidR="006B23A2">
        <w:rPr>
          <w:rFonts w:ascii="Arial" w:hAnsi="Arial" w:cs="Arial"/>
          <w:sz w:val="22"/>
          <w:szCs w:val="22"/>
          <w:lang w:val="en-US"/>
        </w:rPr>
        <w:t>-</w:t>
      </w:r>
      <w:r w:rsidRPr="008C7FCA">
        <w:rPr>
          <w:rFonts w:ascii="Arial" w:hAnsi="Arial" w:cs="Arial"/>
          <w:sz w:val="22"/>
          <w:szCs w:val="22"/>
          <w:lang w:val="en-US"/>
        </w:rPr>
        <w:t xml:space="preserve">care </w:t>
      </w:r>
      <w:r w:rsidR="00BD08D4">
        <w:rPr>
          <w:rFonts w:ascii="Arial" w:hAnsi="Arial" w:cs="Arial"/>
          <w:sz w:val="22"/>
          <w:szCs w:val="22"/>
          <w:lang w:val="en-US"/>
        </w:rPr>
        <w:t>testing</w:t>
      </w:r>
      <w:r w:rsidR="00BD08D4" w:rsidRPr="008C7FCA">
        <w:rPr>
          <w:rFonts w:ascii="Arial" w:hAnsi="Arial" w:cs="Arial"/>
          <w:sz w:val="22"/>
          <w:szCs w:val="22"/>
          <w:lang w:val="en-US"/>
        </w:rPr>
        <w:t xml:space="preserve"> </w:t>
      </w:r>
      <w:r w:rsidRPr="008C7FCA">
        <w:rPr>
          <w:rFonts w:ascii="Arial" w:hAnsi="Arial" w:cs="Arial"/>
          <w:sz w:val="22"/>
          <w:szCs w:val="22"/>
          <w:lang w:val="en-US"/>
        </w:rPr>
        <w:t xml:space="preserve">for </w:t>
      </w:r>
      <w:r w:rsidR="00380106" w:rsidRPr="008C7FCA">
        <w:rPr>
          <w:rFonts w:ascii="Arial" w:hAnsi="Arial" w:cs="Arial"/>
          <w:sz w:val="22"/>
          <w:szCs w:val="22"/>
          <w:lang w:val="en-US"/>
        </w:rPr>
        <w:t xml:space="preserve">both </w:t>
      </w:r>
      <w:r w:rsidRPr="008C7FCA">
        <w:rPr>
          <w:rFonts w:ascii="Arial" w:hAnsi="Arial" w:cs="Arial"/>
          <w:sz w:val="22"/>
          <w:szCs w:val="22"/>
          <w:lang w:val="en-US"/>
        </w:rPr>
        <w:t>common and rare targetable genetic events.</w:t>
      </w:r>
      <w:r w:rsidR="005B12CB" w:rsidRPr="008C7FCA">
        <w:rPr>
          <w:rFonts w:ascii="Arial" w:hAnsi="Arial" w:cs="Arial"/>
          <w:sz w:val="22"/>
          <w:szCs w:val="22"/>
          <w:lang w:val="en-US"/>
        </w:rPr>
        <w:t xml:space="preserve"> </w:t>
      </w:r>
    </w:p>
    <w:p w14:paraId="4EBB2FCE" w14:textId="4D1BC39E" w:rsidR="00CF2216" w:rsidRDefault="00CF2216" w:rsidP="004B43C4">
      <w:pPr>
        <w:jc w:val="both"/>
        <w:rPr>
          <w:rFonts w:ascii="Arial" w:hAnsi="Arial" w:cs="Arial"/>
          <w:sz w:val="22"/>
          <w:szCs w:val="22"/>
          <w:lang w:val="en-US"/>
        </w:rPr>
      </w:pPr>
    </w:p>
    <w:p w14:paraId="188DE7EF" w14:textId="045F577B" w:rsidR="009F1AAD" w:rsidRDefault="009F1AAD" w:rsidP="004B43C4">
      <w:pPr>
        <w:jc w:val="both"/>
        <w:rPr>
          <w:rFonts w:ascii="Arial" w:hAnsi="Arial" w:cs="Arial"/>
          <w:b/>
          <w:sz w:val="22"/>
          <w:szCs w:val="22"/>
          <w:lang w:val="en-US"/>
        </w:rPr>
      </w:pPr>
      <w:r w:rsidRPr="009F1AAD">
        <w:rPr>
          <w:rFonts w:ascii="Arial" w:hAnsi="Arial" w:cs="Arial"/>
          <w:b/>
          <w:sz w:val="22"/>
          <w:szCs w:val="22"/>
          <w:lang w:val="en-US"/>
        </w:rPr>
        <w:t>Contributors</w:t>
      </w:r>
    </w:p>
    <w:p w14:paraId="438B2BCA" w14:textId="22A11D48" w:rsidR="009F1AAD" w:rsidRPr="00D93F40" w:rsidRDefault="0041659F" w:rsidP="004B43C4">
      <w:pPr>
        <w:jc w:val="both"/>
        <w:rPr>
          <w:rFonts w:ascii="Arial" w:hAnsi="Arial" w:cs="Arial"/>
          <w:sz w:val="22"/>
          <w:szCs w:val="22"/>
        </w:rPr>
      </w:pPr>
      <w:r w:rsidRPr="00C6557D">
        <w:rPr>
          <w:rFonts w:ascii="Arial" w:hAnsi="Arial" w:cs="Arial"/>
          <w:sz w:val="22"/>
          <w:szCs w:val="22"/>
        </w:rPr>
        <w:t>N</w:t>
      </w:r>
      <w:r w:rsidR="008276D1" w:rsidRPr="00C6557D">
        <w:rPr>
          <w:rFonts w:ascii="Arial" w:hAnsi="Arial" w:cs="Arial"/>
          <w:sz w:val="22"/>
          <w:szCs w:val="22"/>
        </w:rPr>
        <w:t>C</w:t>
      </w:r>
      <w:r w:rsidRPr="00C6557D">
        <w:rPr>
          <w:rFonts w:ascii="Arial" w:hAnsi="Arial" w:cs="Arial"/>
          <w:sz w:val="22"/>
          <w:szCs w:val="22"/>
        </w:rPr>
        <w:t>T is the Chief Investigator, and AR is the Coordinating Investigator for the trial. JMB is the trials methodology lead within the Institute of Cancer Research - Clinical Trials and Statistics Unit (ICR-CTSU) and provided oversight and guidance for trial management</w:t>
      </w:r>
      <w:r w:rsidR="00072702">
        <w:rPr>
          <w:rFonts w:ascii="Arial" w:hAnsi="Arial" w:cs="Arial"/>
          <w:sz w:val="22"/>
          <w:szCs w:val="22"/>
        </w:rPr>
        <w:t>, statistics and data interpretation</w:t>
      </w:r>
      <w:r w:rsidRPr="00C6557D">
        <w:rPr>
          <w:rFonts w:ascii="Arial" w:hAnsi="Arial" w:cs="Arial"/>
          <w:sz w:val="22"/>
          <w:szCs w:val="22"/>
        </w:rPr>
        <w:t xml:space="preserve"> throughout the trial. N</w:t>
      </w:r>
      <w:r w:rsidR="00FE3430" w:rsidRPr="00C6557D">
        <w:rPr>
          <w:rFonts w:ascii="Arial" w:hAnsi="Arial" w:cs="Arial"/>
          <w:sz w:val="22"/>
          <w:szCs w:val="22"/>
        </w:rPr>
        <w:t>C</w:t>
      </w:r>
      <w:r w:rsidRPr="00C6557D">
        <w:rPr>
          <w:rFonts w:ascii="Arial" w:hAnsi="Arial" w:cs="Arial"/>
          <w:sz w:val="22"/>
          <w:szCs w:val="22"/>
        </w:rPr>
        <w:t>T,</w:t>
      </w:r>
      <w:r w:rsidR="009550C3" w:rsidRPr="00C6557D">
        <w:rPr>
          <w:rFonts w:ascii="Arial" w:hAnsi="Arial" w:cs="Arial"/>
          <w:sz w:val="22"/>
          <w:szCs w:val="22"/>
        </w:rPr>
        <w:t xml:space="preserve"> AR and JMB </w:t>
      </w:r>
      <w:r w:rsidRPr="00C6557D">
        <w:rPr>
          <w:rFonts w:ascii="Arial" w:hAnsi="Arial" w:cs="Arial"/>
          <w:sz w:val="22"/>
          <w:szCs w:val="22"/>
        </w:rPr>
        <w:t>were responsible for the study</w:t>
      </w:r>
      <w:r w:rsidR="009550C3" w:rsidRPr="00C6557D">
        <w:rPr>
          <w:rFonts w:ascii="Arial" w:hAnsi="Arial" w:cs="Arial"/>
          <w:sz w:val="22"/>
          <w:szCs w:val="22"/>
        </w:rPr>
        <w:t xml:space="preserve"> design and acquired the funding for the trial. </w:t>
      </w:r>
      <w:r w:rsidR="00FE3430" w:rsidRPr="00C6557D">
        <w:rPr>
          <w:rFonts w:ascii="Arial" w:hAnsi="Arial" w:cs="Arial"/>
          <w:sz w:val="22"/>
          <w:szCs w:val="22"/>
        </w:rPr>
        <w:t>AMW, IRM, RDB, RR and A</w:t>
      </w:r>
      <w:r w:rsidR="008276D1" w:rsidRPr="00C6557D">
        <w:rPr>
          <w:rFonts w:ascii="Arial" w:hAnsi="Arial" w:cs="Arial"/>
          <w:sz w:val="22"/>
          <w:szCs w:val="22"/>
        </w:rPr>
        <w:t xml:space="preserve">R are all Cohort Clinical Leads </w:t>
      </w:r>
      <w:r w:rsidR="00FE3430" w:rsidRPr="00C6557D">
        <w:rPr>
          <w:rFonts w:ascii="Arial" w:hAnsi="Arial" w:cs="Arial"/>
          <w:sz w:val="22"/>
          <w:szCs w:val="22"/>
        </w:rPr>
        <w:t xml:space="preserve">responsible for the clinical oversight and safety review and evaluation </w:t>
      </w:r>
      <w:r w:rsidR="00FE0D92">
        <w:rPr>
          <w:rFonts w:ascii="Arial" w:hAnsi="Arial" w:cs="Arial"/>
          <w:sz w:val="22"/>
          <w:szCs w:val="22"/>
        </w:rPr>
        <w:t>for</w:t>
      </w:r>
      <w:r w:rsidR="00FE3430" w:rsidRPr="00C6557D">
        <w:rPr>
          <w:rFonts w:ascii="Arial" w:hAnsi="Arial" w:cs="Arial"/>
          <w:sz w:val="22"/>
          <w:szCs w:val="22"/>
        </w:rPr>
        <w:t xml:space="preserve"> a defined treatment cohort within the trial</w:t>
      </w:r>
      <w:r w:rsidR="00684DE9" w:rsidRPr="00C6557D">
        <w:rPr>
          <w:rFonts w:ascii="Arial" w:hAnsi="Arial" w:cs="Arial"/>
          <w:sz w:val="22"/>
          <w:szCs w:val="22"/>
        </w:rPr>
        <w:t>.</w:t>
      </w:r>
      <w:r w:rsidR="008276D1" w:rsidRPr="00C6557D">
        <w:rPr>
          <w:rFonts w:ascii="Arial" w:hAnsi="Arial" w:cs="Arial"/>
          <w:sz w:val="22"/>
          <w:szCs w:val="22"/>
        </w:rPr>
        <w:t xml:space="preserve"> </w:t>
      </w:r>
      <w:r w:rsidR="00FE0D92" w:rsidRPr="00FE0D92">
        <w:rPr>
          <w:rFonts w:ascii="Arial" w:hAnsi="Arial" w:cs="Arial"/>
          <w:sz w:val="22"/>
          <w:szCs w:val="22"/>
        </w:rPr>
        <w:t>NT and AR</w:t>
      </w:r>
      <w:r w:rsidRPr="00FE0D92">
        <w:rPr>
          <w:rFonts w:ascii="Arial" w:hAnsi="Arial" w:cs="Arial"/>
          <w:sz w:val="22"/>
          <w:szCs w:val="22"/>
        </w:rPr>
        <w:t xml:space="preserve"> wrote the fi</w:t>
      </w:r>
      <w:r w:rsidR="009550C3" w:rsidRPr="00FE0D92">
        <w:rPr>
          <w:rFonts w:ascii="Arial" w:hAnsi="Arial" w:cs="Arial"/>
          <w:sz w:val="22"/>
          <w:szCs w:val="22"/>
        </w:rPr>
        <w:t>rst draft of the manuscript.</w:t>
      </w:r>
      <w:r w:rsidR="009550C3" w:rsidRPr="00C6557D">
        <w:rPr>
          <w:rFonts w:ascii="Arial" w:hAnsi="Arial" w:cs="Arial"/>
          <w:sz w:val="22"/>
          <w:szCs w:val="22"/>
        </w:rPr>
        <w:t xml:space="preserve"> L</w:t>
      </w:r>
      <w:r w:rsidR="008276D1" w:rsidRPr="00C6557D">
        <w:rPr>
          <w:rFonts w:ascii="Arial" w:hAnsi="Arial" w:cs="Arial"/>
          <w:sz w:val="22"/>
          <w:szCs w:val="22"/>
        </w:rPr>
        <w:t>S</w:t>
      </w:r>
      <w:r w:rsidR="009550C3" w:rsidRPr="00C6557D">
        <w:rPr>
          <w:rFonts w:ascii="Arial" w:hAnsi="Arial" w:cs="Arial"/>
          <w:sz w:val="22"/>
          <w:szCs w:val="22"/>
        </w:rPr>
        <w:t>K</w:t>
      </w:r>
      <w:r w:rsidRPr="00C6557D">
        <w:rPr>
          <w:rFonts w:ascii="Arial" w:hAnsi="Arial" w:cs="Arial"/>
          <w:sz w:val="22"/>
          <w:szCs w:val="22"/>
        </w:rPr>
        <w:t xml:space="preserve"> </w:t>
      </w:r>
      <w:r w:rsidR="00072702">
        <w:rPr>
          <w:rFonts w:ascii="Arial" w:hAnsi="Arial" w:cs="Arial"/>
          <w:sz w:val="22"/>
          <w:szCs w:val="22"/>
        </w:rPr>
        <w:t>undertook</w:t>
      </w:r>
      <w:r w:rsidRPr="00C6557D">
        <w:rPr>
          <w:rFonts w:ascii="Arial" w:hAnsi="Arial" w:cs="Arial"/>
          <w:sz w:val="22"/>
          <w:szCs w:val="22"/>
        </w:rPr>
        <w:t xml:space="preserve"> statistical analyses and contributed to data interpretation. </w:t>
      </w:r>
      <w:r w:rsidR="00693BAA">
        <w:rPr>
          <w:rFonts w:ascii="Arial" w:hAnsi="Arial" w:cs="Arial"/>
          <w:sz w:val="22"/>
          <w:szCs w:val="22"/>
        </w:rPr>
        <w:t xml:space="preserve">AMW, IRM, RDB, RR, </w:t>
      </w:r>
      <w:r w:rsidR="005F5F20" w:rsidRPr="00C6557D">
        <w:rPr>
          <w:rFonts w:ascii="Arial" w:hAnsi="Arial" w:cs="Arial"/>
          <w:sz w:val="22"/>
          <w:szCs w:val="22"/>
        </w:rPr>
        <w:t>PS, OO, JPB, MT,</w:t>
      </w:r>
      <w:r w:rsidR="00D212BE" w:rsidRPr="00C6557D">
        <w:rPr>
          <w:rFonts w:ascii="Arial" w:hAnsi="Arial" w:cs="Arial"/>
          <w:sz w:val="22"/>
          <w:szCs w:val="22"/>
        </w:rPr>
        <w:t xml:space="preserve"> MCW, DR, DC, AS, </w:t>
      </w:r>
      <w:r w:rsidR="00693BAA">
        <w:rPr>
          <w:rFonts w:ascii="Arial" w:hAnsi="Arial" w:cs="Arial"/>
          <w:sz w:val="22"/>
          <w:szCs w:val="22"/>
        </w:rPr>
        <w:t xml:space="preserve">MH and </w:t>
      </w:r>
      <w:r w:rsidR="00D212BE" w:rsidRPr="00C6557D">
        <w:rPr>
          <w:rFonts w:ascii="Arial" w:hAnsi="Arial" w:cs="Arial"/>
          <w:sz w:val="22"/>
          <w:szCs w:val="22"/>
        </w:rPr>
        <w:t xml:space="preserve">KR </w:t>
      </w:r>
      <w:r w:rsidR="009550C3" w:rsidRPr="00C6557D">
        <w:rPr>
          <w:rFonts w:ascii="Arial" w:hAnsi="Arial" w:cs="Arial"/>
          <w:sz w:val="22"/>
          <w:szCs w:val="22"/>
        </w:rPr>
        <w:t>are members of the plasmaMATCH</w:t>
      </w:r>
      <w:r w:rsidRPr="00C6557D">
        <w:rPr>
          <w:rFonts w:ascii="Arial" w:hAnsi="Arial" w:cs="Arial"/>
          <w:sz w:val="22"/>
          <w:szCs w:val="22"/>
        </w:rPr>
        <w:t xml:space="preserve"> Trial Management Group (TMG), which contributed to study design, was responsible for oversight throughout the trial and contributed to data interpretation</w:t>
      </w:r>
      <w:r w:rsidR="009550C3" w:rsidRPr="00C6557D">
        <w:rPr>
          <w:rFonts w:ascii="Arial" w:hAnsi="Arial" w:cs="Arial"/>
          <w:sz w:val="22"/>
          <w:szCs w:val="22"/>
        </w:rPr>
        <w:t xml:space="preserve"> and manuscript preparation. </w:t>
      </w:r>
      <w:r w:rsidR="005F5F20" w:rsidRPr="00C6557D">
        <w:rPr>
          <w:rFonts w:ascii="Arial" w:hAnsi="Arial" w:cs="Arial"/>
          <w:sz w:val="22"/>
          <w:szCs w:val="22"/>
          <w:lang w:val="en-US"/>
        </w:rPr>
        <w:t>PS, OO, JPB, MT, J</w:t>
      </w:r>
      <w:r w:rsidR="00886067" w:rsidRPr="00C6557D">
        <w:rPr>
          <w:rFonts w:ascii="Arial" w:hAnsi="Arial" w:cs="Arial"/>
          <w:sz w:val="22"/>
          <w:szCs w:val="22"/>
          <w:lang w:val="en-US"/>
        </w:rPr>
        <w:t>A</w:t>
      </w:r>
      <w:r w:rsidR="005F5F20" w:rsidRPr="00C6557D">
        <w:rPr>
          <w:rFonts w:ascii="Arial" w:hAnsi="Arial" w:cs="Arial"/>
          <w:sz w:val="22"/>
          <w:szCs w:val="22"/>
          <w:lang w:val="en-US"/>
        </w:rPr>
        <w:t>, MCW</w:t>
      </w:r>
      <w:r w:rsidR="00851C77">
        <w:rPr>
          <w:rFonts w:ascii="Arial" w:hAnsi="Arial" w:cs="Arial"/>
          <w:sz w:val="22"/>
          <w:szCs w:val="22"/>
          <w:lang w:val="en-US"/>
        </w:rPr>
        <w:t xml:space="preserve"> </w:t>
      </w:r>
      <w:r w:rsidR="005F5F20" w:rsidRPr="00C6557D">
        <w:rPr>
          <w:rFonts w:ascii="Arial" w:hAnsi="Arial" w:cs="Arial"/>
          <w:sz w:val="22"/>
          <w:szCs w:val="22"/>
          <w:lang w:val="en-US"/>
        </w:rPr>
        <w:t>and DC</w:t>
      </w:r>
      <w:r w:rsidR="00886067" w:rsidRPr="00C6557D">
        <w:rPr>
          <w:rFonts w:ascii="Arial" w:hAnsi="Arial" w:cs="Arial"/>
          <w:sz w:val="22"/>
          <w:szCs w:val="22"/>
          <w:lang w:val="en-US"/>
        </w:rPr>
        <w:t xml:space="preserve"> were involved in recruitment and treatment of participants and contributed to data collection and manuscript preparation.</w:t>
      </w:r>
      <w:r w:rsidR="00830022">
        <w:rPr>
          <w:rFonts w:ascii="Arial" w:hAnsi="Arial" w:cs="Arial"/>
          <w:sz w:val="22"/>
          <w:szCs w:val="22"/>
        </w:rPr>
        <w:t xml:space="preserve"> </w:t>
      </w:r>
      <w:r w:rsidR="00C6557D" w:rsidRPr="00C6557D">
        <w:rPr>
          <w:rFonts w:ascii="Arial" w:hAnsi="Arial" w:cs="Arial"/>
          <w:sz w:val="22"/>
          <w:szCs w:val="22"/>
        </w:rPr>
        <w:t xml:space="preserve">HB and MH are responsible for the </w:t>
      </w:r>
      <w:r w:rsidR="00FE0D92">
        <w:rPr>
          <w:rFonts w:ascii="Arial" w:hAnsi="Arial" w:cs="Arial"/>
          <w:sz w:val="22"/>
          <w:szCs w:val="22"/>
        </w:rPr>
        <w:t xml:space="preserve">digital PCR </w:t>
      </w:r>
      <w:r w:rsidR="00FE0D92" w:rsidRPr="00FE0D92">
        <w:rPr>
          <w:rFonts w:ascii="Arial" w:hAnsi="Arial" w:cs="Arial"/>
          <w:sz w:val="22"/>
          <w:szCs w:val="22"/>
        </w:rPr>
        <w:t>ctDNA testing</w:t>
      </w:r>
      <w:r w:rsidR="00C6557D" w:rsidRPr="00FE0D92">
        <w:rPr>
          <w:rFonts w:ascii="Arial" w:hAnsi="Arial" w:cs="Arial"/>
          <w:sz w:val="22"/>
          <w:szCs w:val="22"/>
        </w:rPr>
        <w:t xml:space="preserve"> within the trial.</w:t>
      </w:r>
      <w:r w:rsidR="00FE0D92">
        <w:rPr>
          <w:rFonts w:ascii="Arial" w:hAnsi="Arial" w:cs="Arial"/>
          <w:sz w:val="22"/>
          <w:szCs w:val="22"/>
          <w:lang w:val="en-US"/>
        </w:rPr>
        <w:t xml:space="preserve"> </w:t>
      </w:r>
      <w:r w:rsidR="00D212BE" w:rsidRPr="00FE0D92">
        <w:rPr>
          <w:rFonts w:ascii="Arial" w:hAnsi="Arial" w:cs="Arial"/>
          <w:sz w:val="22"/>
          <w:szCs w:val="22"/>
        </w:rPr>
        <w:t xml:space="preserve">CS is the trial operational lead </w:t>
      </w:r>
      <w:r w:rsidR="005F5F20" w:rsidRPr="00FE0D92">
        <w:rPr>
          <w:rFonts w:ascii="Arial" w:hAnsi="Arial" w:cs="Arial"/>
          <w:sz w:val="22"/>
          <w:szCs w:val="22"/>
        </w:rPr>
        <w:t xml:space="preserve">responsible for the </w:t>
      </w:r>
      <w:r w:rsidR="005F5F20" w:rsidRPr="00FE0D92">
        <w:rPr>
          <w:rFonts w:ascii="Arial" w:hAnsi="Arial" w:cs="Arial"/>
          <w:sz w:val="22"/>
          <w:szCs w:val="22"/>
          <w:lang w:val="en-US"/>
        </w:rPr>
        <w:t>central management of the trial at ICR-CTSU.</w:t>
      </w:r>
      <w:r w:rsidR="00FE0D92">
        <w:rPr>
          <w:rFonts w:ascii="Arial" w:hAnsi="Arial" w:cs="Arial"/>
          <w:sz w:val="22"/>
          <w:szCs w:val="22"/>
          <w:lang w:val="en-US"/>
        </w:rPr>
        <w:t xml:space="preserve"> </w:t>
      </w:r>
      <w:r w:rsidR="005F5F20" w:rsidRPr="00FE0D92">
        <w:rPr>
          <w:rFonts w:ascii="Arial" w:hAnsi="Arial" w:cs="Arial"/>
          <w:sz w:val="22"/>
          <w:szCs w:val="22"/>
        </w:rPr>
        <w:t xml:space="preserve">LM, </w:t>
      </w:r>
      <w:r w:rsidR="009550C3" w:rsidRPr="00FE0D92">
        <w:rPr>
          <w:rFonts w:ascii="Arial" w:hAnsi="Arial" w:cs="Arial"/>
          <w:sz w:val="22"/>
          <w:szCs w:val="22"/>
        </w:rPr>
        <w:t>SK, KW and SM</w:t>
      </w:r>
      <w:r w:rsidRPr="00FE0D92">
        <w:rPr>
          <w:rFonts w:ascii="Arial" w:hAnsi="Arial" w:cs="Arial"/>
          <w:sz w:val="22"/>
          <w:szCs w:val="22"/>
        </w:rPr>
        <w:t xml:space="preserve"> managed the study and data collection at ICR-CTSU. </w:t>
      </w:r>
      <w:r w:rsidR="00D212BE" w:rsidRPr="00FE0D92">
        <w:rPr>
          <w:rFonts w:ascii="Arial" w:hAnsi="Arial" w:cs="Arial"/>
          <w:sz w:val="22"/>
          <w:szCs w:val="22"/>
        </w:rPr>
        <w:t xml:space="preserve">KR is a patient advocate member of the TMG and provided guidance for </w:t>
      </w:r>
      <w:r w:rsidR="005F5F20" w:rsidRPr="00FE0D92">
        <w:rPr>
          <w:rFonts w:ascii="Arial" w:hAnsi="Arial" w:cs="Arial"/>
          <w:sz w:val="22"/>
          <w:szCs w:val="22"/>
        </w:rPr>
        <w:t>trial</w:t>
      </w:r>
      <w:r w:rsidR="00D212BE" w:rsidRPr="00FE0D92">
        <w:rPr>
          <w:rFonts w:ascii="Arial" w:hAnsi="Arial" w:cs="Arial"/>
          <w:sz w:val="22"/>
          <w:szCs w:val="22"/>
        </w:rPr>
        <w:t xml:space="preserve"> documentation and reports.</w:t>
      </w:r>
      <w:r w:rsidRPr="00FE0D92">
        <w:rPr>
          <w:rFonts w:ascii="Arial" w:hAnsi="Arial" w:cs="Arial"/>
          <w:sz w:val="22"/>
          <w:szCs w:val="22"/>
        </w:rPr>
        <w:t xml:space="preserve"> </w:t>
      </w:r>
      <w:r w:rsidR="00FE0D92">
        <w:rPr>
          <w:rFonts w:ascii="Arial" w:hAnsi="Arial" w:cs="Arial"/>
          <w:sz w:val="22"/>
          <w:szCs w:val="22"/>
        </w:rPr>
        <w:t>BK, HG and RC analysed ctDNA results and conducted tissue sequencing.</w:t>
      </w:r>
      <w:r w:rsidR="00FE0D92">
        <w:rPr>
          <w:rFonts w:ascii="Arial" w:hAnsi="Arial" w:cs="Arial"/>
          <w:sz w:val="22"/>
          <w:szCs w:val="22"/>
          <w:lang w:val="en-US"/>
        </w:rPr>
        <w:t xml:space="preserve"> </w:t>
      </w:r>
      <w:r w:rsidRPr="00C6557D">
        <w:rPr>
          <w:rFonts w:ascii="Arial" w:hAnsi="Arial" w:cs="Arial"/>
          <w:sz w:val="22"/>
          <w:szCs w:val="22"/>
        </w:rPr>
        <w:t>All authors reviewed and approved the manuscript.</w:t>
      </w:r>
      <w:r w:rsidR="00D212BE" w:rsidRPr="00C6557D">
        <w:rPr>
          <w:rFonts w:ascii="Arial" w:hAnsi="Arial" w:cs="Arial"/>
          <w:sz w:val="22"/>
          <w:szCs w:val="22"/>
        </w:rPr>
        <w:t xml:space="preserve"> </w:t>
      </w:r>
    </w:p>
    <w:p w14:paraId="0D09D3AB" w14:textId="77777777" w:rsidR="00830022" w:rsidRPr="008C7FCA" w:rsidRDefault="00830022" w:rsidP="004B43C4">
      <w:pPr>
        <w:jc w:val="both"/>
        <w:rPr>
          <w:rFonts w:ascii="Arial" w:hAnsi="Arial" w:cs="Arial"/>
          <w:sz w:val="22"/>
          <w:szCs w:val="22"/>
          <w:lang w:val="en-US"/>
        </w:rPr>
      </w:pPr>
    </w:p>
    <w:p w14:paraId="116E6300" w14:textId="4386E4FA" w:rsidR="00CC0CFD" w:rsidRPr="008C7FCA" w:rsidRDefault="00CC0CFD" w:rsidP="004B43C4">
      <w:pPr>
        <w:jc w:val="both"/>
        <w:rPr>
          <w:rFonts w:ascii="Arial" w:hAnsi="Arial" w:cs="Arial"/>
          <w:b/>
          <w:sz w:val="22"/>
          <w:szCs w:val="22"/>
          <w:lang w:val="en-US"/>
        </w:rPr>
      </w:pPr>
      <w:r w:rsidRPr="008C7FCA">
        <w:rPr>
          <w:rFonts w:ascii="Arial" w:hAnsi="Arial" w:cs="Arial"/>
          <w:b/>
          <w:sz w:val="22"/>
          <w:szCs w:val="22"/>
          <w:lang w:val="en-US"/>
        </w:rPr>
        <w:t>Acknowledgements</w:t>
      </w:r>
    </w:p>
    <w:p w14:paraId="7BD89098" w14:textId="5F9D0F88" w:rsidR="00C8294F" w:rsidRPr="008C7FCA" w:rsidRDefault="00CF3D64" w:rsidP="00C8294F">
      <w:pPr>
        <w:jc w:val="both"/>
        <w:rPr>
          <w:rFonts w:ascii="Arial" w:hAnsi="Arial" w:cs="Arial"/>
          <w:sz w:val="22"/>
          <w:szCs w:val="22"/>
          <w:lang w:val="en-US"/>
        </w:rPr>
      </w:pPr>
      <w:r w:rsidRPr="008C7FCA">
        <w:rPr>
          <w:rFonts w:ascii="Arial" w:hAnsi="Arial" w:cs="Arial"/>
          <w:sz w:val="22"/>
          <w:szCs w:val="22"/>
          <w:lang w:val="en-US"/>
        </w:rPr>
        <w:t>plasmaMATCH is funded by Cancer Research UK (CRUK/15/010, C30746/A19505) with additional support from AstraZeneca</w:t>
      </w:r>
      <w:r>
        <w:rPr>
          <w:rFonts w:ascii="Arial" w:hAnsi="Arial" w:cs="Arial"/>
          <w:sz w:val="22"/>
          <w:szCs w:val="22"/>
          <w:lang w:val="en-US"/>
        </w:rPr>
        <w:t xml:space="preserve">, </w:t>
      </w:r>
      <w:r w:rsidRPr="008C7FCA">
        <w:rPr>
          <w:rFonts w:ascii="Arial" w:hAnsi="Arial" w:cs="Arial"/>
          <w:sz w:val="22"/>
          <w:szCs w:val="22"/>
          <w:lang w:val="en-US"/>
        </w:rPr>
        <w:t>Puma Biotechnology</w:t>
      </w:r>
      <w:r>
        <w:rPr>
          <w:rFonts w:ascii="Arial" w:hAnsi="Arial" w:cs="Arial"/>
          <w:sz w:val="22"/>
          <w:szCs w:val="22"/>
          <w:lang w:val="en-US"/>
        </w:rPr>
        <w:t>, Guardant Health and BioRad.</w:t>
      </w:r>
      <w:r w:rsidRPr="008C7FCA">
        <w:rPr>
          <w:rFonts w:ascii="Arial" w:hAnsi="Arial" w:cs="Arial"/>
          <w:sz w:val="22"/>
          <w:szCs w:val="22"/>
          <w:lang w:val="en-US"/>
        </w:rPr>
        <w:t xml:space="preserve"> </w:t>
      </w:r>
      <w:r w:rsidR="00C8294F" w:rsidRPr="008C7FCA">
        <w:rPr>
          <w:rFonts w:ascii="Arial" w:hAnsi="Arial" w:cs="Arial"/>
          <w:sz w:val="22"/>
          <w:szCs w:val="22"/>
          <w:lang w:val="en-US"/>
        </w:rPr>
        <w:t xml:space="preserve">Grateful thanks to all </w:t>
      </w:r>
      <w:r w:rsidR="00997891" w:rsidRPr="008C7FCA">
        <w:rPr>
          <w:rFonts w:ascii="Arial" w:hAnsi="Arial" w:cs="Arial"/>
          <w:sz w:val="22"/>
          <w:szCs w:val="22"/>
          <w:lang w:val="en-US"/>
        </w:rPr>
        <w:t xml:space="preserve">trial </w:t>
      </w:r>
      <w:r w:rsidR="00C8294F" w:rsidRPr="008C7FCA">
        <w:rPr>
          <w:rFonts w:ascii="Arial" w:hAnsi="Arial" w:cs="Arial"/>
          <w:sz w:val="22"/>
          <w:szCs w:val="22"/>
          <w:lang w:val="en-US"/>
        </w:rPr>
        <w:t>participants</w:t>
      </w:r>
      <w:r w:rsidR="00997891" w:rsidRPr="008C7FCA">
        <w:rPr>
          <w:rFonts w:ascii="Arial" w:hAnsi="Arial" w:cs="Arial"/>
          <w:sz w:val="22"/>
          <w:szCs w:val="22"/>
          <w:lang w:val="en-US"/>
        </w:rPr>
        <w:t xml:space="preserve"> and their families. Thanks also to </w:t>
      </w:r>
      <w:r w:rsidR="00C8294F" w:rsidRPr="008C7FCA">
        <w:rPr>
          <w:rFonts w:ascii="Arial" w:hAnsi="Arial" w:cs="Arial"/>
          <w:sz w:val="22"/>
          <w:szCs w:val="22"/>
          <w:lang w:val="en-US"/>
        </w:rPr>
        <w:t xml:space="preserve">staff at participating </w:t>
      </w:r>
      <w:r w:rsidR="000228CB">
        <w:rPr>
          <w:rFonts w:ascii="Arial" w:hAnsi="Arial" w:cs="Arial"/>
          <w:sz w:val="22"/>
          <w:szCs w:val="22"/>
          <w:lang w:val="en-US"/>
        </w:rPr>
        <w:t>centre</w:t>
      </w:r>
      <w:r w:rsidR="00C8294F" w:rsidRPr="008C7FCA">
        <w:rPr>
          <w:rFonts w:ascii="Arial" w:hAnsi="Arial" w:cs="Arial"/>
          <w:sz w:val="22"/>
          <w:szCs w:val="22"/>
          <w:lang w:val="en-US"/>
        </w:rPr>
        <w:t>s</w:t>
      </w:r>
      <w:r w:rsidR="00400797">
        <w:rPr>
          <w:rFonts w:ascii="Arial" w:hAnsi="Arial" w:cs="Arial"/>
          <w:sz w:val="22"/>
          <w:szCs w:val="22"/>
          <w:lang w:val="en-US"/>
        </w:rPr>
        <w:t>, the ICR-CTSU trial team</w:t>
      </w:r>
      <w:r w:rsidR="00F25469">
        <w:rPr>
          <w:rFonts w:ascii="Arial" w:hAnsi="Arial" w:cs="Arial"/>
          <w:sz w:val="22"/>
          <w:szCs w:val="22"/>
          <w:lang w:val="en-US"/>
        </w:rPr>
        <w:t>, the</w:t>
      </w:r>
      <w:r w:rsidR="00DD438C">
        <w:rPr>
          <w:rFonts w:ascii="Arial" w:hAnsi="Arial" w:cs="Arial"/>
          <w:sz w:val="22"/>
          <w:szCs w:val="22"/>
          <w:lang w:val="en-US"/>
        </w:rPr>
        <w:t xml:space="preserve"> </w:t>
      </w:r>
      <w:r w:rsidR="00400797">
        <w:rPr>
          <w:rFonts w:ascii="Arial" w:hAnsi="Arial" w:cs="Arial"/>
          <w:sz w:val="22"/>
          <w:szCs w:val="22"/>
          <w:lang w:val="en-US"/>
        </w:rPr>
        <w:t>staff at central laboratories</w:t>
      </w:r>
      <w:r w:rsidR="00F25469">
        <w:rPr>
          <w:rFonts w:ascii="Arial" w:hAnsi="Arial" w:cs="Arial"/>
          <w:sz w:val="22"/>
          <w:szCs w:val="22"/>
          <w:lang w:val="en-US"/>
        </w:rPr>
        <w:t xml:space="preserve">, </w:t>
      </w:r>
      <w:r w:rsidR="00F25469" w:rsidRPr="00923241">
        <w:rPr>
          <w:rFonts w:ascii="Arial" w:hAnsi="Arial" w:cs="Arial"/>
          <w:sz w:val="22"/>
          <w:szCs w:val="22"/>
          <w:lang w:val="en-US"/>
        </w:rPr>
        <w:t xml:space="preserve">and the </w:t>
      </w:r>
      <w:r w:rsidR="002D18EF" w:rsidRPr="00923241">
        <w:rPr>
          <w:rFonts w:ascii="Arial" w:hAnsi="Arial" w:cs="Arial"/>
          <w:color w:val="000000"/>
          <w:sz w:val="22"/>
          <w:szCs w:val="22"/>
          <w:shd w:val="clear" w:color="auto" w:fill="FFFFFF"/>
        </w:rPr>
        <w:t>BCN Bioinformatics Core Team</w:t>
      </w:r>
      <w:r w:rsidR="00C8294F" w:rsidRPr="008C7FCA">
        <w:rPr>
          <w:rFonts w:ascii="Arial" w:hAnsi="Arial" w:cs="Arial"/>
          <w:sz w:val="22"/>
          <w:szCs w:val="22"/>
          <w:lang w:val="en-US"/>
        </w:rPr>
        <w:t xml:space="preserve">. plasmaMATCH is co-sponsored by The Institute of Cancer Research and The Royal Marsden NHS Foundation Trust. </w:t>
      </w:r>
      <w:r w:rsidR="003606EA" w:rsidRPr="008C7FCA">
        <w:rPr>
          <w:rFonts w:ascii="Arial" w:hAnsi="Arial" w:cs="Arial"/>
          <w:sz w:val="22"/>
          <w:szCs w:val="22"/>
          <w:lang w:val="en-US"/>
        </w:rPr>
        <w:t xml:space="preserve">The Institute of Cancer Research Clinical Trials &amp; </w:t>
      </w:r>
      <w:r w:rsidR="003606EA" w:rsidRPr="008C7FCA">
        <w:rPr>
          <w:rFonts w:ascii="Arial" w:hAnsi="Arial" w:cs="Arial"/>
          <w:sz w:val="22"/>
          <w:szCs w:val="22"/>
          <w:lang w:val="en-US"/>
        </w:rPr>
        <w:lastRenderedPageBreak/>
        <w:t>Statistics Unit (ICR-CTSU) is supported by the Cancer Research UK core grant (grant number C1491/A25351).</w:t>
      </w:r>
      <w:r w:rsidR="003606EA">
        <w:rPr>
          <w:rFonts w:ascii="Arial" w:hAnsi="Arial" w:cs="Arial"/>
          <w:sz w:val="22"/>
          <w:szCs w:val="22"/>
          <w:lang w:val="en-US"/>
        </w:rPr>
        <w:t xml:space="preserve"> plasmaMATCH is </w:t>
      </w:r>
      <w:r w:rsidR="00400797">
        <w:rPr>
          <w:rFonts w:ascii="Arial" w:hAnsi="Arial" w:cs="Arial"/>
          <w:sz w:val="22"/>
          <w:szCs w:val="22"/>
          <w:lang w:val="en-US"/>
        </w:rPr>
        <w:t xml:space="preserve">supported </w:t>
      </w:r>
      <w:r w:rsidR="00C94462">
        <w:rPr>
          <w:rFonts w:ascii="Arial" w:hAnsi="Arial" w:cs="Arial"/>
          <w:sz w:val="22"/>
          <w:szCs w:val="22"/>
          <w:lang w:val="en-US"/>
        </w:rPr>
        <w:t>in Manchester by the NIHR Manchester Clinical Research Facility at The Christie</w:t>
      </w:r>
      <w:r w:rsidR="001E2EBB" w:rsidRPr="001E2EBB">
        <w:rPr>
          <w:rFonts w:ascii="Arial" w:hAnsi="Arial" w:cs="Arial"/>
          <w:sz w:val="22"/>
          <w:szCs w:val="22"/>
          <w:lang w:val="en-US"/>
        </w:rPr>
        <w:t xml:space="preserve"> </w:t>
      </w:r>
      <w:r w:rsidR="001E2EBB">
        <w:rPr>
          <w:rFonts w:ascii="Arial" w:hAnsi="Arial" w:cs="Arial"/>
          <w:sz w:val="22"/>
          <w:szCs w:val="22"/>
          <w:lang w:val="en-US"/>
        </w:rPr>
        <w:t xml:space="preserve">and </w:t>
      </w:r>
      <w:r w:rsidR="001E2EBB" w:rsidRPr="005D7310">
        <w:rPr>
          <w:rFonts w:ascii="Arial" w:hAnsi="Arial" w:cs="Arial"/>
          <w:sz w:val="22"/>
          <w:szCs w:val="22"/>
          <w:lang w:val="en-US"/>
        </w:rPr>
        <w:t xml:space="preserve">in Cambridge </w:t>
      </w:r>
      <w:r w:rsidR="001E2EBB">
        <w:rPr>
          <w:rFonts w:ascii="Arial" w:hAnsi="Arial" w:cs="Arial"/>
          <w:sz w:val="22"/>
          <w:szCs w:val="22"/>
          <w:lang w:val="en-US"/>
        </w:rPr>
        <w:t>by</w:t>
      </w:r>
      <w:r w:rsidR="001E2EBB" w:rsidRPr="005D7310">
        <w:rPr>
          <w:rFonts w:ascii="Arial" w:hAnsi="Arial" w:cs="Arial"/>
          <w:sz w:val="22"/>
          <w:szCs w:val="22"/>
          <w:lang w:val="en-US"/>
        </w:rPr>
        <w:t xml:space="preserve"> Cancer Research UK, the Cambridge NIHR Biomedical Research Centre and the Cambridge Experimental Cancer Medicine Centre</w:t>
      </w:r>
      <w:r w:rsidR="001E2EBB">
        <w:rPr>
          <w:rFonts w:ascii="Arial" w:hAnsi="Arial" w:cs="Arial"/>
          <w:sz w:val="22"/>
          <w:szCs w:val="22"/>
          <w:lang w:val="en-US"/>
        </w:rPr>
        <w:t>. plasmaMATCH is supported at</w:t>
      </w:r>
      <w:r w:rsidR="001E2EBB" w:rsidRPr="008C7FCA">
        <w:rPr>
          <w:rFonts w:ascii="Arial" w:hAnsi="Arial" w:cs="Arial"/>
          <w:sz w:val="22"/>
          <w:szCs w:val="22"/>
          <w:lang w:val="en-US"/>
        </w:rPr>
        <w:t xml:space="preserve"> participating sites </w:t>
      </w:r>
      <w:r w:rsidR="001E2EBB">
        <w:rPr>
          <w:rFonts w:ascii="Arial" w:hAnsi="Arial" w:cs="Arial"/>
          <w:sz w:val="22"/>
          <w:szCs w:val="22"/>
          <w:lang w:val="en-US"/>
        </w:rPr>
        <w:t xml:space="preserve">in England </w:t>
      </w:r>
      <w:r w:rsidR="001E2EBB" w:rsidRPr="008C7FCA">
        <w:rPr>
          <w:rFonts w:ascii="Arial" w:hAnsi="Arial" w:cs="Arial"/>
          <w:sz w:val="22"/>
          <w:szCs w:val="22"/>
          <w:lang w:val="en-US"/>
        </w:rPr>
        <w:t xml:space="preserve">by the </w:t>
      </w:r>
      <w:r w:rsidR="001E2EBB" w:rsidRPr="00400797">
        <w:rPr>
          <w:rFonts w:ascii="Arial" w:hAnsi="Arial" w:cs="Arial"/>
          <w:sz w:val="22"/>
          <w:szCs w:val="22"/>
          <w:lang w:val="en-US"/>
        </w:rPr>
        <w:t>National Insti</w:t>
      </w:r>
      <w:r w:rsidR="001E2EBB">
        <w:rPr>
          <w:rFonts w:ascii="Arial" w:hAnsi="Arial" w:cs="Arial"/>
          <w:sz w:val="22"/>
          <w:szCs w:val="22"/>
          <w:lang w:val="en-US"/>
        </w:rPr>
        <w:t>tute for Health Research (NIHR)</w:t>
      </w:r>
      <w:r w:rsidR="001E2EBB" w:rsidRPr="008C7FCA">
        <w:rPr>
          <w:rFonts w:ascii="Arial" w:hAnsi="Arial" w:cs="Arial"/>
          <w:sz w:val="22"/>
          <w:szCs w:val="22"/>
          <w:lang w:val="en-US"/>
        </w:rPr>
        <w:t xml:space="preserve"> Clinical Research Network</w:t>
      </w:r>
      <w:r w:rsidR="001E2EBB">
        <w:rPr>
          <w:rFonts w:ascii="Arial" w:hAnsi="Arial" w:cs="Arial"/>
          <w:sz w:val="22"/>
          <w:szCs w:val="22"/>
          <w:lang w:val="en-US"/>
        </w:rPr>
        <w:t>,</w:t>
      </w:r>
      <w:r w:rsidR="00167255">
        <w:rPr>
          <w:rFonts w:ascii="Arial" w:hAnsi="Arial" w:cs="Arial"/>
          <w:sz w:val="22"/>
          <w:szCs w:val="22"/>
          <w:lang w:val="en-US"/>
        </w:rPr>
        <w:t xml:space="preserve"> </w:t>
      </w:r>
      <w:r w:rsidR="001E2EBB">
        <w:rPr>
          <w:rFonts w:ascii="Arial" w:hAnsi="Arial" w:cs="Arial"/>
          <w:sz w:val="22"/>
          <w:szCs w:val="22"/>
          <w:lang w:val="en-US"/>
        </w:rPr>
        <w:t xml:space="preserve">in Scotland by the </w:t>
      </w:r>
      <w:r w:rsidR="003D1621" w:rsidRPr="003D1621">
        <w:rPr>
          <w:rFonts w:ascii="Arial" w:hAnsi="Arial" w:cs="Arial"/>
          <w:sz w:val="22"/>
          <w:szCs w:val="22"/>
          <w:lang w:val="en-US"/>
        </w:rPr>
        <w:t>Chief Scientist Office</w:t>
      </w:r>
      <w:r w:rsidR="003D1621">
        <w:rPr>
          <w:rFonts w:ascii="Arial" w:hAnsi="Arial" w:cs="Arial"/>
          <w:sz w:val="22"/>
          <w:szCs w:val="22"/>
          <w:lang w:val="en-US"/>
        </w:rPr>
        <w:t xml:space="preserve"> (</w:t>
      </w:r>
      <w:r w:rsidR="00167255">
        <w:rPr>
          <w:rFonts w:ascii="Arial" w:hAnsi="Arial" w:cs="Arial"/>
          <w:sz w:val="22"/>
          <w:szCs w:val="22"/>
          <w:lang w:val="en-US"/>
        </w:rPr>
        <w:t>CSO</w:t>
      </w:r>
      <w:r w:rsidR="003D1621">
        <w:rPr>
          <w:rFonts w:ascii="Arial" w:hAnsi="Arial" w:cs="Arial"/>
          <w:sz w:val="22"/>
          <w:szCs w:val="22"/>
          <w:lang w:val="en-US"/>
        </w:rPr>
        <w:t>)</w:t>
      </w:r>
      <w:r w:rsidR="001E2EBB">
        <w:rPr>
          <w:rFonts w:ascii="Arial" w:hAnsi="Arial" w:cs="Arial"/>
          <w:sz w:val="22"/>
          <w:szCs w:val="22"/>
          <w:lang w:val="en-US"/>
        </w:rPr>
        <w:t>,</w:t>
      </w:r>
      <w:r w:rsidR="003D1621">
        <w:rPr>
          <w:rFonts w:ascii="Arial" w:hAnsi="Arial" w:cs="Arial"/>
          <w:sz w:val="22"/>
          <w:szCs w:val="22"/>
          <w:lang w:val="en-US"/>
        </w:rPr>
        <w:t xml:space="preserve"> and</w:t>
      </w:r>
      <w:r w:rsidR="00167255">
        <w:rPr>
          <w:rFonts w:ascii="Arial" w:hAnsi="Arial" w:cs="Arial"/>
          <w:sz w:val="22"/>
          <w:szCs w:val="22"/>
          <w:lang w:val="en-US"/>
        </w:rPr>
        <w:t xml:space="preserve"> </w:t>
      </w:r>
      <w:r w:rsidR="001E2EBB">
        <w:rPr>
          <w:rFonts w:ascii="Arial" w:hAnsi="Arial" w:cs="Arial"/>
          <w:sz w:val="22"/>
          <w:szCs w:val="22"/>
          <w:lang w:val="en-US"/>
        </w:rPr>
        <w:t xml:space="preserve">in Wales by </w:t>
      </w:r>
      <w:r w:rsidR="003D1621" w:rsidRPr="003D1621">
        <w:rPr>
          <w:rFonts w:ascii="Arial" w:hAnsi="Arial" w:cs="Arial"/>
          <w:sz w:val="22"/>
          <w:szCs w:val="22"/>
          <w:lang w:val="en-US"/>
        </w:rPr>
        <w:t>Health and Care Research Wales</w:t>
      </w:r>
      <w:r w:rsidR="00C67DD6" w:rsidRPr="008C7FCA">
        <w:rPr>
          <w:rFonts w:ascii="Arial" w:hAnsi="Arial" w:cs="Arial"/>
          <w:sz w:val="22"/>
          <w:szCs w:val="22"/>
          <w:lang w:val="en-US"/>
        </w:rPr>
        <w:t xml:space="preserve">. </w:t>
      </w:r>
      <w:r w:rsidR="00400797" w:rsidRPr="00400797">
        <w:rPr>
          <w:rFonts w:ascii="Arial" w:hAnsi="Arial" w:cs="Arial"/>
          <w:sz w:val="22"/>
          <w:szCs w:val="22"/>
          <w:lang w:val="en-US"/>
        </w:rPr>
        <w:t xml:space="preserve">This </w:t>
      </w:r>
      <w:r w:rsidR="003606EA">
        <w:rPr>
          <w:rFonts w:ascii="Arial" w:hAnsi="Arial" w:cs="Arial"/>
          <w:sz w:val="22"/>
          <w:szCs w:val="22"/>
          <w:lang w:val="en-US"/>
        </w:rPr>
        <w:t>study</w:t>
      </w:r>
      <w:r w:rsidR="00400797" w:rsidRPr="00400797">
        <w:rPr>
          <w:rFonts w:ascii="Arial" w:hAnsi="Arial" w:cs="Arial"/>
          <w:sz w:val="22"/>
          <w:szCs w:val="22"/>
          <w:lang w:val="en-US"/>
        </w:rPr>
        <w:t xml:space="preserve"> represents independent research supported by the </w:t>
      </w:r>
      <w:r w:rsidR="003606EA">
        <w:rPr>
          <w:rFonts w:ascii="Arial" w:hAnsi="Arial" w:cs="Arial"/>
          <w:sz w:val="22"/>
          <w:szCs w:val="22"/>
          <w:lang w:val="en-US"/>
        </w:rPr>
        <w:t>NIHR</w:t>
      </w:r>
      <w:r w:rsidR="00400797" w:rsidRPr="00400797">
        <w:rPr>
          <w:rFonts w:ascii="Arial" w:hAnsi="Arial" w:cs="Arial"/>
          <w:sz w:val="22"/>
          <w:szCs w:val="22"/>
          <w:lang w:val="en-US"/>
        </w:rPr>
        <w:t xml:space="preserve"> Biomedical Research </w:t>
      </w:r>
      <w:r w:rsidR="000228CB">
        <w:rPr>
          <w:rFonts w:ascii="Arial" w:hAnsi="Arial" w:cs="Arial"/>
          <w:sz w:val="22"/>
          <w:szCs w:val="22"/>
          <w:lang w:val="en-US"/>
        </w:rPr>
        <w:t>Centre</w:t>
      </w:r>
      <w:r w:rsidR="00400797" w:rsidRPr="00400797">
        <w:rPr>
          <w:rFonts w:ascii="Arial" w:hAnsi="Arial" w:cs="Arial"/>
          <w:sz w:val="22"/>
          <w:szCs w:val="22"/>
          <w:lang w:val="en-US"/>
        </w:rPr>
        <w:t xml:space="preserve"> at The Royal Marsden NHS Foundation Trust and the Institute of Cancer Research, London. The views expressed are those of the author(s) and not necessarily those of the NIHR or the Department of Health and Social Care. </w:t>
      </w:r>
      <w:r w:rsidR="00E330B9" w:rsidRPr="008C7FCA">
        <w:rPr>
          <w:rFonts w:ascii="Arial" w:hAnsi="Arial" w:cs="Arial"/>
          <w:sz w:val="22"/>
          <w:szCs w:val="22"/>
          <w:lang w:val="en-US"/>
        </w:rPr>
        <w:t>The authors also acknowledge past and present colleagues on the plasmaMATCH Trial Management Group, the Independent Data Monitoring Committee and the Trial Steering Committee</w:t>
      </w:r>
      <w:r w:rsidR="00377380" w:rsidRPr="008C7FCA">
        <w:rPr>
          <w:rFonts w:ascii="Arial" w:hAnsi="Arial" w:cs="Arial"/>
          <w:sz w:val="22"/>
          <w:szCs w:val="22"/>
          <w:lang w:val="en-US"/>
        </w:rPr>
        <w:t xml:space="preserve"> who provided oversight of </w:t>
      </w:r>
      <w:r w:rsidR="00E330B9" w:rsidRPr="008C7FCA">
        <w:rPr>
          <w:rFonts w:ascii="Arial" w:hAnsi="Arial" w:cs="Arial"/>
          <w:sz w:val="22"/>
          <w:szCs w:val="22"/>
          <w:lang w:val="en-US"/>
        </w:rPr>
        <w:t>the trial.</w:t>
      </w:r>
    </w:p>
    <w:p w14:paraId="290B124E" w14:textId="28C9F8C1" w:rsidR="00CC0CFD" w:rsidRPr="008C7FCA" w:rsidRDefault="00CC0CFD" w:rsidP="004B43C4">
      <w:pPr>
        <w:jc w:val="both"/>
        <w:rPr>
          <w:rFonts w:ascii="Arial" w:hAnsi="Arial" w:cs="Arial"/>
          <w:sz w:val="22"/>
          <w:szCs w:val="22"/>
          <w:lang w:val="en-US"/>
        </w:rPr>
      </w:pPr>
    </w:p>
    <w:p w14:paraId="6758C35A" w14:textId="0A57DAE8" w:rsidR="00CC0CFD" w:rsidRPr="00074497" w:rsidRDefault="00074497" w:rsidP="004B43C4">
      <w:pPr>
        <w:jc w:val="both"/>
        <w:rPr>
          <w:rFonts w:ascii="Arial" w:hAnsi="Arial" w:cs="Arial"/>
          <w:b/>
          <w:bCs/>
          <w:sz w:val="22"/>
          <w:szCs w:val="22"/>
          <w:lang w:val="en-US"/>
        </w:rPr>
      </w:pPr>
      <w:r w:rsidRPr="00074497">
        <w:rPr>
          <w:rFonts w:ascii="Arial" w:hAnsi="Arial" w:cs="Arial"/>
          <w:b/>
          <w:bCs/>
          <w:sz w:val="22"/>
          <w:szCs w:val="22"/>
          <w:lang w:val="en-US"/>
        </w:rPr>
        <w:t>Declaration of interests</w:t>
      </w:r>
    </w:p>
    <w:p w14:paraId="3E46D64A" w14:textId="336FD3CF" w:rsidR="00F03491" w:rsidRDefault="00F03491" w:rsidP="002C678B">
      <w:pPr>
        <w:jc w:val="both"/>
        <w:rPr>
          <w:rFonts w:ascii="Arial" w:hAnsi="Arial" w:cs="Arial"/>
          <w:sz w:val="22"/>
          <w:szCs w:val="22"/>
        </w:rPr>
      </w:pPr>
      <w:r w:rsidRPr="00F03491">
        <w:rPr>
          <w:rFonts w:ascii="Arial" w:hAnsi="Arial" w:cs="Arial"/>
          <w:sz w:val="22"/>
          <w:szCs w:val="22"/>
        </w:rPr>
        <w:t xml:space="preserve">NCT, AR, JMB, </w:t>
      </w:r>
      <w:r>
        <w:rPr>
          <w:rFonts w:ascii="Arial" w:hAnsi="Arial" w:cs="Arial"/>
          <w:sz w:val="22"/>
          <w:szCs w:val="22"/>
        </w:rPr>
        <w:t xml:space="preserve">LSK, </w:t>
      </w:r>
      <w:r w:rsidRPr="00F03491">
        <w:rPr>
          <w:rFonts w:ascii="Arial" w:hAnsi="Arial" w:cs="Arial"/>
          <w:sz w:val="22"/>
          <w:szCs w:val="22"/>
        </w:rPr>
        <w:t>CS, LM, SK, KW, SM, HB, MH, BK and RC report grants from Cancer Research UK, grants and non-financial support in the form of study drug provision from AstraZeneca and Puma Biotechnology and non-financial support in the form of ctDNA sequencing from Guardant Health and provision of reagents from BioRad during the conduct of the study.</w:t>
      </w:r>
    </w:p>
    <w:p w14:paraId="641D83CA" w14:textId="3EA0D2A4" w:rsidR="00F03491" w:rsidRPr="004F2442" w:rsidRDefault="00F03491" w:rsidP="002C678B">
      <w:pPr>
        <w:jc w:val="both"/>
        <w:rPr>
          <w:rFonts w:ascii="Arial" w:hAnsi="Arial" w:cs="Arial"/>
          <w:sz w:val="22"/>
          <w:szCs w:val="22"/>
        </w:rPr>
      </w:pPr>
      <w:r w:rsidRPr="003F59DF">
        <w:rPr>
          <w:rFonts w:ascii="Arial" w:hAnsi="Arial" w:cs="Arial"/>
          <w:sz w:val="22"/>
          <w:szCs w:val="22"/>
        </w:rPr>
        <w:t xml:space="preserve">NCT also reports grants and personal fees from AstraZeneca, </w:t>
      </w:r>
      <w:r w:rsidR="003F59DF" w:rsidRPr="003F59DF">
        <w:rPr>
          <w:rFonts w:ascii="Arial" w:hAnsi="Arial" w:cs="Arial"/>
          <w:sz w:val="22"/>
          <w:szCs w:val="22"/>
        </w:rPr>
        <w:t xml:space="preserve">Pfizer, and Roche/Genentech, </w:t>
      </w:r>
      <w:r w:rsidRPr="003F59DF">
        <w:rPr>
          <w:rFonts w:ascii="Arial" w:hAnsi="Arial" w:cs="Arial"/>
          <w:sz w:val="22"/>
          <w:szCs w:val="22"/>
        </w:rPr>
        <w:t>personal fees from Bristol-Myers</w:t>
      </w:r>
      <w:r w:rsidR="003F59DF" w:rsidRPr="003F59DF">
        <w:rPr>
          <w:rFonts w:ascii="Arial" w:hAnsi="Arial" w:cs="Arial"/>
          <w:sz w:val="22"/>
          <w:szCs w:val="22"/>
        </w:rPr>
        <w:t xml:space="preserve"> Squibb, </w:t>
      </w:r>
      <w:r w:rsidRPr="003F59DF">
        <w:rPr>
          <w:rFonts w:ascii="Arial" w:hAnsi="Arial" w:cs="Arial"/>
          <w:sz w:val="22"/>
          <w:szCs w:val="22"/>
        </w:rPr>
        <w:t xml:space="preserve">Lilly, MSD, Novartis, Bicycle Theraputics, Taiiho, </w:t>
      </w:r>
      <w:r w:rsidR="003F59DF">
        <w:rPr>
          <w:rFonts w:ascii="Arial" w:hAnsi="Arial" w:cs="Arial"/>
          <w:sz w:val="22"/>
          <w:szCs w:val="22"/>
        </w:rPr>
        <w:t>Zeno P</w:t>
      </w:r>
      <w:r w:rsidR="003F59DF" w:rsidRPr="003F59DF">
        <w:rPr>
          <w:rFonts w:ascii="Arial" w:hAnsi="Arial" w:cs="Arial"/>
          <w:sz w:val="22"/>
          <w:szCs w:val="22"/>
        </w:rPr>
        <w:t xml:space="preserve">harmaceuticals and Repare </w:t>
      </w:r>
      <w:r w:rsidR="003F59DF">
        <w:rPr>
          <w:rFonts w:ascii="Arial" w:hAnsi="Arial" w:cs="Arial"/>
          <w:sz w:val="22"/>
          <w:szCs w:val="22"/>
        </w:rPr>
        <w:t>T</w:t>
      </w:r>
      <w:r w:rsidR="003F59DF" w:rsidRPr="003F59DF">
        <w:rPr>
          <w:rFonts w:ascii="Arial" w:hAnsi="Arial" w:cs="Arial"/>
          <w:sz w:val="22"/>
          <w:szCs w:val="22"/>
        </w:rPr>
        <w:t xml:space="preserve">herapeutics and </w:t>
      </w:r>
      <w:r w:rsidRPr="003F59DF">
        <w:rPr>
          <w:rFonts w:ascii="Arial" w:hAnsi="Arial" w:cs="Arial"/>
          <w:sz w:val="22"/>
          <w:szCs w:val="22"/>
        </w:rPr>
        <w:t xml:space="preserve">grants from BioRad, Clovis, Merck </w:t>
      </w:r>
      <w:r w:rsidRPr="004F2442">
        <w:rPr>
          <w:rFonts w:ascii="Arial" w:hAnsi="Arial" w:cs="Arial"/>
          <w:sz w:val="22"/>
          <w:szCs w:val="22"/>
        </w:rPr>
        <w:t xml:space="preserve">Sharpe and Dohme, </w:t>
      </w:r>
      <w:r w:rsidR="003F59DF" w:rsidRPr="004F2442">
        <w:rPr>
          <w:rFonts w:ascii="Arial" w:hAnsi="Arial" w:cs="Arial"/>
          <w:sz w:val="22"/>
          <w:szCs w:val="22"/>
        </w:rPr>
        <w:t>and Guardant Health outside the submitted work.</w:t>
      </w:r>
    </w:p>
    <w:p w14:paraId="3ABDBBEA" w14:textId="3365A472" w:rsidR="004F2442" w:rsidRPr="004F2442" w:rsidRDefault="004F2442" w:rsidP="002C678B">
      <w:pPr>
        <w:jc w:val="both"/>
        <w:rPr>
          <w:rFonts w:ascii="Arial" w:hAnsi="Arial" w:cs="Arial"/>
          <w:sz w:val="22"/>
          <w:szCs w:val="22"/>
        </w:rPr>
      </w:pPr>
      <w:r w:rsidRPr="004F2442">
        <w:rPr>
          <w:rFonts w:ascii="Arial" w:hAnsi="Arial" w:cs="Arial"/>
          <w:sz w:val="22"/>
          <w:szCs w:val="22"/>
        </w:rPr>
        <w:t>BK also reports personal fees from Guardant Health outside the submitted work.</w:t>
      </w:r>
    </w:p>
    <w:p w14:paraId="596815B2" w14:textId="64981AFF" w:rsidR="00940294" w:rsidRDefault="00940294" w:rsidP="002C678B">
      <w:pPr>
        <w:jc w:val="both"/>
        <w:rPr>
          <w:rFonts w:ascii="Arial" w:hAnsi="Arial" w:cs="Arial"/>
          <w:sz w:val="22"/>
          <w:szCs w:val="22"/>
        </w:rPr>
      </w:pPr>
      <w:r w:rsidRPr="00940294">
        <w:rPr>
          <w:rFonts w:ascii="Arial" w:hAnsi="Arial" w:cs="Arial"/>
          <w:sz w:val="22"/>
          <w:szCs w:val="22"/>
        </w:rPr>
        <w:t xml:space="preserve">AMW reports personal fees from Roche, personal fees and other </w:t>
      </w:r>
      <w:r w:rsidR="006D2B4C">
        <w:rPr>
          <w:rFonts w:ascii="Arial" w:hAnsi="Arial" w:cs="Arial"/>
          <w:sz w:val="22"/>
          <w:szCs w:val="22"/>
        </w:rPr>
        <w:t xml:space="preserve">support </w:t>
      </w:r>
      <w:r w:rsidRPr="00940294">
        <w:rPr>
          <w:rFonts w:ascii="Arial" w:hAnsi="Arial" w:cs="Arial"/>
          <w:sz w:val="22"/>
          <w:szCs w:val="22"/>
        </w:rPr>
        <w:t xml:space="preserve">from Novartis, Pfizer, </w:t>
      </w:r>
      <w:r>
        <w:rPr>
          <w:rFonts w:ascii="Arial" w:hAnsi="Arial" w:cs="Arial"/>
          <w:sz w:val="22"/>
          <w:szCs w:val="22"/>
        </w:rPr>
        <w:t xml:space="preserve">Lilly, </w:t>
      </w:r>
      <w:r w:rsidRPr="00940294">
        <w:rPr>
          <w:rFonts w:ascii="Arial" w:hAnsi="Arial" w:cs="Arial"/>
          <w:sz w:val="22"/>
          <w:szCs w:val="22"/>
        </w:rPr>
        <w:t xml:space="preserve">Daiichi-Sankyo, MSD, </w:t>
      </w:r>
      <w:r w:rsidR="006D2B4C" w:rsidRPr="00940294">
        <w:rPr>
          <w:rFonts w:ascii="Arial" w:hAnsi="Arial" w:cs="Arial"/>
          <w:sz w:val="22"/>
          <w:szCs w:val="22"/>
        </w:rPr>
        <w:t>AstraZeneca</w:t>
      </w:r>
      <w:r w:rsidR="006D2B4C">
        <w:rPr>
          <w:rFonts w:ascii="Arial" w:hAnsi="Arial" w:cs="Arial"/>
          <w:sz w:val="22"/>
          <w:szCs w:val="22"/>
        </w:rPr>
        <w:t xml:space="preserve">, </w:t>
      </w:r>
      <w:r w:rsidR="006D2B4C" w:rsidRPr="00940294">
        <w:rPr>
          <w:rFonts w:ascii="Arial" w:hAnsi="Arial" w:cs="Arial"/>
          <w:sz w:val="22"/>
          <w:szCs w:val="22"/>
        </w:rPr>
        <w:t>Athenex</w:t>
      </w:r>
      <w:r w:rsidR="00F047EA">
        <w:rPr>
          <w:rFonts w:ascii="Arial" w:hAnsi="Arial" w:cs="Arial"/>
          <w:sz w:val="22"/>
          <w:szCs w:val="22"/>
        </w:rPr>
        <w:t xml:space="preserve"> and </w:t>
      </w:r>
      <w:r w:rsidRPr="00940294">
        <w:rPr>
          <w:rFonts w:ascii="Arial" w:hAnsi="Arial" w:cs="Arial"/>
          <w:sz w:val="22"/>
          <w:szCs w:val="22"/>
        </w:rPr>
        <w:t xml:space="preserve">other </w:t>
      </w:r>
      <w:r w:rsidR="006D2B4C">
        <w:rPr>
          <w:rFonts w:ascii="Arial" w:hAnsi="Arial" w:cs="Arial"/>
          <w:sz w:val="22"/>
          <w:szCs w:val="22"/>
        </w:rPr>
        <w:t xml:space="preserve">support </w:t>
      </w:r>
      <w:r w:rsidRPr="00940294">
        <w:rPr>
          <w:rFonts w:ascii="Arial" w:hAnsi="Arial" w:cs="Arial"/>
          <w:sz w:val="22"/>
          <w:szCs w:val="22"/>
        </w:rPr>
        <w:t>from Seattl</w:t>
      </w:r>
      <w:r w:rsidR="006D2B4C">
        <w:rPr>
          <w:rFonts w:ascii="Arial" w:hAnsi="Arial" w:cs="Arial"/>
          <w:sz w:val="22"/>
          <w:szCs w:val="22"/>
        </w:rPr>
        <w:t xml:space="preserve">e Genetics, </w:t>
      </w:r>
      <w:r w:rsidRPr="00940294">
        <w:rPr>
          <w:rFonts w:ascii="Arial" w:hAnsi="Arial" w:cs="Arial"/>
          <w:sz w:val="22"/>
          <w:szCs w:val="22"/>
        </w:rPr>
        <w:t xml:space="preserve">Andrew Wardley Ltd, </w:t>
      </w:r>
      <w:r w:rsidR="006D2B4C">
        <w:rPr>
          <w:rFonts w:ascii="Arial" w:hAnsi="Arial" w:cs="Arial"/>
          <w:sz w:val="22"/>
          <w:szCs w:val="22"/>
        </w:rPr>
        <w:t xml:space="preserve">Manchester Cancer Academy and </w:t>
      </w:r>
      <w:r w:rsidRPr="00940294">
        <w:rPr>
          <w:rFonts w:ascii="Arial" w:hAnsi="Arial" w:cs="Arial"/>
          <w:sz w:val="22"/>
          <w:szCs w:val="22"/>
        </w:rPr>
        <w:t>Outreach Resear</w:t>
      </w:r>
      <w:r>
        <w:rPr>
          <w:rFonts w:ascii="Arial" w:hAnsi="Arial" w:cs="Arial"/>
          <w:sz w:val="22"/>
          <w:szCs w:val="22"/>
        </w:rPr>
        <w:t>ch and Innovation Group Limited</w:t>
      </w:r>
      <w:r w:rsidR="006D2B4C">
        <w:rPr>
          <w:rFonts w:ascii="Arial" w:hAnsi="Arial" w:cs="Arial"/>
          <w:sz w:val="22"/>
          <w:szCs w:val="22"/>
        </w:rPr>
        <w:t xml:space="preserve"> outside the submitted work.</w:t>
      </w:r>
    </w:p>
    <w:p w14:paraId="3A50A83E" w14:textId="733DCBF5" w:rsidR="00DB3A51" w:rsidRDefault="00DB3A51" w:rsidP="002C678B">
      <w:pPr>
        <w:jc w:val="both"/>
        <w:rPr>
          <w:rFonts w:ascii="Arial" w:hAnsi="Arial" w:cs="Arial"/>
          <w:sz w:val="22"/>
          <w:szCs w:val="22"/>
        </w:rPr>
      </w:pPr>
      <w:r w:rsidRPr="00B31E15">
        <w:rPr>
          <w:rFonts w:ascii="Arial" w:hAnsi="Arial" w:cs="Arial"/>
          <w:sz w:val="22"/>
          <w:szCs w:val="22"/>
        </w:rPr>
        <w:t>IRM</w:t>
      </w:r>
      <w:r w:rsidR="00790034" w:rsidRPr="00B31E15">
        <w:rPr>
          <w:rFonts w:ascii="Arial" w:hAnsi="Arial" w:cs="Arial"/>
          <w:sz w:val="22"/>
          <w:szCs w:val="22"/>
        </w:rPr>
        <w:t xml:space="preserve"> reports</w:t>
      </w:r>
      <w:r w:rsidR="00790034" w:rsidRPr="00790034">
        <w:rPr>
          <w:rFonts w:ascii="Arial" w:hAnsi="Arial" w:cs="Arial"/>
          <w:sz w:val="22"/>
          <w:szCs w:val="22"/>
        </w:rPr>
        <w:t xml:space="preserve"> personal fees and non-financial support from Roche Products UK Ltd</w:t>
      </w:r>
      <w:r w:rsidR="00B31E15">
        <w:rPr>
          <w:rFonts w:ascii="Arial" w:hAnsi="Arial" w:cs="Arial"/>
          <w:sz w:val="22"/>
          <w:szCs w:val="22"/>
        </w:rPr>
        <w:t xml:space="preserve">, </w:t>
      </w:r>
      <w:r w:rsidR="00B31E15" w:rsidRPr="00790034">
        <w:rPr>
          <w:rFonts w:ascii="Arial" w:hAnsi="Arial" w:cs="Arial"/>
          <w:sz w:val="22"/>
          <w:szCs w:val="22"/>
        </w:rPr>
        <w:t>Eli Lilly</w:t>
      </w:r>
      <w:r w:rsidR="00B31E15">
        <w:rPr>
          <w:rFonts w:ascii="Arial" w:hAnsi="Arial" w:cs="Arial"/>
          <w:sz w:val="22"/>
          <w:szCs w:val="22"/>
        </w:rPr>
        <w:t xml:space="preserve"> and</w:t>
      </w:r>
      <w:r w:rsidR="00790034" w:rsidRPr="00790034">
        <w:rPr>
          <w:rFonts w:ascii="Arial" w:hAnsi="Arial" w:cs="Arial"/>
          <w:sz w:val="22"/>
          <w:szCs w:val="22"/>
        </w:rPr>
        <w:t xml:space="preserve"> </w:t>
      </w:r>
      <w:r w:rsidR="00B31E15" w:rsidRPr="00790034">
        <w:rPr>
          <w:rFonts w:ascii="Arial" w:hAnsi="Arial" w:cs="Arial"/>
          <w:sz w:val="22"/>
          <w:szCs w:val="22"/>
        </w:rPr>
        <w:t>Eisai</w:t>
      </w:r>
      <w:r w:rsidR="00B31E15">
        <w:rPr>
          <w:rFonts w:ascii="Arial" w:hAnsi="Arial" w:cs="Arial"/>
          <w:sz w:val="22"/>
          <w:szCs w:val="22"/>
        </w:rPr>
        <w:t xml:space="preserve"> and</w:t>
      </w:r>
      <w:r w:rsidR="00B31E15" w:rsidRPr="00790034">
        <w:rPr>
          <w:rFonts w:ascii="Arial" w:hAnsi="Arial" w:cs="Arial"/>
          <w:sz w:val="22"/>
          <w:szCs w:val="22"/>
        </w:rPr>
        <w:t xml:space="preserve"> </w:t>
      </w:r>
      <w:r w:rsidR="00790034" w:rsidRPr="00790034">
        <w:rPr>
          <w:rFonts w:ascii="Arial" w:hAnsi="Arial" w:cs="Arial"/>
          <w:sz w:val="22"/>
          <w:szCs w:val="22"/>
        </w:rPr>
        <w:t xml:space="preserve">personal fees from Novartis, Pfizer, Daichi Sankyo, Genomic Health, </w:t>
      </w:r>
      <w:r w:rsidR="00B31E15">
        <w:rPr>
          <w:rFonts w:ascii="Arial" w:hAnsi="Arial" w:cs="Arial"/>
          <w:sz w:val="22"/>
          <w:szCs w:val="22"/>
        </w:rPr>
        <w:t>Pierre Fabre and MSD outside the submitted work</w:t>
      </w:r>
      <w:r w:rsidR="00790034">
        <w:rPr>
          <w:rFonts w:ascii="Myriad Pro" w:hAnsi="Myriad Pro" w:cs="Myriad Pro"/>
          <w:sz w:val="20"/>
          <w:szCs w:val="20"/>
        </w:rPr>
        <w:t>.</w:t>
      </w:r>
    </w:p>
    <w:p w14:paraId="4B5ED537" w14:textId="3986AD65" w:rsidR="006D2B4C" w:rsidRDefault="006D2B4C" w:rsidP="002C678B">
      <w:pPr>
        <w:jc w:val="both"/>
        <w:rPr>
          <w:rFonts w:ascii="Arial" w:hAnsi="Arial" w:cs="Arial"/>
          <w:sz w:val="22"/>
          <w:szCs w:val="22"/>
        </w:rPr>
      </w:pPr>
      <w:r w:rsidRPr="006D2B4C">
        <w:rPr>
          <w:rFonts w:ascii="Arial" w:hAnsi="Arial" w:cs="Arial"/>
          <w:sz w:val="22"/>
          <w:szCs w:val="22"/>
        </w:rPr>
        <w:t>R</w:t>
      </w:r>
      <w:r w:rsidR="002836DA">
        <w:rPr>
          <w:rFonts w:ascii="Arial" w:hAnsi="Arial" w:cs="Arial"/>
          <w:sz w:val="22"/>
          <w:szCs w:val="22"/>
        </w:rPr>
        <w:t>D</w:t>
      </w:r>
      <w:r w:rsidRPr="006D2B4C">
        <w:rPr>
          <w:rFonts w:ascii="Arial" w:hAnsi="Arial" w:cs="Arial"/>
          <w:sz w:val="22"/>
          <w:szCs w:val="22"/>
        </w:rPr>
        <w:t>B reports grants from AstraZeneca and Roche/Genentech outside the submitted work.</w:t>
      </w:r>
    </w:p>
    <w:p w14:paraId="4A8400A6" w14:textId="13D6E6FC" w:rsidR="006D2B4C" w:rsidRDefault="006D2B4C" w:rsidP="002C678B">
      <w:pPr>
        <w:jc w:val="both"/>
        <w:rPr>
          <w:rFonts w:ascii="Arial" w:hAnsi="Arial" w:cs="Arial"/>
          <w:sz w:val="22"/>
          <w:szCs w:val="22"/>
        </w:rPr>
      </w:pPr>
      <w:r w:rsidRPr="006D2B4C">
        <w:rPr>
          <w:rFonts w:ascii="Arial" w:hAnsi="Arial" w:cs="Arial"/>
          <w:sz w:val="22"/>
          <w:szCs w:val="22"/>
        </w:rPr>
        <w:lastRenderedPageBreak/>
        <w:t xml:space="preserve">RR reports personal fees from Novartis, Eli-Lilly and Pfizer, personal fees and non-financial support from Daiichi Sankyo and </w:t>
      </w:r>
      <w:r w:rsidR="00F047EA">
        <w:rPr>
          <w:rFonts w:ascii="Arial" w:hAnsi="Arial" w:cs="Arial"/>
          <w:sz w:val="22"/>
          <w:szCs w:val="22"/>
        </w:rPr>
        <w:t xml:space="preserve">G1Therapeutics and </w:t>
      </w:r>
      <w:r w:rsidRPr="006D2B4C">
        <w:rPr>
          <w:rFonts w:ascii="Arial" w:hAnsi="Arial" w:cs="Arial"/>
          <w:sz w:val="22"/>
          <w:szCs w:val="22"/>
        </w:rPr>
        <w:t>non-financi</w:t>
      </w:r>
      <w:r>
        <w:rPr>
          <w:rFonts w:ascii="Arial" w:hAnsi="Arial" w:cs="Arial"/>
          <w:sz w:val="22"/>
          <w:szCs w:val="22"/>
        </w:rPr>
        <w:t>al support from Roche and AstraZ</w:t>
      </w:r>
      <w:r w:rsidRPr="006D2B4C">
        <w:rPr>
          <w:rFonts w:ascii="Arial" w:hAnsi="Arial" w:cs="Arial"/>
          <w:sz w:val="22"/>
          <w:szCs w:val="22"/>
        </w:rPr>
        <w:t>eneca outside the submitted work.</w:t>
      </w:r>
    </w:p>
    <w:p w14:paraId="2F7E5317" w14:textId="43076155" w:rsidR="006D2B4C" w:rsidRPr="006D2B4C" w:rsidRDefault="006D2B4C" w:rsidP="002C678B">
      <w:pPr>
        <w:jc w:val="both"/>
        <w:rPr>
          <w:rFonts w:ascii="Arial" w:hAnsi="Arial" w:cs="Arial"/>
          <w:sz w:val="22"/>
          <w:szCs w:val="22"/>
        </w:rPr>
      </w:pPr>
      <w:r w:rsidRPr="006D2B4C">
        <w:rPr>
          <w:rFonts w:ascii="Arial" w:hAnsi="Arial" w:cs="Arial"/>
          <w:sz w:val="22"/>
          <w:szCs w:val="22"/>
        </w:rPr>
        <w:t>PS reports personal fees from Novartis, Eisai and Daiichi Sankyo outside the submitted work.</w:t>
      </w:r>
    </w:p>
    <w:p w14:paraId="3AB12026" w14:textId="0C80E1AB" w:rsidR="009A5886" w:rsidRPr="009A5886" w:rsidRDefault="009A5886" w:rsidP="002C678B">
      <w:pPr>
        <w:jc w:val="both"/>
        <w:rPr>
          <w:rFonts w:ascii="Arial" w:hAnsi="Arial" w:cs="Arial"/>
          <w:sz w:val="22"/>
          <w:szCs w:val="22"/>
        </w:rPr>
      </w:pPr>
      <w:r w:rsidRPr="009A5886">
        <w:rPr>
          <w:rFonts w:ascii="Arial" w:hAnsi="Arial" w:cs="Arial"/>
          <w:sz w:val="22"/>
          <w:szCs w:val="22"/>
        </w:rPr>
        <w:t>OO reports grants and personal fees from Pfizer and Eisai, personal fees from Roche/GNE and Tesaro, non-financial support from AstraZeneca, personal fees and non-financial support from Eli Lilly, grants from Novartis outside the submitted work.</w:t>
      </w:r>
    </w:p>
    <w:p w14:paraId="5CA95A48" w14:textId="7BD5231E" w:rsidR="00F03491" w:rsidRDefault="00F047EA" w:rsidP="002C678B">
      <w:pPr>
        <w:jc w:val="both"/>
        <w:rPr>
          <w:rFonts w:ascii="Arial" w:hAnsi="Arial" w:cs="Arial"/>
          <w:sz w:val="22"/>
          <w:szCs w:val="22"/>
        </w:rPr>
      </w:pPr>
      <w:r w:rsidRPr="00F047EA">
        <w:rPr>
          <w:rFonts w:ascii="Arial" w:hAnsi="Arial" w:cs="Arial"/>
          <w:sz w:val="22"/>
          <w:szCs w:val="22"/>
        </w:rPr>
        <w:t>MT reports personal fees from Pfizer, Novartis, Roche, Vaccitech, Oxford Vacmedix, Lilly, Astellas, Genomic Health and Esai, personal fees and non-financial support from Janssen, BMS, Ipsen and non-financial support from EUSA Pharma outside the submitted work.</w:t>
      </w:r>
    </w:p>
    <w:p w14:paraId="2BF610CC" w14:textId="51F270E2" w:rsidR="00DB3A51" w:rsidRPr="007D159E" w:rsidRDefault="00DB3A51" w:rsidP="002C678B">
      <w:pPr>
        <w:jc w:val="both"/>
        <w:rPr>
          <w:rFonts w:ascii="Arial" w:hAnsi="Arial" w:cs="Arial"/>
          <w:sz w:val="22"/>
          <w:szCs w:val="22"/>
        </w:rPr>
      </w:pPr>
      <w:r w:rsidRPr="007D159E">
        <w:rPr>
          <w:rFonts w:ascii="Arial" w:hAnsi="Arial" w:cs="Arial"/>
          <w:sz w:val="22"/>
          <w:szCs w:val="22"/>
        </w:rPr>
        <w:t>JA</w:t>
      </w:r>
      <w:r w:rsidR="007D159E" w:rsidRPr="007D159E">
        <w:rPr>
          <w:rFonts w:ascii="Arial" w:hAnsi="Arial" w:cs="Arial"/>
          <w:sz w:val="22"/>
          <w:szCs w:val="22"/>
        </w:rPr>
        <w:t xml:space="preserve"> reports </w:t>
      </w:r>
      <w:r w:rsidR="007D159E">
        <w:rPr>
          <w:rFonts w:ascii="Arial" w:hAnsi="Arial" w:cs="Arial"/>
          <w:sz w:val="22"/>
          <w:szCs w:val="22"/>
        </w:rPr>
        <w:t>grant and personal fees from</w:t>
      </w:r>
      <w:r w:rsidR="007D159E" w:rsidRPr="007D159E">
        <w:rPr>
          <w:rFonts w:ascii="Arial" w:hAnsi="Arial" w:cs="Arial"/>
          <w:sz w:val="22"/>
          <w:szCs w:val="22"/>
        </w:rPr>
        <w:t xml:space="preserve"> Eisai </w:t>
      </w:r>
      <w:r w:rsidR="007D159E">
        <w:rPr>
          <w:rFonts w:ascii="Arial" w:hAnsi="Arial" w:cs="Arial"/>
          <w:sz w:val="22"/>
          <w:szCs w:val="22"/>
        </w:rPr>
        <w:t>and personal fees from</w:t>
      </w:r>
      <w:r w:rsidR="007D159E" w:rsidRPr="007D159E">
        <w:rPr>
          <w:rFonts w:ascii="Arial" w:hAnsi="Arial" w:cs="Arial"/>
          <w:sz w:val="22"/>
          <w:szCs w:val="22"/>
        </w:rPr>
        <w:t xml:space="preserve"> Merck</w:t>
      </w:r>
      <w:r w:rsidR="007D159E">
        <w:rPr>
          <w:rFonts w:ascii="Arial" w:hAnsi="Arial" w:cs="Arial"/>
          <w:sz w:val="22"/>
          <w:szCs w:val="22"/>
        </w:rPr>
        <w:t xml:space="preserve"> </w:t>
      </w:r>
      <w:r w:rsidR="007D159E" w:rsidRPr="00F047EA">
        <w:rPr>
          <w:rFonts w:ascii="Arial" w:hAnsi="Arial" w:cs="Arial"/>
          <w:sz w:val="22"/>
          <w:szCs w:val="22"/>
        </w:rPr>
        <w:t>outside the submitted work</w:t>
      </w:r>
      <w:r w:rsidR="007D159E" w:rsidRPr="007D159E">
        <w:rPr>
          <w:rFonts w:ascii="Arial" w:hAnsi="Arial" w:cs="Arial"/>
          <w:sz w:val="22"/>
          <w:szCs w:val="22"/>
        </w:rPr>
        <w:t>.</w:t>
      </w:r>
    </w:p>
    <w:p w14:paraId="65816A8E" w14:textId="249D2219" w:rsidR="00F047EA" w:rsidRDefault="00F047EA" w:rsidP="002C678B">
      <w:pPr>
        <w:jc w:val="both"/>
        <w:rPr>
          <w:rFonts w:ascii="Arial" w:hAnsi="Arial" w:cs="Arial"/>
          <w:sz w:val="22"/>
          <w:szCs w:val="22"/>
        </w:rPr>
      </w:pPr>
      <w:r w:rsidRPr="0093530A">
        <w:rPr>
          <w:rFonts w:ascii="Arial" w:hAnsi="Arial" w:cs="Arial"/>
          <w:sz w:val="22"/>
          <w:szCs w:val="22"/>
        </w:rPr>
        <w:t xml:space="preserve">MCW reports personal fees and non-financial support from Easai, </w:t>
      </w:r>
      <w:r w:rsidR="0093530A" w:rsidRPr="0093530A">
        <w:rPr>
          <w:rFonts w:ascii="Arial" w:hAnsi="Arial" w:cs="Arial"/>
          <w:sz w:val="22"/>
          <w:szCs w:val="22"/>
        </w:rPr>
        <w:t xml:space="preserve">Lilly and Roche and </w:t>
      </w:r>
      <w:r w:rsidRPr="0093530A">
        <w:rPr>
          <w:rFonts w:ascii="Arial" w:hAnsi="Arial" w:cs="Arial"/>
          <w:sz w:val="22"/>
          <w:szCs w:val="22"/>
        </w:rPr>
        <w:t xml:space="preserve">personal fees from Pfizer, </w:t>
      </w:r>
      <w:r w:rsidR="0093530A" w:rsidRPr="0093530A">
        <w:rPr>
          <w:rFonts w:ascii="Arial" w:hAnsi="Arial" w:cs="Arial"/>
          <w:sz w:val="22"/>
          <w:szCs w:val="22"/>
        </w:rPr>
        <w:t xml:space="preserve">Genomic Health and Novartis </w:t>
      </w:r>
      <w:r w:rsidRPr="0093530A">
        <w:rPr>
          <w:rFonts w:ascii="Arial" w:hAnsi="Arial" w:cs="Arial"/>
          <w:sz w:val="22"/>
          <w:szCs w:val="22"/>
        </w:rPr>
        <w:t>outside the submitted wo</w:t>
      </w:r>
      <w:r w:rsidR="0093530A" w:rsidRPr="0093530A">
        <w:rPr>
          <w:rFonts w:ascii="Arial" w:hAnsi="Arial" w:cs="Arial"/>
          <w:sz w:val="22"/>
          <w:szCs w:val="22"/>
        </w:rPr>
        <w:t>rk</w:t>
      </w:r>
      <w:r w:rsidRPr="0093530A">
        <w:rPr>
          <w:rFonts w:ascii="Arial" w:hAnsi="Arial" w:cs="Arial"/>
          <w:sz w:val="22"/>
          <w:szCs w:val="22"/>
        </w:rPr>
        <w:t>.</w:t>
      </w:r>
    </w:p>
    <w:p w14:paraId="3B31E0F0" w14:textId="30D201AE" w:rsidR="00F46ECA" w:rsidRDefault="00F46ECA" w:rsidP="002C678B">
      <w:pPr>
        <w:jc w:val="both"/>
        <w:rPr>
          <w:rFonts w:ascii="Arial" w:hAnsi="Arial" w:cs="Arial"/>
          <w:sz w:val="22"/>
          <w:szCs w:val="22"/>
        </w:rPr>
      </w:pPr>
      <w:r>
        <w:rPr>
          <w:rFonts w:ascii="Arial" w:hAnsi="Arial" w:cs="Arial"/>
          <w:sz w:val="22"/>
          <w:szCs w:val="22"/>
        </w:rPr>
        <w:t>HB also reports personal fees from AstraZeneca outside of the submitted work.</w:t>
      </w:r>
    </w:p>
    <w:p w14:paraId="03974DCD" w14:textId="37708903" w:rsidR="00F46ECA" w:rsidRDefault="00F46ECA" w:rsidP="002C678B">
      <w:pPr>
        <w:jc w:val="both"/>
        <w:rPr>
          <w:rFonts w:ascii="Arial" w:hAnsi="Arial" w:cs="Arial"/>
          <w:sz w:val="22"/>
          <w:szCs w:val="22"/>
        </w:rPr>
      </w:pPr>
      <w:r w:rsidRPr="00F46ECA">
        <w:rPr>
          <w:rFonts w:ascii="Arial" w:hAnsi="Arial" w:cs="Arial"/>
          <w:sz w:val="22"/>
          <w:szCs w:val="22"/>
        </w:rPr>
        <w:t xml:space="preserve">MH also reports personal fees from Bristol Myers Squibb, Boehringer Ingelheim, </w:t>
      </w:r>
      <w:r>
        <w:rPr>
          <w:rFonts w:ascii="Arial" w:hAnsi="Arial" w:cs="Arial"/>
          <w:sz w:val="22"/>
          <w:szCs w:val="22"/>
        </w:rPr>
        <w:t>Roche Diagnostics</w:t>
      </w:r>
      <w:r w:rsidRPr="00F46ECA">
        <w:rPr>
          <w:rFonts w:ascii="Arial" w:hAnsi="Arial" w:cs="Arial"/>
          <w:sz w:val="22"/>
          <w:szCs w:val="22"/>
        </w:rPr>
        <w:t xml:space="preserve"> </w:t>
      </w:r>
      <w:r>
        <w:rPr>
          <w:rFonts w:ascii="Arial" w:hAnsi="Arial" w:cs="Arial"/>
          <w:sz w:val="22"/>
          <w:szCs w:val="22"/>
        </w:rPr>
        <w:t>and Eli Lill</w:t>
      </w:r>
      <w:r w:rsidRPr="00F46ECA">
        <w:rPr>
          <w:rFonts w:ascii="Arial" w:hAnsi="Arial" w:cs="Arial"/>
          <w:sz w:val="22"/>
          <w:szCs w:val="22"/>
        </w:rPr>
        <w:t>y during the conduct of the study.</w:t>
      </w:r>
    </w:p>
    <w:p w14:paraId="7345178C" w14:textId="58546B79" w:rsidR="00722661" w:rsidRPr="00533E1B" w:rsidRDefault="00722661" w:rsidP="002C678B">
      <w:pPr>
        <w:jc w:val="both"/>
        <w:rPr>
          <w:rFonts w:ascii="Arial" w:hAnsi="Arial" w:cs="Arial"/>
          <w:sz w:val="22"/>
          <w:szCs w:val="22"/>
        </w:rPr>
      </w:pPr>
      <w:r w:rsidRPr="00533E1B">
        <w:rPr>
          <w:rFonts w:ascii="Arial" w:hAnsi="Arial" w:cs="Arial"/>
          <w:sz w:val="22"/>
          <w:szCs w:val="22"/>
        </w:rPr>
        <w:t>DR reports personal fees from Novartis, Pfizer, Roche, Daiiachi- Sankyo, Lily and Genomic Health, non-financial support from Daiiachi- Sankyo and Easai, grants from Celgene, Roche, Biotheranostics and RNA Diagnostics  outside the submitted work.</w:t>
      </w:r>
    </w:p>
    <w:p w14:paraId="013162F4" w14:textId="77777777" w:rsidR="00EF0257" w:rsidRPr="00EF0257" w:rsidRDefault="00EF0257" w:rsidP="002C678B">
      <w:pPr>
        <w:jc w:val="both"/>
        <w:rPr>
          <w:rFonts w:ascii="Arial" w:hAnsi="Arial" w:cs="Arial"/>
          <w:iCs/>
          <w:sz w:val="22"/>
          <w:szCs w:val="22"/>
        </w:rPr>
      </w:pPr>
      <w:r w:rsidRPr="00EF0257">
        <w:rPr>
          <w:rFonts w:ascii="Arial" w:hAnsi="Arial" w:cs="Arial"/>
          <w:iCs/>
          <w:sz w:val="22"/>
          <w:szCs w:val="22"/>
        </w:rPr>
        <w:t>DC reports other support from Novartis, Astrazeneca, Pfizer, Roche, Eli-Lilly, PUMA, Daiichi Sankyo, Synthon, Seagen, Zymeworks, Elsevier, European Cancer Organisation, Celgene, Succint Medical Communications, Prima Biomed, Oncolytics Biotech (U.S) Inc, Celldex Therapeutics Inc, San Antonio Breast Cancer Consortium, Highfield Communication, Samsung Bioepis co Ltd, prIME Oncology, Merck Sharp Dohme Ltd, Prima BioMed Ltd, RTI Health Solutions, and Eisai, and grants from Cancer research UK, Chief Scientist's Office, breast cancer Institute, PFS Ltd , and HTA,  outside the submitted work</w:t>
      </w:r>
      <w:r w:rsidRPr="00EF0257">
        <w:rPr>
          <w:rFonts w:ascii="Arial" w:hAnsi="Arial" w:cs="Arial"/>
          <w:iCs/>
          <w:sz w:val="22"/>
          <w:szCs w:val="22"/>
        </w:rPr>
        <w:t>.</w:t>
      </w:r>
      <w:bookmarkStart w:id="0" w:name="_GoBack"/>
      <w:bookmarkEnd w:id="0"/>
    </w:p>
    <w:p w14:paraId="52FBCB44" w14:textId="5DF4536D" w:rsidR="00006F0E" w:rsidRDefault="00006F0E" w:rsidP="002C678B">
      <w:pPr>
        <w:jc w:val="both"/>
        <w:rPr>
          <w:rFonts w:ascii="Arial" w:hAnsi="Arial" w:cs="Arial"/>
          <w:sz w:val="22"/>
          <w:szCs w:val="22"/>
        </w:rPr>
      </w:pPr>
      <w:r>
        <w:rPr>
          <w:rFonts w:ascii="Arial" w:hAnsi="Arial" w:cs="Arial"/>
          <w:sz w:val="22"/>
          <w:szCs w:val="22"/>
        </w:rPr>
        <w:t>AS</w:t>
      </w:r>
      <w:r w:rsidRPr="00006F0E">
        <w:rPr>
          <w:rFonts w:ascii="Arial" w:hAnsi="Arial" w:cs="Arial"/>
          <w:sz w:val="22"/>
          <w:szCs w:val="22"/>
        </w:rPr>
        <w:t xml:space="preserve"> reports grants from Ventana Roche</w:t>
      </w:r>
      <w:r>
        <w:rPr>
          <w:rFonts w:ascii="Arial" w:hAnsi="Arial" w:cs="Arial"/>
          <w:sz w:val="22"/>
          <w:szCs w:val="22"/>
        </w:rPr>
        <w:t xml:space="preserve"> and </w:t>
      </w:r>
      <w:r w:rsidRPr="00006F0E">
        <w:rPr>
          <w:rFonts w:ascii="Arial" w:hAnsi="Arial" w:cs="Arial"/>
          <w:sz w:val="22"/>
          <w:szCs w:val="22"/>
        </w:rPr>
        <w:t xml:space="preserve">Genomic Heath, personal fees </w:t>
      </w:r>
      <w:r>
        <w:rPr>
          <w:rFonts w:ascii="Arial" w:hAnsi="Arial" w:cs="Arial"/>
          <w:sz w:val="22"/>
          <w:szCs w:val="22"/>
        </w:rPr>
        <w:t>from Daiichi Sankyo</w:t>
      </w:r>
      <w:r w:rsidRPr="00006F0E">
        <w:rPr>
          <w:rFonts w:ascii="Arial" w:hAnsi="Arial" w:cs="Arial"/>
          <w:sz w:val="22"/>
          <w:szCs w:val="22"/>
        </w:rPr>
        <w:t xml:space="preserve">, </w:t>
      </w:r>
      <w:r>
        <w:rPr>
          <w:rFonts w:ascii="Arial" w:hAnsi="Arial" w:cs="Arial"/>
          <w:sz w:val="22"/>
          <w:szCs w:val="22"/>
        </w:rPr>
        <w:t>Hologic, Genomic Health</w:t>
      </w:r>
      <w:r w:rsidRPr="00006F0E">
        <w:rPr>
          <w:rFonts w:ascii="Arial" w:hAnsi="Arial" w:cs="Arial"/>
          <w:sz w:val="22"/>
          <w:szCs w:val="22"/>
        </w:rPr>
        <w:t xml:space="preserve"> </w:t>
      </w:r>
      <w:r>
        <w:rPr>
          <w:rFonts w:ascii="Arial" w:hAnsi="Arial" w:cs="Arial"/>
          <w:sz w:val="22"/>
          <w:szCs w:val="22"/>
        </w:rPr>
        <w:t>and Ventana Roche</w:t>
      </w:r>
      <w:r w:rsidRPr="00006F0E">
        <w:rPr>
          <w:rFonts w:ascii="Arial" w:hAnsi="Arial" w:cs="Arial"/>
          <w:sz w:val="22"/>
          <w:szCs w:val="22"/>
        </w:rPr>
        <w:t xml:space="preserve"> outside the submitted work</w:t>
      </w:r>
      <w:r>
        <w:rPr>
          <w:rFonts w:ascii="Arial" w:hAnsi="Arial" w:cs="Arial"/>
          <w:sz w:val="22"/>
          <w:szCs w:val="22"/>
        </w:rPr>
        <w:t>.</w:t>
      </w:r>
    </w:p>
    <w:p w14:paraId="17FB4F76" w14:textId="222E9287" w:rsidR="00006F0E" w:rsidRPr="00DB3A51" w:rsidRDefault="00006F0E" w:rsidP="002C678B">
      <w:pPr>
        <w:jc w:val="both"/>
        <w:rPr>
          <w:rFonts w:ascii="Arial" w:hAnsi="Arial" w:cs="Arial"/>
          <w:sz w:val="22"/>
          <w:szCs w:val="22"/>
        </w:rPr>
      </w:pPr>
      <w:r w:rsidRPr="00DB3A51">
        <w:rPr>
          <w:rFonts w:ascii="Arial" w:hAnsi="Arial" w:cs="Arial"/>
          <w:sz w:val="22"/>
          <w:szCs w:val="22"/>
        </w:rPr>
        <w:t>JMB</w:t>
      </w:r>
      <w:r w:rsidR="00FF1808" w:rsidRPr="00DB3A51">
        <w:rPr>
          <w:rFonts w:ascii="Arial" w:hAnsi="Arial" w:cs="Arial"/>
          <w:sz w:val="22"/>
          <w:szCs w:val="22"/>
        </w:rPr>
        <w:t xml:space="preserve"> also reports grants and n</w:t>
      </w:r>
      <w:r w:rsidR="00DB3A51">
        <w:rPr>
          <w:rFonts w:ascii="Arial" w:hAnsi="Arial" w:cs="Arial"/>
          <w:sz w:val="22"/>
          <w:szCs w:val="22"/>
        </w:rPr>
        <w:t>on-financial support from Astra</w:t>
      </w:r>
      <w:r w:rsidR="00FF1808" w:rsidRPr="00DB3A51">
        <w:rPr>
          <w:rFonts w:ascii="Arial" w:hAnsi="Arial" w:cs="Arial"/>
          <w:sz w:val="22"/>
          <w:szCs w:val="22"/>
        </w:rPr>
        <w:t xml:space="preserve">Zeneca, Novartis, Janssen-Cilag, </w:t>
      </w:r>
      <w:r w:rsidR="00BD1DD1">
        <w:rPr>
          <w:rFonts w:ascii="Arial" w:hAnsi="Arial" w:cs="Arial"/>
          <w:sz w:val="22"/>
          <w:szCs w:val="22"/>
        </w:rPr>
        <w:t>Merck Sharpe &amp; Dohme</w:t>
      </w:r>
      <w:r w:rsidR="00FF1808" w:rsidRPr="00DB3A51">
        <w:rPr>
          <w:rFonts w:ascii="Arial" w:hAnsi="Arial" w:cs="Arial"/>
          <w:sz w:val="22"/>
          <w:szCs w:val="22"/>
        </w:rPr>
        <w:t xml:space="preserve">, Pfizer, Roche, </w:t>
      </w:r>
      <w:r w:rsidR="00DB3A51">
        <w:rPr>
          <w:rFonts w:ascii="Arial" w:hAnsi="Arial" w:cs="Arial"/>
          <w:sz w:val="22"/>
          <w:szCs w:val="22"/>
        </w:rPr>
        <w:t xml:space="preserve">and </w:t>
      </w:r>
      <w:r w:rsidR="00FF1808" w:rsidRPr="00DB3A51">
        <w:rPr>
          <w:rFonts w:ascii="Arial" w:hAnsi="Arial" w:cs="Arial"/>
          <w:sz w:val="22"/>
          <w:szCs w:val="22"/>
        </w:rPr>
        <w:t xml:space="preserve">Clovis Oncology and grants from Medivation </w:t>
      </w:r>
      <w:r w:rsidR="00DB3A51">
        <w:rPr>
          <w:rFonts w:ascii="Arial" w:hAnsi="Arial" w:cs="Arial"/>
          <w:sz w:val="22"/>
          <w:szCs w:val="22"/>
        </w:rPr>
        <w:t>outside the submitted work</w:t>
      </w:r>
      <w:r w:rsidR="00FF1808" w:rsidRPr="00DB3A51">
        <w:rPr>
          <w:rFonts w:ascii="Arial" w:hAnsi="Arial" w:cs="Arial"/>
          <w:sz w:val="22"/>
          <w:szCs w:val="22"/>
        </w:rPr>
        <w:t>.</w:t>
      </w:r>
    </w:p>
    <w:p w14:paraId="1F01D6E0" w14:textId="5280B6AA" w:rsidR="00F46ECA" w:rsidRPr="0093530A" w:rsidRDefault="00006F0E" w:rsidP="002C678B">
      <w:pPr>
        <w:jc w:val="both"/>
        <w:rPr>
          <w:rFonts w:ascii="Arial" w:hAnsi="Arial" w:cs="Arial"/>
          <w:sz w:val="22"/>
          <w:szCs w:val="22"/>
        </w:rPr>
      </w:pPr>
      <w:r w:rsidRPr="00DB3A51">
        <w:rPr>
          <w:rFonts w:ascii="Arial" w:hAnsi="Arial" w:cs="Arial"/>
          <w:sz w:val="22"/>
          <w:szCs w:val="22"/>
        </w:rPr>
        <w:lastRenderedPageBreak/>
        <w:t>AR</w:t>
      </w:r>
      <w:r w:rsidR="00DB3A51" w:rsidRPr="00DB3A51">
        <w:rPr>
          <w:rFonts w:ascii="Arial" w:hAnsi="Arial" w:cs="Arial"/>
          <w:sz w:val="22"/>
          <w:szCs w:val="22"/>
        </w:rPr>
        <w:t xml:space="preserve"> also reports personal fees from Roche Products Limited, Pfizer, Novartis, Lilly</w:t>
      </w:r>
      <w:r w:rsidR="00DB3A51">
        <w:rPr>
          <w:rFonts w:ascii="Arial" w:hAnsi="Arial" w:cs="Arial"/>
          <w:sz w:val="22"/>
          <w:szCs w:val="22"/>
        </w:rPr>
        <w:t xml:space="preserve"> and MSD outside the submitted work.</w:t>
      </w:r>
    </w:p>
    <w:p w14:paraId="434ABD66" w14:textId="41399635" w:rsidR="00332B9C" w:rsidRPr="00F047EA" w:rsidRDefault="00533229" w:rsidP="004B43C4">
      <w:pPr>
        <w:jc w:val="both"/>
        <w:rPr>
          <w:rFonts w:ascii="Arial" w:hAnsi="Arial" w:cs="Arial"/>
          <w:sz w:val="22"/>
          <w:szCs w:val="22"/>
          <w:lang w:val="en"/>
        </w:rPr>
      </w:pPr>
      <w:r w:rsidRPr="00F047EA">
        <w:rPr>
          <w:rFonts w:ascii="Arial" w:hAnsi="Arial" w:cs="Arial"/>
          <w:sz w:val="22"/>
          <w:szCs w:val="22"/>
          <w:lang w:val="en"/>
        </w:rPr>
        <w:t>J</w:t>
      </w:r>
      <w:r w:rsidR="009A5886">
        <w:rPr>
          <w:rFonts w:ascii="Arial" w:hAnsi="Arial" w:cs="Arial"/>
          <w:sz w:val="22"/>
          <w:szCs w:val="22"/>
          <w:lang w:val="en"/>
        </w:rPr>
        <w:t>P</w:t>
      </w:r>
      <w:r w:rsidRPr="00F047EA">
        <w:rPr>
          <w:rFonts w:ascii="Arial" w:hAnsi="Arial" w:cs="Arial"/>
          <w:sz w:val="22"/>
          <w:szCs w:val="22"/>
          <w:lang w:val="en"/>
        </w:rPr>
        <w:t>B</w:t>
      </w:r>
      <w:r w:rsidR="00006F0E">
        <w:rPr>
          <w:rFonts w:ascii="Arial" w:hAnsi="Arial" w:cs="Arial"/>
          <w:sz w:val="22"/>
          <w:szCs w:val="22"/>
          <w:lang w:val="en"/>
        </w:rPr>
        <w:t xml:space="preserve">, HG, </w:t>
      </w:r>
      <w:r w:rsidR="00790034">
        <w:rPr>
          <w:rFonts w:ascii="Arial" w:hAnsi="Arial" w:cs="Arial"/>
          <w:sz w:val="22"/>
          <w:szCs w:val="22"/>
          <w:lang w:val="en"/>
        </w:rPr>
        <w:t xml:space="preserve">DR, DC and </w:t>
      </w:r>
      <w:r w:rsidR="00006F0E">
        <w:rPr>
          <w:rFonts w:ascii="Arial" w:hAnsi="Arial" w:cs="Arial"/>
          <w:sz w:val="22"/>
          <w:szCs w:val="22"/>
          <w:lang w:val="en"/>
        </w:rPr>
        <w:t>KR have</w:t>
      </w:r>
      <w:r w:rsidR="002C678B" w:rsidRPr="00F047EA">
        <w:rPr>
          <w:rFonts w:ascii="Arial" w:hAnsi="Arial" w:cs="Arial"/>
          <w:sz w:val="22"/>
          <w:szCs w:val="22"/>
          <w:lang w:val="en"/>
        </w:rPr>
        <w:t xml:space="preserve"> nothing to disclose.</w:t>
      </w:r>
    </w:p>
    <w:p w14:paraId="66C0F928" w14:textId="77777777" w:rsidR="002C678B" w:rsidRPr="002C678B" w:rsidRDefault="002C678B" w:rsidP="004B43C4">
      <w:pPr>
        <w:jc w:val="both"/>
        <w:rPr>
          <w:rFonts w:cs="Arial"/>
          <w:lang w:val="en"/>
        </w:rPr>
      </w:pPr>
    </w:p>
    <w:p w14:paraId="3AB6011E" w14:textId="77777777" w:rsidR="0059232C" w:rsidRPr="0059232C" w:rsidRDefault="0059232C" w:rsidP="0059232C">
      <w:pPr>
        <w:jc w:val="both"/>
        <w:rPr>
          <w:rFonts w:ascii="Arial" w:hAnsi="Arial" w:cs="Arial"/>
          <w:sz w:val="22"/>
          <w:szCs w:val="22"/>
        </w:rPr>
      </w:pPr>
      <w:r w:rsidRPr="0059232C">
        <w:rPr>
          <w:rFonts w:ascii="Arial" w:hAnsi="Arial" w:cs="Arial"/>
          <w:b/>
          <w:bCs/>
          <w:sz w:val="22"/>
          <w:szCs w:val="22"/>
        </w:rPr>
        <w:t xml:space="preserve">Data sharing </w:t>
      </w:r>
    </w:p>
    <w:p w14:paraId="0D01B79D" w14:textId="4475BC78" w:rsidR="00D93F40" w:rsidRDefault="006D080E" w:rsidP="000831D3">
      <w:pPr>
        <w:jc w:val="both"/>
        <w:rPr>
          <w:rFonts w:ascii="Arial" w:hAnsi="Arial" w:cs="Arial"/>
          <w:sz w:val="22"/>
          <w:szCs w:val="22"/>
        </w:rPr>
      </w:pPr>
      <w:r w:rsidRPr="0095668A">
        <w:rPr>
          <w:rFonts w:ascii="Arial" w:hAnsi="Arial" w:cs="Arial"/>
          <w:sz w:val="22"/>
          <w:szCs w:val="22"/>
        </w:rPr>
        <w:t>De-identified individual participant data, together with a data dictionary defining each field in the set, will be made available to other researchers on request</w:t>
      </w:r>
      <w:r w:rsidR="00F809E3">
        <w:rPr>
          <w:rFonts w:ascii="Arial" w:hAnsi="Arial" w:cs="Arial"/>
          <w:sz w:val="22"/>
          <w:szCs w:val="22"/>
        </w:rPr>
        <w:t>, subject to the approval of a formal data access request in accordance with the ICR-CTSU data and sample access policy</w:t>
      </w:r>
      <w:r w:rsidRPr="0095668A">
        <w:rPr>
          <w:rFonts w:ascii="Arial" w:hAnsi="Arial" w:cs="Arial"/>
          <w:sz w:val="22"/>
          <w:szCs w:val="22"/>
        </w:rPr>
        <w:t>. Trial documentation including the protocol are availabl</w:t>
      </w:r>
      <w:r w:rsidR="00C72E83">
        <w:rPr>
          <w:rFonts w:ascii="Arial" w:hAnsi="Arial" w:cs="Arial"/>
          <w:sz w:val="22"/>
          <w:szCs w:val="22"/>
        </w:rPr>
        <w:t>e</w:t>
      </w:r>
      <w:r w:rsidR="0095668A" w:rsidRPr="0095668A">
        <w:rPr>
          <w:rFonts w:ascii="Arial" w:hAnsi="Arial" w:cs="Arial"/>
          <w:sz w:val="22"/>
          <w:szCs w:val="22"/>
        </w:rPr>
        <w:t xml:space="preserve"> on request</w:t>
      </w:r>
      <w:r w:rsidR="00C72E83">
        <w:rPr>
          <w:rFonts w:ascii="Arial" w:hAnsi="Arial" w:cs="Arial"/>
          <w:sz w:val="22"/>
          <w:szCs w:val="22"/>
        </w:rPr>
        <w:t xml:space="preserve"> by contacting </w:t>
      </w:r>
      <w:hyperlink r:id="rId9" w:history="1">
        <w:r w:rsidR="00D93F40" w:rsidRPr="001B18DB">
          <w:rPr>
            <w:rStyle w:val="Hyperlink"/>
            <w:rFonts w:ascii="Arial" w:hAnsi="Arial" w:cs="Arial"/>
            <w:sz w:val="22"/>
            <w:szCs w:val="22"/>
          </w:rPr>
          <w:t>plasmamatch-icrctsu@icr.ac.uk</w:t>
        </w:r>
      </w:hyperlink>
      <w:r w:rsidR="0095668A" w:rsidRPr="0095668A">
        <w:rPr>
          <w:rFonts w:ascii="Arial" w:hAnsi="Arial" w:cs="Arial"/>
          <w:sz w:val="22"/>
          <w:szCs w:val="22"/>
        </w:rPr>
        <w:t>.</w:t>
      </w:r>
      <w:r w:rsidR="00D93F40">
        <w:rPr>
          <w:rFonts w:ascii="Arial" w:hAnsi="Arial" w:cs="Arial"/>
          <w:sz w:val="22"/>
          <w:szCs w:val="22"/>
        </w:rPr>
        <w:t xml:space="preserve"> </w:t>
      </w:r>
    </w:p>
    <w:p w14:paraId="2AA7A729" w14:textId="0BC12DAB" w:rsidR="00D93F40" w:rsidRDefault="000831D3" w:rsidP="000831D3">
      <w:pPr>
        <w:jc w:val="both"/>
        <w:rPr>
          <w:rFonts w:ascii="Arial" w:hAnsi="Arial" w:cs="Arial"/>
          <w:sz w:val="22"/>
          <w:szCs w:val="22"/>
        </w:rPr>
      </w:pPr>
      <w:r w:rsidRPr="005178CE">
        <w:rPr>
          <w:rFonts w:ascii="Arial" w:hAnsi="Arial" w:cs="Arial"/>
          <w:sz w:val="22"/>
          <w:lang w:val="en-US"/>
        </w:rPr>
        <w:t>The ICR-CTSU supports the wider dissemination of information from the research it conducts, and increased cooperation between investigators. Trial data is collected, managed, stored, shared and archived according to ICR-CTSU Standard Operating Procedures to ensure the enduring quality, integrity and utility of the data. Formal requests for data sharing are considered in line with ICR-CTSU procedures</w:t>
      </w:r>
      <w:r w:rsidR="006D080E">
        <w:rPr>
          <w:rFonts w:ascii="Arial" w:hAnsi="Arial" w:cs="Arial"/>
          <w:sz w:val="22"/>
          <w:lang w:val="en-US"/>
        </w:rPr>
        <w:t>,</w:t>
      </w:r>
      <w:r w:rsidRPr="005178CE">
        <w:rPr>
          <w:rFonts w:ascii="Arial" w:hAnsi="Arial" w:cs="Arial"/>
          <w:sz w:val="22"/>
          <w:lang w:val="en-US"/>
        </w:rPr>
        <w:t xml:space="preserve"> with due regard given to funder and sponsor guidelines. Requests are via a standard proforma describing the nature of the proposed research and extent of data requirements.</w:t>
      </w:r>
    </w:p>
    <w:p w14:paraId="0CF2BB2C" w14:textId="2769BEF5" w:rsidR="00D01FB6" w:rsidRDefault="000831D3" w:rsidP="000831D3">
      <w:pPr>
        <w:jc w:val="both"/>
        <w:rPr>
          <w:rFonts w:ascii="Arial" w:hAnsi="Arial" w:cs="Arial"/>
          <w:sz w:val="22"/>
          <w:lang w:val="en-US"/>
        </w:rPr>
      </w:pPr>
      <w:r w:rsidRPr="005178CE">
        <w:rPr>
          <w:rFonts w:ascii="Arial" w:hAnsi="Arial" w:cs="Arial"/>
          <w:sz w:val="22"/>
          <w:lang w:val="en-US"/>
        </w:rPr>
        <w:t>Data recipients are required to enter a formal data sharing agreement</w:t>
      </w:r>
      <w:r w:rsidR="006D080E">
        <w:rPr>
          <w:rFonts w:ascii="Arial" w:hAnsi="Arial" w:cs="Arial"/>
          <w:sz w:val="22"/>
          <w:lang w:val="en-US"/>
        </w:rPr>
        <w:t>,</w:t>
      </w:r>
      <w:r w:rsidRPr="005178CE">
        <w:rPr>
          <w:rFonts w:ascii="Arial" w:hAnsi="Arial" w:cs="Arial"/>
          <w:sz w:val="22"/>
          <w:lang w:val="en-US"/>
        </w:rPr>
        <w:t xml:space="preserve"> which describes the conditions for release and requirements for data transfer, storage, archiving, publication and Intellectual Property. Requests are reviewed by the Trial Management Group (TMG) in terms of scientific merit and ethical considerations including patient consent. Data sharing is undertaken if proposed projects have a sound scientific or patient benefit rationale</w:t>
      </w:r>
      <w:r w:rsidR="006D080E">
        <w:rPr>
          <w:rFonts w:ascii="Arial" w:hAnsi="Arial" w:cs="Arial"/>
          <w:sz w:val="22"/>
          <w:lang w:val="en-US"/>
        </w:rPr>
        <w:t>,</w:t>
      </w:r>
      <w:r w:rsidRPr="005178CE">
        <w:rPr>
          <w:rFonts w:ascii="Arial" w:hAnsi="Arial" w:cs="Arial"/>
          <w:sz w:val="22"/>
          <w:lang w:val="en-US"/>
        </w:rPr>
        <w:t xml:space="preserve"> as agreed by the TMG and approved by the </w:t>
      </w:r>
      <w:r w:rsidR="00D01FB6">
        <w:rPr>
          <w:rFonts w:ascii="Arial" w:hAnsi="Arial" w:cs="Arial"/>
          <w:sz w:val="22"/>
          <w:lang w:val="en-US"/>
        </w:rPr>
        <w:t>Trial</w:t>
      </w:r>
      <w:r w:rsidRPr="005178CE">
        <w:rPr>
          <w:rFonts w:ascii="Arial" w:hAnsi="Arial" w:cs="Arial"/>
          <w:sz w:val="22"/>
          <w:lang w:val="en-US"/>
        </w:rPr>
        <w:t xml:space="preserve"> Steering Committee</w:t>
      </w:r>
      <w:r w:rsidR="00ED0579">
        <w:rPr>
          <w:rFonts w:ascii="Arial" w:hAnsi="Arial" w:cs="Arial"/>
          <w:sz w:val="22"/>
          <w:lang w:val="en-US"/>
        </w:rPr>
        <w:t>,</w:t>
      </w:r>
      <w:r w:rsidRPr="005178CE">
        <w:rPr>
          <w:rFonts w:ascii="Arial" w:hAnsi="Arial" w:cs="Arial"/>
          <w:sz w:val="22"/>
          <w:lang w:val="en-US"/>
        </w:rPr>
        <w:t xml:space="preserve"> as required. </w:t>
      </w:r>
    </w:p>
    <w:p w14:paraId="344FE76B" w14:textId="1ECF7BB9" w:rsidR="000831D3" w:rsidRPr="00D93F40" w:rsidRDefault="000831D3" w:rsidP="000831D3">
      <w:pPr>
        <w:jc w:val="both"/>
        <w:rPr>
          <w:rFonts w:ascii="Arial" w:hAnsi="Arial" w:cs="Arial"/>
          <w:sz w:val="22"/>
          <w:szCs w:val="22"/>
        </w:rPr>
      </w:pPr>
      <w:r w:rsidRPr="005178CE">
        <w:rPr>
          <w:rFonts w:ascii="Arial" w:hAnsi="Arial" w:cs="Arial"/>
          <w:sz w:val="22"/>
          <w:lang w:val="en-US"/>
        </w:rPr>
        <w:t>Restrictions relating to patient confidentiality and consent will be limited by aggregating and anonymi</w:t>
      </w:r>
      <w:r w:rsidR="00D01FB6">
        <w:rPr>
          <w:rFonts w:ascii="Arial" w:hAnsi="Arial" w:cs="Arial"/>
          <w:sz w:val="22"/>
          <w:lang w:val="en-US"/>
        </w:rPr>
        <w:t>s</w:t>
      </w:r>
      <w:r w:rsidRPr="005178CE">
        <w:rPr>
          <w:rFonts w:ascii="Arial" w:hAnsi="Arial" w:cs="Arial"/>
          <w:sz w:val="22"/>
          <w:lang w:val="en-US"/>
        </w:rPr>
        <w:t xml:space="preserve">ing identifiable patient data. Additionally, all indirect identifiers that may lead to deductive </w:t>
      </w:r>
      <w:r w:rsidRPr="00D01FB6">
        <w:rPr>
          <w:rFonts w:ascii="Arial" w:hAnsi="Arial" w:cs="Arial"/>
          <w:sz w:val="22"/>
          <w:szCs w:val="22"/>
          <w:lang w:val="en-US"/>
        </w:rPr>
        <w:t>disclosures will be removed in line with Cancer Research UK Data Sharing Guidelines.</w:t>
      </w:r>
      <w:r w:rsidR="00D01FB6" w:rsidRPr="00D01FB6">
        <w:rPr>
          <w:rFonts w:ascii="Arial" w:hAnsi="Arial" w:cs="Arial"/>
          <w:sz w:val="22"/>
          <w:szCs w:val="22"/>
          <w:lang w:val="en-US"/>
        </w:rPr>
        <w:t xml:space="preserve"> </w:t>
      </w:r>
      <w:r w:rsidR="00D01FB6" w:rsidRPr="00D01FB6">
        <w:rPr>
          <w:rFonts w:ascii="Arial" w:hAnsi="Arial" w:cs="Arial"/>
          <w:bCs/>
          <w:sz w:val="22"/>
          <w:szCs w:val="22"/>
        </w:rPr>
        <w:t>Additional documents may be shared if approved by the TMG and Trial Steering Committee, e.g. statistical analysis plan and informed consent form.</w:t>
      </w:r>
    </w:p>
    <w:p w14:paraId="76D73AFF" w14:textId="39FF41B9" w:rsidR="0059232C" w:rsidRDefault="0059232C" w:rsidP="004B43C4">
      <w:pPr>
        <w:jc w:val="both"/>
        <w:rPr>
          <w:rFonts w:ascii="Arial" w:hAnsi="Arial" w:cs="Arial"/>
          <w:sz w:val="22"/>
          <w:szCs w:val="22"/>
          <w:lang w:val="en-US"/>
        </w:rPr>
      </w:pPr>
    </w:p>
    <w:p w14:paraId="10891E11" w14:textId="00E340F4" w:rsidR="0059232C" w:rsidRDefault="0059232C" w:rsidP="004B43C4">
      <w:pPr>
        <w:jc w:val="both"/>
        <w:rPr>
          <w:rFonts w:ascii="Arial" w:hAnsi="Arial" w:cs="Arial"/>
          <w:sz w:val="22"/>
          <w:szCs w:val="22"/>
          <w:lang w:val="en-US"/>
        </w:rPr>
      </w:pPr>
    </w:p>
    <w:p w14:paraId="293F8A0A" w14:textId="53440F56" w:rsidR="009C38BA" w:rsidRDefault="009C38BA" w:rsidP="004B43C4">
      <w:pPr>
        <w:jc w:val="both"/>
        <w:rPr>
          <w:rFonts w:ascii="Arial" w:hAnsi="Arial" w:cs="Arial"/>
          <w:sz w:val="22"/>
          <w:szCs w:val="22"/>
          <w:lang w:val="en-US"/>
        </w:rPr>
      </w:pPr>
    </w:p>
    <w:p w14:paraId="363D280A" w14:textId="4A337023" w:rsidR="00A465D8" w:rsidRPr="006F309A" w:rsidRDefault="00CC0CFD" w:rsidP="00921A9E">
      <w:pPr>
        <w:spacing w:after="0" w:line="240" w:lineRule="auto"/>
        <w:jc w:val="both"/>
        <w:rPr>
          <w:rFonts w:ascii="Arial" w:hAnsi="Arial"/>
          <w:b/>
          <w:sz w:val="22"/>
          <w:lang w:val="fr-FR"/>
        </w:rPr>
      </w:pPr>
      <w:r w:rsidRPr="00004C7E">
        <w:rPr>
          <w:rFonts w:ascii="Arial" w:hAnsi="Arial"/>
          <w:b/>
          <w:sz w:val="22"/>
          <w:lang w:val="fr-FR"/>
        </w:rPr>
        <w:t>References</w:t>
      </w:r>
    </w:p>
    <w:p w14:paraId="28A406E9" w14:textId="18CA1CF6" w:rsidR="00CC0CFD" w:rsidRPr="008C7FCA" w:rsidRDefault="00CC0CFD" w:rsidP="00DC62D1">
      <w:pPr>
        <w:spacing w:after="0" w:line="240" w:lineRule="auto"/>
        <w:jc w:val="both"/>
        <w:rPr>
          <w:rFonts w:ascii="Arial" w:hAnsi="Arial" w:cs="Arial"/>
          <w:sz w:val="22"/>
          <w:szCs w:val="22"/>
          <w:lang w:val="en-US"/>
        </w:rPr>
      </w:pPr>
    </w:p>
    <w:p w14:paraId="5BDA7411" w14:textId="77777777" w:rsidR="00EA3C83" w:rsidRPr="0055484D" w:rsidRDefault="00EA3C83" w:rsidP="00DC62D1">
      <w:pPr>
        <w:spacing w:after="0" w:line="240" w:lineRule="auto"/>
        <w:jc w:val="both"/>
        <w:rPr>
          <w:rFonts w:ascii="Arial" w:hAnsi="Arial" w:cs="Arial"/>
          <w:sz w:val="22"/>
          <w:szCs w:val="22"/>
          <w:lang w:val="en-US"/>
        </w:rPr>
      </w:pPr>
      <w:r w:rsidRPr="0055484D">
        <w:rPr>
          <w:rFonts w:ascii="Arial" w:hAnsi="Arial" w:cs="Arial"/>
          <w:sz w:val="22"/>
          <w:szCs w:val="22"/>
          <w:lang w:val="en-US"/>
        </w:rPr>
        <w:lastRenderedPageBreak/>
        <w:t>1.</w:t>
      </w:r>
      <w:r w:rsidRPr="0055484D">
        <w:rPr>
          <w:rFonts w:ascii="Arial" w:hAnsi="Arial" w:cs="Arial"/>
          <w:sz w:val="22"/>
          <w:szCs w:val="22"/>
          <w:lang w:val="en-US"/>
        </w:rPr>
        <w:tab/>
        <w:t>Andre F, Ciruelos E, Rubovszky G, et al. Alpelisib for PIK3CA-Mutated, Hormone Receptor-Positive Advanced Breast Cancer. N Engl J Med 2019; 380(20): 1929-40.</w:t>
      </w:r>
    </w:p>
    <w:p w14:paraId="66A3883C" w14:textId="77777777" w:rsidR="00EA3C83" w:rsidRPr="0055484D" w:rsidRDefault="00EA3C83" w:rsidP="00DC62D1">
      <w:pPr>
        <w:spacing w:after="0" w:line="240" w:lineRule="auto"/>
        <w:jc w:val="both"/>
        <w:rPr>
          <w:rFonts w:ascii="Arial" w:hAnsi="Arial" w:cs="Arial"/>
          <w:sz w:val="22"/>
          <w:szCs w:val="22"/>
          <w:lang w:val="en-US"/>
        </w:rPr>
      </w:pPr>
      <w:r w:rsidRPr="0055484D">
        <w:rPr>
          <w:rFonts w:ascii="Arial" w:hAnsi="Arial" w:cs="Arial"/>
          <w:sz w:val="22"/>
          <w:szCs w:val="22"/>
          <w:lang w:val="en-US"/>
        </w:rPr>
        <w:t>2.</w:t>
      </w:r>
      <w:r w:rsidRPr="0055484D">
        <w:rPr>
          <w:rFonts w:ascii="Arial" w:hAnsi="Arial" w:cs="Arial"/>
          <w:sz w:val="22"/>
          <w:szCs w:val="22"/>
          <w:lang w:val="en-US"/>
        </w:rPr>
        <w:tab/>
        <w:t>Bertucci F, Ng CKY, Patsouris A, et al. Genomic characterization of metastatic breast cancers. Nature 2019; 569(7757): 560-4.</w:t>
      </w:r>
    </w:p>
    <w:p w14:paraId="2AAE482E" w14:textId="77777777" w:rsidR="00EA3C83" w:rsidRPr="0055484D" w:rsidRDefault="00EA3C83" w:rsidP="00DC62D1">
      <w:pPr>
        <w:spacing w:after="0" w:line="240" w:lineRule="auto"/>
        <w:jc w:val="both"/>
        <w:rPr>
          <w:rFonts w:ascii="Arial" w:hAnsi="Arial" w:cs="Arial"/>
          <w:sz w:val="22"/>
          <w:szCs w:val="22"/>
          <w:lang w:val="en-US"/>
        </w:rPr>
      </w:pPr>
      <w:r w:rsidRPr="0055484D">
        <w:rPr>
          <w:rFonts w:ascii="Arial" w:hAnsi="Arial" w:cs="Arial"/>
          <w:sz w:val="22"/>
          <w:szCs w:val="22"/>
          <w:lang w:val="en-US"/>
        </w:rPr>
        <w:t>3.</w:t>
      </w:r>
      <w:r w:rsidRPr="0055484D">
        <w:rPr>
          <w:rFonts w:ascii="Arial" w:hAnsi="Arial" w:cs="Arial"/>
          <w:sz w:val="22"/>
          <w:szCs w:val="22"/>
          <w:lang w:val="en-US"/>
        </w:rPr>
        <w:tab/>
        <w:t>Razavi P, Chang MT, Xu G, et al. The Genomic Landscape of Endocrine-Resistant Advanced Breast Cancers. Cancer Cell 2018; 34(3): 427-38 e6.</w:t>
      </w:r>
    </w:p>
    <w:p w14:paraId="7B13D324" w14:textId="77777777" w:rsidR="00EA3C83" w:rsidRPr="0055484D" w:rsidRDefault="00EA3C83" w:rsidP="00DC62D1">
      <w:pPr>
        <w:spacing w:after="0" w:line="240" w:lineRule="auto"/>
        <w:jc w:val="both"/>
        <w:rPr>
          <w:rFonts w:ascii="Arial" w:hAnsi="Arial" w:cs="Arial"/>
          <w:sz w:val="22"/>
          <w:szCs w:val="22"/>
          <w:lang w:val="en-US"/>
        </w:rPr>
      </w:pPr>
      <w:r w:rsidRPr="0055484D">
        <w:rPr>
          <w:rFonts w:ascii="Arial" w:hAnsi="Arial" w:cs="Arial"/>
          <w:sz w:val="22"/>
          <w:szCs w:val="22"/>
          <w:lang w:val="en-US"/>
        </w:rPr>
        <w:t>4.</w:t>
      </w:r>
      <w:r w:rsidRPr="0055484D">
        <w:rPr>
          <w:rFonts w:ascii="Arial" w:hAnsi="Arial" w:cs="Arial"/>
          <w:sz w:val="22"/>
          <w:szCs w:val="22"/>
          <w:lang w:val="en-US"/>
        </w:rPr>
        <w:tab/>
        <w:t>Hyman DM, Piha-Paul SA, Won H, et al. HER kinase inhibition in patients with HER2- and HER3-mutant cancers. Nature 2018; 554(7691): 189-94.</w:t>
      </w:r>
    </w:p>
    <w:p w14:paraId="42980264" w14:textId="77777777" w:rsidR="00EA3C83" w:rsidRPr="0055484D" w:rsidRDefault="00EA3C83" w:rsidP="00DC62D1">
      <w:pPr>
        <w:spacing w:after="0" w:line="240" w:lineRule="auto"/>
        <w:jc w:val="both"/>
        <w:rPr>
          <w:rFonts w:ascii="Arial" w:hAnsi="Arial" w:cs="Arial"/>
          <w:sz w:val="22"/>
          <w:szCs w:val="22"/>
          <w:lang w:val="en-US"/>
        </w:rPr>
      </w:pPr>
      <w:r w:rsidRPr="0055484D">
        <w:rPr>
          <w:rFonts w:ascii="Arial" w:hAnsi="Arial" w:cs="Arial"/>
          <w:sz w:val="22"/>
          <w:szCs w:val="22"/>
          <w:lang w:val="en-US"/>
        </w:rPr>
        <w:t>5.</w:t>
      </w:r>
      <w:r w:rsidRPr="0055484D">
        <w:rPr>
          <w:rFonts w:ascii="Arial" w:hAnsi="Arial" w:cs="Arial"/>
          <w:sz w:val="22"/>
          <w:szCs w:val="22"/>
          <w:lang w:val="en-US"/>
        </w:rPr>
        <w:tab/>
        <w:t>Hyman DM, Smyth LM, Donoghue MTA, et al. AKT Inhibition in Solid Tumors With AKT1 Mutations. J Clin Oncol 2017; 35(20): 2251-9.</w:t>
      </w:r>
    </w:p>
    <w:p w14:paraId="5CA088F9" w14:textId="77777777" w:rsidR="00EA3C83" w:rsidRPr="0055484D" w:rsidRDefault="00EA3C83" w:rsidP="00DC62D1">
      <w:pPr>
        <w:spacing w:after="0" w:line="240" w:lineRule="auto"/>
        <w:jc w:val="both"/>
        <w:rPr>
          <w:rFonts w:ascii="Arial" w:hAnsi="Arial" w:cs="Arial"/>
          <w:sz w:val="22"/>
          <w:szCs w:val="22"/>
          <w:lang w:val="en-US"/>
        </w:rPr>
      </w:pPr>
      <w:r w:rsidRPr="0055484D">
        <w:rPr>
          <w:rFonts w:ascii="Arial" w:hAnsi="Arial" w:cs="Arial"/>
          <w:sz w:val="22"/>
          <w:szCs w:val="22"/>
          <w:lang w:val="en-US"/>
        </w:rPr>
        <w:t>6.</w:t>
      </w:r>
      <w:r w:rsidRPr="0055484D">
        <w:rPr>
          <w:rFonts w:ascii="Arial" w:hAnsi="Arial" w:cs="Arial"/>
          <w:sz w:val="22"/>
          <w:szCs w:val="22"/>
          <w:lang w:val="en-US"/>
        </w:rPr>
        <w:tab/>
        <w:t>Nayar U, Cohen O, Kapstad C, et al. Acquired HER2 mutations in ER(+) metastatic breast cancer confer resistance to estrogen receptor-directed therapies. Nat Genet 2019; 51(2): 207-16.</w:t>
      </w:r>
    </w:p>
    <w:p w14:paraId="15B39FB6" w14:textId="77777777" w:rsidR="00EA3C83" w:rsidRPr="0055484D" w:rsidRDefault="00EA3C83" w:rsidP="00DC62D1">
      <w:pPr>
        <w:spacing w:after="0" w:line="240" w:lineRule="auto"/>
        <w:jc w:val="both"/>
        <w:rPr>
          <w:rFonts w:ascii="Arial" w:hAnsi="Arial" w:cs="Arial"/>
          <w:sz w:val="22"/>
          <w:szCs w:val="22"/>
          <w:lang w:val="en-US"/>
        </w:rPr>
      </w:pPr>
      <w:r w:rsidRPr="0055484D">
        <w:rPr>
          <w:rFonts w:ascii="Arial" w:hAnsi="Arial" w:cs="Arial"/>
          <w:sz w:val="22"/>
          <w:szCs w:val="22"/>
          <w:lang w:val="en-US"/>
        </w:rPr>
        <w:t>7.</w:t>
      </w:r>
      <w:r w:rsidRPr="0055484D">
        <w:rPr>
          <w:rFonts w:ascii="Arial" w:hAnsi="Arial" w:cs="Arial"/>
          <w:sz w:val="22"/>
          <w:szCs w:val="22"/>
          <w:lang w:val="en-US"/>
        </w:rPr>
        <w:tab/>
        <w:t>Pearson A, Proszek PZ, Pascual J, et al. Inactivating NF1 mutations are enriched in advanced breast cancer and contribute to endocrine therapy resistance. Clin Cancer Res 2020; 26(3): 608-622 2019.</w:t>
      </w:r>
    </w:p>
    <w:p w14:paraId="2702C822" w14:textId="77777777" w:rsidR="00EA3C83" w:rsidRPr="0055484D" w:rsidRDefault="00EA3C83" w:rsidP="00DC62D1">
      <w:pPr>
        <w:spacing w:after="0" w:line="240" w:lineRule="auto"/>
        <w:jc w:val="both"/>
        <w:rPr>
          <w:rFonts w:ascii="Arial" w:hAnsi="Arial" w:cs="Arial"/>
          <w:sz w:val="22"/>
          <w:szCs w:val="22"/>
          <w:lang w:val="en-US"/>
        </w:rPr>
      </w:pPr>
      <w:r w:rsidRPr="0055484D">
        <w:rPr>
          <w:rFonts w:ascii="Arial" w:hAnsi="Arial" w:cs="Arial"/>
          <w:sz w:val="22"/>
          <w:szCs w:val="22"/>
          <w:lang w:val="en-US"/>
        </w:rPr>
        <w:t>8.</w:t>
      </w:r>
      <w:r w:rsidRPr="0055484D">
        <w:rPr>
          <w:rFonts w:ascii="Arial" w:hAnsi="Arial" w:cs="Arial"/>
          <w:sz w:val="22"/>
          <w:szCs w:val="22"/>
          <w:lang w:val="en-US"/>
        </w:rPr>
        <w:tab/>
        <w:t>De Mattos-Arruda L, Sammut SJ, Ross EM, et al. The Genomic and Immune Landscapes of Lethal Metastatic Breast Cancer. Cell Rep 2019; 27(9): 2690-708 e10.</w:t>
      </w:r>
    </w:p>
    <w:p w14:paraId="30C490FA" w14:textId="77777777" w:rsidR="00EA3C83" w:rsidRPr="0055484D" w:rsidRDefault="00EA3C83" w:rsidP="00DC62D1">
      <w:pPr>
        <w:spacing w:after="0" w:line="240" w:lineRule="auto"/>
        <w:jc w:val="both"/>
        <w:rPr>
          <w:rFonts w:ascii="Arial" w:hAnsi="Arial" w:cs="Arial"/>
          <w:sz w:val="22"/>
          <w:szCs w:val="22"/>
          <w:lang w:val="en-US"/>
        </w:rPr>
      </w:pPr>
      <w:r w:rsidRPr="0055484D">
        <w:rPr>
          <w:rFonts w:ascii="Arial" w:hAnsi="Arial" w:cs="Arial"/>
          <w:sz w:val="22"/>
          <w:szCs w:val="22"/>
          <w:lang w:val="en-US"/>
        </w:rPr>
        <w:t>9.</w:t>
      </w:r>
      <w:r w:rsidRPr="0055484D">
        <w:rPr>
          <w:rFonts w:ascii="Arial" w:hAnsi="Arial" w:cs="Arial"/>
          <w:sz w:val="22"/>
          <w:szCs w:val="22"/>
          <w:lang w:val="en-US"/>
        </w:rPr>
        <w:tab/>
        <w:t>O'Leary B, Cutts RJ, Liu Y, et al. The Genetic Landscape and Clonal Evolution of Breast Cancer Resistance to Palbociclib plus Fulvestrant in the PALOMA-3 Trial. Cancer Discov 2018; 8(11): 1390-403.</w:t>
      </w:r>
    </w:p>
    <w:p w14:paraId="7FFA8B60" w14:textId="77777777" w:rsidR="00EA3C83" w:rsidRPr="0055484D" w:rsidRDefault="00EA3C83" w:rsidP="00DC62D1">
      <w:pPr>
        <w:spacing w:after="0" w:line="240" w:lineRule="auto"/>
        <w:jc w:val="both"/>
        <w:rPr>
          <w:rFonts w:ascii="Arial" w:hAnsi="Arial" w:cs="Arial"/>
          <w:sz w:val="22"/>
          <w:szCs w:val="22"/>
          <w:lang w:val="en-US"/>
        </w:rPr>
      </w:pPr>
      <w:r w:rsidRPr="0055484D">
        <w:rPr>
          <w:rFonts w:ascii="Arial" w:hAnsi="Arial" w:cs="Arial"/>
          <w:sz w:val="22"/>
          <w:szCs w:val="22"/>
          <w:lang w:val="en-US"/>
        </w:rPr>
        <w:t>10.</w:t>
      </w:r>
      <w:r w:rsidRPr="0055484D">
        <w:rPr>
          <w:rFonts w:ascii="Arial" w:hAnsi="Arial" w:cs="Arial"/>
          <w:sz w:val="22"/>
          <w:szCs w:val="22"/>
          <w:lang w:val="en-US"/>
        </w:rPr>
        <w:tab/>
        <w:t>Dawson SJ, Tsui DW, Murtaza M, et al. Analysis of circulating tumor DNA to monitor metastatic breast cancer. N Engl J Med 2013; 368(13): 1199-209.</w:t>
      </w:r>
    </w:p>
    <w:p w14:paraId="49C1E9CB" w14:textId="77777777" w:rsidR="00EA3C83" w:rsidRPr="0055484D" w:rsidRDefault="00EA3C83" w:rsidP="00DC62D1">
      <w:pPr>
        <w:spacing w:after="0" w:line="240" w:lineRule="auto"/>
        <w:jc w:val="both"/>
        <w:rPr>
          <w:rFonts w:ascii="Arial" w:hAnsi="Arial" w:cs="Arial"/>
          <w:sz w:val="22"/>
          <w:szCs w:val="22"/>
          <w:lang w:val="en-US"/>
        </w:rPr>
      </w:pPr>
      <w:r w:rsidRPr="0055484D">
        <w:rPr>
          <w:rFonts w:ascii="Arial" w:hAnsi="Arial" w:cs="Arial"/>
          <w:sz w:val="22"/>
          <w:szCs w:val="22"/>
          <w:lang w:val="en-US"/>
        </w:rPr>
        <w:t>11.</w:t>
      </w:r>
      <w:r w:rsidRPr="0055484D">
        <w:rPr>
          <w:rFonts w:ascii="Arial" w:hAnsi="Arial" w:cs="Arial"/>
          <w:sz w:val="22"/>
          <w:szCs w:val="22"/>
          <w:lang w:val="en-US"/>
        </w:rPr>
        <w:tab/>
        <w:t>Kim SB, Dent R, Wongchenko MJ, Singel SM, Baselga J, investigators L. Concordance between plasma-based and tissue-based next-generation sequencing in LOTUS. Lancet Oncol 2017; 18(11): e638.</w:t>
      </w:r>
    </w:p>
    <w:p w14:paraId="2F32FDC5" w14:textId="77777777" w:rsidR="00EA3C83" w:rsidRPr="0055484D" w:rsidRDefault="00EA3C83" w:rsidP="00DC62D1">
      <w:pPr>
        <w:spacing w:after="0" w:line="240" w:lineRule="auto"/>
        <w:jc w:val="both"/>
        <w:rPr>
          <w:rFonts w:ascii="Arial" w:hAnsi="Arial" w:cs="Arial"/>
          <w:sz w:val="22"/>
          <w:szCs w:val="22"/>
          <w:lang w:val="en-US"/>
        </w:rPr>
      </w:pPr>
      <w:r w:rsidRPr="0055484D">
        <w:rPr>
          <w:rFonts w:ascii="Arial" w:hAnsi="Arial" w:cs="Arial"/>
          <w:sz w:val="22"/>
          <w:szCs w:val="22"/>
          <w:lang w:val="en-US"/>
        </w:rPr>
        <w:t>12.</w:t>
      </w:r>
      <w:r w:rsidRPr="0055484D">
        <w:rPr>
          <w:rFonts w:ascii="Arial" w:hAnsi="Arial" w:cs="Arial"/>
          <w:sz w:val="22"/>
          <w:szCs w:val="22"/>
          <w:lang w:val="en-US"/>
        </w:rPr>
        <w:tab/>
        <w:t>Torga G, Pienta KJ. Patient-Paired Sample Congruence Between 2 Commercial Liquid Biopsy Tests. JAMA Oncol 2018; 4(6): 868-70.</w:t>
      </w:r>
    </w:p>
    <w:p w14:paraId="523E2D0E" w14:textId="77777777" w:rsidR="00EA3C83" w:rsidRPr="0055484D" w:rsidRDefault="00EA3C83" w:rsidP="00DC62D1">
      <w:pPr>
        <w:spacing w:after="0" w:line="240" w:lineRule="auto"/>
        <w:jc w:val="both"/>
        <w:rPr>
          <w:rFonts w:ascii="Arial" w:hAnsi="Arial" w:cs="Arial"/>
          <w:sz w:val="22"/>
          <w:szCs w:val="22"/>
          <w:lang w:val="en-US"/>
        </w:rPr>
      </w:pPr>
      <w:r w:rsidRPr="0055484D">
        <w:rPr>
          <w:rFonts w:ascii="Arial" w:hAnsi="Arial" w:cs="Arial"/>
          <w:sz w:val="22"/>
          <w:szCs w:val="22"/>
          <w:lang w:val="en-US"/>
        </w:rPr>
        <w:t>13.</w:t>
      </w:r>
      <w:r w:rsidRPr="0055484D">
        <w:rPr>
          <w:rFonts w:ascii="Arial" w:hAnsi="Arial" w:cs="Arial"/>
          <w:sz w:val="22"/>
          <w:szCs w:val="22"/>
          <w:lang w:val="en-US"/>
        </w:rPr>
        <w:tab/>
        <w:t>Stetson D, Ahmed A, Xu X, et al. . Orthogonal Comparison of Four Plasma NGS Tests With Tumor Suggests Technical Factors are a Major Source of Assay Discordance. JCO Precision Oncol 2019; 3, 1-98.</w:t>
      </w:r>
    </w:p>
    <w:p w14:paraId="36535EA8" w14:textId="77777777" w:rsidR="00EA3C83" w:rsidRPr="0055484D" w:rsidRDefault="00EA3C83" w:rsidP="00DC62D1">
      <w:pPr>
        <w:spacing w:after="0" w:line="240" w:lineRule="auto"/>
        <w:jc w:val="both"/>
        <w:rPr>
          <w:rFonts w:ascii="Arial" w:hAnsi="Arial" w:cs="Arial"/>
          <w:sz w:val="22"/>
          <w:szCs w:val="22"/>
          <w:lang w:val="en-US"/>
        </w:rPr>
      </w:pPr>
      <w:r w:rsidRPr="0055484D">
        <w:rPr>
          <w:rFonts w:ascii="Arial" w:hAnsi="Arial" w:cs="Arial"/>
          <w:sz w:val="22"/>
          <w:szCs w:val="22"/>
          <w:lang w:val="en-US"/>
        </w:rPr>
        <w:t>14.</w:t>
      </w:r>
      <w:r w:rsidRPr="0055484D">
        <w:rPr>
          <w:rFonts w:ascii="Arial" w:hAnsi="Arial" w:cs="Arial"/>
          <w:sz w:val="22"/>
          <w:szCs w:val="22"/>
          <w:lang w:val="en-US"/>
        </w:rPr>
        <w:tab/>
        <w:t>Merker JD, Oxnard GR, Compton C, et al. Circulating Tumor DNA Analysis in Patients With Cancer: American Society of Clinical Oncology and College of American Pathologists Joint Review. J Clin Oncol 2018; 36(16): 1631-41.</w:t>
      </w:r>
    </w:p>
    <w:p w14:paraId="37633470" w14:textId="77777777" w:rsidR="00EA3C83" w:rsidRPr="0055484D" w:rsidRDefault="00EA3C83" w:rsidP="00DC62D1">
      <w:pPr>
        <w:spacing w:after="0" w:line="240" w:lineRule="auto"/>
        <w:jc w:val="both"/>
        <w:rPr>
          <w:rFonts w:ascii="Arial" w:hAnsi="Arial" w:cs="Arial"/>
          <w:sz w:val="22"/>
          <w:szCs w:val="22"/>
          <w:lang w:val="en-US"/>
        </w:rPr>
      </w:pPr>
      <w:r w:rsidRPr="0055484D">
        <w:rPr>
          <w:rFonts w:ascii="Arial" w:hAnsi="Arial" w:cs="Arial"/>
          <w:sz w:val="22"/>
          <w:szCs w:val="22"/>
          <w:lang w:val="en-US"/>
        </w:rPr>
        <w:t>15.</w:t>
      </w:r>
      <w:r w:rsidRPr="0055484D">
        <w:rPr>
          <w:rFonts w:ascii="Arial" w:hAnsi="Arial" w:cs="Arial"/>
          <w:sz w:val="22"/>
          <w:szCs w:val="22"/>
          <w:lang w:val="en-US"/>
        </w:rPr>
        <w:tab/>
        <w:t>Andre F, Bachelot T, Commo F, et al. Comparative genomic hybridisation array and DNA sequencing to direct treatment of metastatic breast cancer: a multicentre, prospective trial (SAFIR01/UNICANCER). Lancet Oncol 2014; 15(3): 267-74.</w:t>
      </w:r>
    </w:p>
    <w:p w14:paraId="73DF8B9E" w14:textId="77777777" w:rsidR="00EA3C83" w:rsidRPr="0055484D" w:rsidRDefault="00EA3C83" w:rsidP="00DC62D1">
      <w:pPr>
        <w:spacing w:after="0" w:line="240" w:lineRule="auto"/>
        <w:jc w:val="both"/>
        <w:rPr>
          <w:rFonts w:ascii="Arial" w:hAnsi="Arial" w:cs="Arial"/>
          <w:sz w:val="22"/>
          <w:szCs w:val="22"/>
          <w:lang w:val="en-US"/>
        </w:rPr>
      </w:pPr>
      <w:r w:rsidRPr="0055484D">
        <w:rPr>
          <w:rFonts w:ascii="Arial" w:hAnsi="Arial" w:cs="Arial"/>
          <w:sz w:val="22"/>
          <w:szCs w:val="22"/>
          <w:lang w:val="en-US"/>
        </w:rPr>
        <w:t>16.</w:t>
      </w:r>
      <w:r w:rsidRPr="0055484D">
        <w:rPr>
          <w:rFonts w:ascii="Arial" w:hAnsi="Arial" w:cs="Arial"/>
          <w:sz w:val="22"/>
          <w:szCs w:val="22"/>
          <w:lang w:val="en-US"/>
        </w:rPr>
        <w:tab/>
        <w:t>Lee J, Kim ST, Kim K, et al. Tumor Genomic Profiling Guides Patients with Metastatic Gastric Cancer to Targeted Treatment: The VIKTORY Umbrella Trial. Cancer Discov 2019; 9(10): 1388-405.</w:t>
      </w:r>
    </w:p>
    <w:p w14:paraId="61FC31EB" w14:textId="77777777" w:rsidR="00EA3C83" w:rsidRPr="0055484D" w:rsidRDefault="00EA3C83" w:rsidP="00DC62D1">
      <w:pPr>
        <w:spacing w:after="0" w:line="240" w:lineRule="auto"/>
        <w:jc w:val="both"/>
        <w:rPr>
          <w:rFonts w:ascii="Arial" w:hAnsi="Arial" w:cs="Arial"/>
          <w:sz w:val="22"/>
          <w:szCs w:val="22"/>
          <w:lang w:val="en-US"/>
        </w:rPr>
      </w:pPr>
      <w:r w:rsidRPr="0055484D">
        <w:rPr>
          <w:rFonts w:ascii="Arial" w:hAnsi="Arial" w:cs="Arial"/>
          <w:sz w:val="22"/>
          <w:szCs w:val="22"/>
          <w:lang w:val="en-US"/>
        </w:rPr>
        <w:t>17.</w:t>
      </w:r>
      <w:r w:rsidRPr="0055484D">
        <w:rPr>
          <w:rFonts w:ascii="Arial" w:hAnsi="Arial" w:cs="Arial"/>
          <w:sz w:val="22"/>
          <w:szCs w:val="22"/>
          <w:lang w:val="en-US"/>
        </w:rPr>
        <w:tab/>
        <w:t>Frampton GM, Fichtenholtz A, Otto GA, et al. Development and validation of a clinical cancer genomic profiling test based on massively parallel DNA sequencing. Nat Biotechnol 2013; 31(11): 1023-31.</w:t>
      </w:r>
    </w:p>
    <w:p w14:paraId="2313F896" w14:textId="77777777" w:rsidR="00EA3C83" w:rsidRPr="0055484D" w:rsidRDefault="00EA3C83" w:rsidP="00DC62D1">
      <w:pPr>
        <w:spacing w:after="0" w:line="240" w:lineRule="auto"/>
        <w:jc w:val="both"/>
        <w:rPr>
          <w:rFonts w:ascii="Arial" w:hAnsi="Arial" w:cs="Arial"/>
          <w:sz w:val="22"/>
          <w:szCs w:val="22"/>
          <w:lang w:val="en-US"/>
        </w:rPr>
      </w:pPr>
      <w:r w:rsidRPr="0055484D">
        <w:rPr>
          <w:rFonts w:ascii="Arial" w:hAnsi="Arial" w:cs="Arial"/>
          <w:sz w:val="22"/>
          <w:szCs w:val="22"/>
          <w:lang w:val="en-US"/>
        </w:rPr>
        <w:t>18.</w:t>
      </w:r>
      <w:r w:rsidRPr="0055484D">
        <w:rPr>
          <w:rFonts w:ascii="Arial" w:hAnsi="Arial" w:cs="Arial"/>
          <w:sz w:val="22"/>
          <w:szCs w:val="22"/>
          <w:lang w:val="en-US"/>
        </w:rPr>
        <w:tab/>
        <w:t>Toy W, Shen Y, Won H, et al. ESR1 ligand-binding domain mutations in hormone-resistant breast cancer. Nat Genet 2013; 45(12): 1439-1445.</w:t>
      </w:r>
    </w:p>
    <w:p w14:paraId="503461C4" w14:textId="77777777" w:rsidR="00EA3C83" w:rsidRPr="0055484D" w:rsidRDefault="00EA3C83" w:rsidP="00DC62D1">
      <w:pPr>
        <w:spacing w:after="0" w:line="240" w:lineRule="auto"/>
        <w:jc w:val="both"/>
        <w:rPr>
          <w:rFonts w:ascii="Arial" w:hAnsi="Arial" w:cs="Arial"/>
          <w:sz w:val="22"/>
          <w:szCs w:val="22"/>
          <w:lang w:val="en-US"/>
        </w:rPr>
      </w:pPr>
      <w:r w:rsidRPr="0055484D">
        <w:rPr>
          <w:rFonts w:ascii="Arial" w:hAnsi="Arial" w:cs="Arial"/>
          <w:sz w:val="22"/>
          <w:szCs w:val="22"/>
          <w:lang w:val="en-US"/>
        </w:rPr>
        <w:t>19.</w:t>
      </w:r>
      <w:r w:rsidRPr="0055484D">
        <w:rPr>
          <w:rFonts w:ascii="Arial" w:hAnsi="Arial" w:cs="Arial"/>
          <w:sz w:val="22"/>
          <w:szCs w:val="22"/>
          <w:lang w:val="en-US"/>
        </w:rPr>
        <w:tab/>
        <w:t>Turner NC, Ro J, Andre F, et al. Palbociclib in Hormone-Receptor-Positive Advanced Breast Cancer. N Engl J Med 2015; 373(3): 209-19.</w:t>
      </w:r>
    </w:p>
    <w:p w14:paraId="04977CCA" w14:textId="77777777" w:rsidR="00EA3C83" w:rsidRPr="0055484D" w:rsidRDefault="00EA3C83" w:rsidP="00DC62D1">
      <w:pPr>
        <w:spacing w:after="0" w:line="240" w:lineRule="auto"/>
        <w:jc w:val="both"/>
        <w:rPr>
          <w:rFonts w:ascii="Arial" w:hAnsi="Arial" w:cs="Arial"/>
          <w:sz w:val="22"/>
          <w:szCs w:val="22"/>
          <w:lang w:val="en-US"/>
        </w:rPr>
      </w:pPr>
      <w:r w:rsidRPr="0055484D">
        <w:rPr>
          <w:rFonts w:ascii="Arial" w:hAnsi="Arial" w:cs="Arial"/>
          <w:sz w:val="22"/>
          <w:szCs w:val="22"/>
          <w:lang w:val="en-US"/>
        </w:rPr>
        <w:t>20.</w:t>
      </w:r>
      <w:r w:rsidRPr="0055484D">
        <w:rPr>
          <w:rFonts w:ascii="Arial" w:hAnsi="Arial" w:cs="Arial"/>
          <w:sz w:val="22"/>
          <w:szCs w:val="22"/>
          <w:lang w:val="en-US"/>
        </w:rPr>
        <w:tab/>
        <w:t>Johnston SR, Kilburn LS, Ellis P, et al. Fulvestrant plus anastrozole or placebo versus exemestane alone after progression on non-steroidal aromatase inhibitors in postmenopausal patients with hormone-receptor-positive locally advanced or metastatic breast cancer (SoFEA): a composite, multicentre, phase 3 randomised trial. Lancet Oncol 2013; 14(10): 989-98.</w:t>
      </w:r>
    </w:p>
    <w:p w14:paraId="429B0A07" w14:textId="77777777" w:rsidR="00EA3C83" w:rsidRPr="0055484D" w:rsidRDefault="00EA3C83" w:rsidP="00DC62D1">
      <w:pPr>
        <w:spacing w:after="0" w:line="240" w:lineRule="auto"/>
        <w:jc w:val="both"/>
        <w:rPr>
          <w:rFonts w:ascii="Arial" w:hAnsi="Arial" w:cs="Arial"/>
          <w:sz w:val="22"/>
          <w:szCs w:val="22"/>
          <w:lang w:val="en-US"/>
        </w:rPr>
      </w:pPr>
      <w:r w:rsidRPr="0055484D">
        <w:rPr>
          <w:rFonts w:ascii="Arial" w:hAnsi="Arial" w:cs="Arial"/>
          <w:sz w:val="22"/>
          <w:szCs w:val="22"/>
          <w:lang w:val="en-US"/>
        </w:rPr>
        <w:t>21.</w:t>
      </w:r>
      <w:r w:rsidRPr="0055484D">
        <w:rPr>
          <w:rFonts w:ascii="Arial" w:hAnsi="Arial" w:cs="Arial"/>
          <w:sz w:val="22"/>
          <w:szCs w:val="22"/>
          <w:lang w:val="en-US"/>
        </w:rPr>
        <w:tab/>
        <w:t>Toy W, Weir H, Razavi P, et al. Activating ESR1 Mutations Differentially Affect the Efficacy of ER Antagonists. Cancer Discov 2017; 7(3): 277-87.</w:t>
      </w:r>
    </w:p>
    <w:p w14:paraId="50DC94AB" w14:textId="77777777" w:rsidR="00EA3C83" w:rsidRPr="0055484D" w:rsidRDefault="00EA3C83" w:rsidP="00DC62D1">
      <w:pPr>
        <w:spacing w:after="0" w:line="240" w:lineRule="auto"/>
        <w:jc w:val="both"/>
        <w:rPr>
          <w:rFonts w:ascii="Arial" w:hAnsi="Arial" w:cs="Arial"/>
          <w:sz w:val="22"/>
          <w:szCs w:val="22"/>
          <w:lang w:val="en-US"/>
        </w:rPr>
      </w:pPr>
      <w:r w:rsidRPr="0055484D">
        <w:rPr>
          <w:rFonts w:ascii="Arial" w:hAnsi="Arial" w:cs="Arial"/>
          <w:sz w:val="22"/>
          <w:szCs w:val="22"/>
          <w:lang w:val="en-US"/>
        </w:rPr>
        <w:lastRenderedPageBreak/>
        <w:t>22.</w:t>
      </w:r>
      <w:r w:rsidRPr="0055484D">
        <w:rPr>
          <w:rFonts w:ascii="Arial" w:hAnsi="Arial" w:cs="Arial"/>
          <w:sz w:val="22"/>
          <w:szCs w:val="22"/>
          <w:lang w:val="en-US"/>
        </w:rPr>
        <w:tab/>
        <w:t>Schmid P, Abraham J, Chan S, et al. Capivasertib Plus Paclitaxel Versus Placebo Plus Paclitaxel As First-Line Therapy for Metastatic Triple-Negative Breast Cancer: The PAKT Trial. J Clin Oncol 2020; 38(5): 423-33.</w:t>
      </w:r>
    </w:p>
    <w:p w14:paraId="39405411" w14:textId="77777777" w:rsidR="00EA3C83" w:rsidRPr="0055484D" w:rsidRDefault="00EA3C83" w:rsidP="00DC62D1">
      <w:pPr>
        <w:spacing w:after="0" w:line="240" w:lineRule="auto"/>
        <w:jc w:val="both"/>
        <w:rPr>
          <w:rFonts w:ascii="Arial" w:hAnsi="Arial" w:cs="Arial"/>
          <w:sz w:val="22"/>
          <w:szCs w:val="22"/>
          <w:lang w:val="en-US"/>
        </w:rPr>
      </w:pPr>
      <w:r w:rsidRPr="0055484D">
        <w:rPr>
          <w:rFonts w:ascii="Arial" w:hAnsi="Arial" w:cs="Arial"/>
          <w:sz w:val="22"/>
          <w:szCs w:val="22"/>
          <w:lang w:val="en-US"/>
        </w:rPr>
        <w:t>23.</w:t>
      </w:r>
      <w:r w:rsidRPr="0055484D">
        <w:rPr>
          <w:rFonts w:ascii="Arial" w:hAnsi="Arial" w:cs="Arial"/>
          <w:sz w:val="22"/>
          <w:szCs w:val="22"/>
          <w:lang w:val="en-US"/>
        </w:rPr>
        <w:tab/>
        <w:t>Kim SB, Dent R, Im SA, et al. Ipatasertib plus paclitaxel versus placebo plus paclitaxel as first-line therapy for metastatic triple-negative breast cancer (LOTUS): a multicentre, randomised, double-blind, placebo-controlled, phase 2 trial. Lancet Oncol 2017; 18(10): 1360-72.</w:t>
      </w:r>
    </w:p>
    <w:p w14:paraId="73E5D1E3" w14:textId="77777777" w:rsidR="00EA3C83" w:rsidRPr="0055484D" w:rsidRDefault="00EA3C83" w:rsidP="00DC62D1">
      <w:pPr>
        <w:spacing w:after="0" w:line="240" w:lineRule="auto"/>
        <w:jc w:val="both"/>
        <w:rPr>
          <w:rFonts w:ascii="Arial" w:hAnsi="Arial" w:cs="Arial"/>
          <w:sz w:val="22"/>
          <w:szCs w:val="22"/>
          <w:lang w:val="en-US"/>
        </w:rPr>
      </w:pPr>
      <w:r w:rsidRPr="0055484D">
        <w:rPr>
          <w:rFonts w:ascii="Arial" w:hAnsi="Arial" w:cs="Arial"/>
          <w:sz w:val="22"/>
          <w:szCs w:val="22"/>
          <w:lang w:val="en-US"/>
        </w:rPr>
        <w:t>24.</w:t>
      </w:r>
      <w:r w:rsidRPr="0055484D">
        <w:rPr>
          <w:rFonts w:ascii="Arial" w:hAnsi="Arial" w:cs="Arial"/>
          <w:sz w:val="22"/>
          <w:szCs w:val="22"/>
          <w:lang w:val="en-US"/>
        </w:rPr>
        <w:tab/>
        <w:t>Jones RH, Casbard A, Carucci M, et al. Fulvestrant plus capivasertib versus placebo after relapse or progression on an aromatase inhibitor in metastatic, oestrogen receptor-positive breast cancer (FAKTION): a multicentre, randomised, controlled, phase 2 trial. Lancet Oncol 2020; 21(3): 345-57.</w:t>
      </w:r>
    </w:p>
    <w:p w14:paraId="26E752DA" w14:textId="77777777" w:rsidR="00CC0CFD" w:rsidRPr="008C7FCA" w:rsidRDefault="00CC0CFD" w:rsidP="004B43C4">
      <w:pPr>
        <w:jc w:val="both"/>
        <w:rPr>
          <w:rFonts w:ascii="Arial" w:hAnsi="Arial" w:cs="Arial"/>
          <w:sz w:val="22"/>
          <w:szCs w:val="22"/>
          <w:lang w:val="en-US"/>
        </w:rPr>
      </w:pPr>
    </w:p>
    <w:p w14:paraId="780D8F10" w14:textId="77777777" w:rsidR="003F0DD1" w:rsidRDefault="003F0DD1">
      <w:pPr>
        <w:rPr>
          <w:rFonts w:ascii="Arial" w:hAnsi="Arial" w:cs="Arial"/>
          <w:b/>
          <w:sz w:val="22"/>
          <w:szCs w:val="22"/>
          <w:lang w:val="en-US"/>
        </w:rPr>
      </w:pPr>
      <w:r>
        <w:rPr>
          <w:rFonts w:ascii="Arial" w:hAnsi="Arial" w:cs="Arial"/>
          <w:b/>
          <w:sz w:val="22"/>
          <w:szCs w:val="22"/>
          <w:lang w:val="en-US"/>
        </w:rPr>
        <w:br w:type="page"/>
      </w:r>
    </w:p>
    <w:p w14:paraId="3A934D61" w14:textId="77777777" w:rsidR="001C3D9A" w:rsidRDefault="001C3D9A" w:rsidP="00A61489">
      <w:pPr>
        <w:spacing w:line="240" w:lineRule="auto"/>
        <w:jc w:val="both"/>
        <w:rPr>
          <w:rFonts w:ascii="Arial" w:hAnsi="Arial" w:cs="Arial"/>
          <w:b/>
          <w:sz w:val="22"/>
          <w:szCs w:val="22"/>
          <w:lang w:val="en-US"/>
        </w:rPr>
        <w:sectPr w:rsidR="001C3D9A" w:rsidSect="008F7105">
          <w:footerReference w:type="default" r:id="rId10"/>
          <w:pgSz w:w="11900" w:h="16840"/>
          <w:pgMar w:top="1440" w:right="1440" w:bottom="1440" w:left="1440" w:header="708" w:footer="708" w:gutter="0"/>
          <w:cols w:space="708"/>
          <w:docGrid w:linePitch="360"/>
        </w:sectPr>
      </w:pPr>
    </w:p>
    <w:p w14:paraId="03D6FFFD" w14:textId="0DE42AE9" w:rsidR="00CC0CFD" w:rsidRPr="008C7FCA" w:rsidRDefault="00CC0CFD" w:rsidP="00A61489">
      <w:pPr>
        <w:spacing w:line="240" w:lineRule="auto"/>
        <w:jc w:val="both"/>
        <w:rPr>
          <w:rFonts w:ascii="Arial" w:hAnsi="Arial" w:cs="Arial"/>
          <w:b/>
          <w:sz w:val="22"/>
          <w:szCs w:val="22"/>
          <w:lang w:val="en-US"/>
        </w:rPr>
      </w:pPr>
      <w:r w:rsidRPr="008C7FCA">
        <w:rPr>
          <w:rFonts w:ascii="Arial" w:hAnsi="Arial" w:cs="Arial"/>
          <w:b/>
          <w:sz w:val="22"/>
          <w:szCs w:val="22"/>
          <w:lang w:val="en-US"/>
        </w:rPr>
        <w:lastRenderedPageBreak/>
        <w:t xml:space="preserve">Tables and </w:t>
      </w:r>
      <w:r w:rsidR="006E0B15">
        <w:rPr>
          <w:rFonts w:ascii="Arial" w:hAnsi="Arial" w:cs="Arial"/>
          <w:b/>
          <w:sz w:val="22"/>
          <w:szCs w:val="22"/>
          <w:lang w:val="en-US"/>
        </w:rPr>
        <w:t>F</w:t>
      </w:r>
      <w:r w:rsidRPr="008C7FCA">
        <w:rPr>
          <w:rFonts w:ascii="Arial" w:hAnsi="Arial" w:cs="Arial"/>
          <w:b/>
          <w:sz w:val="22"/>
          <w:szCs w:val="22"/>
          <w:lang w:val="en-US"/>
        </w:rPr>
        <w:t xml:space="preserve">igure </w:t>
      </w:r>
      <w:r w:rsidR="006E0B15">
        <w:rPr>
          <w:rFonts w:ascii="Arial" w:hAnsi="Arial" w:cs="Arial"/>
          <w:b/>
          <w:sz w:val="22"/>
          <w:szCs w:val="22"/>
          <w:lang w:val="en-US"/>
        </w:rPr>
        <w:t>L</w:t>
      </w:r>
      <w:r w:rsidRPr="008C7FCA">
        <w:rPr>
          <w:rFonts w:ascii="Arial" w:hAnsi="Arial" w:cs="Arial"/>
          <w:b/>
          <w:sz w:val="22"/>
          <w:szCs w:val="22"/>
          <w:lang w:val="en-US"/>
        </w:rPr>
        <w:t>egends</w:t>
      </w:r>
    </w:p>
    <w:p w14:paraId="0CEB25C4" w14:textId="476D58F0" w:rsidR="00CC0CFD" w:rsidRPr="008C7FCA" w:rsidRDefault="00CC0CFD" w:rsidP="00A61489">
      <w:pPr>
        <w:spacing w:line="240" w:lineRule="auto"/>
        <w:jc w:val="both"/>
        <w:rPr>
          <w:rFonts w:ascii="Arial" w:hAnsi="Arial" w:cs="Arial"/>
          <w:sz w:val="22"/>
          <w:szCs w:val="22"/>
          <w:lang w:val="en-US"/>
        </w:rPr>
      </w:pPr>
    </w:p>
    <w:p w14:paraId="313DE417" w14:textId="56AFB592" w:rsidR="001C3D9A" w:rsidRDefault="001C3A52" w:rsidP="004F1775">
      <w:pPr>
        <w:spacing w:line="240" w:lineRule="auto"/>
        <w:jc w:val="both"/>
        <w:rPr>
          <w:rFonts w:ascii="Arial" w:hAnsi="Arial" w:cs="Arial"/>
          <w:b/>
          <w:sz w:val="22"/>
          <w:szCs w:val="22"/>
          <w:lang w:val="en-US"/>
        </w:rPr>
        <w:sectPr w:rsidR="001C3D9A" w:rsidSect="001C3D9A">
          <w:pgSz w:w="16840" w:h="11900" w:orient="landscape"/>
          <w:pgMar w:top="1440" w:right="1440" w:bottom="1440" w:left="1440" w:header="709" w:footer="709" w:gutter="0"/>
          <w:cols w:space="708"/>
          <w:docGrid w:linePitch="360"/>
        </w:sectPr>
      </w:pPr>
      <w:r w:rsidRPr="008C7FCA">
        <w:rPr>
          <w:rFonts w:ascii="Arial" w:hAnsi="Arial" w:cs="Arial"/>
          <w:b/>
          <w:bCs/>
          <w:sz w:val="22"/>
          <w:szCs w:val="22"/>
          <w:lang w:val="en-US"/>
        </w:rPr>
        <w:t xml:space="preserve">Table 1 Clinical and pathological features of </w:t>
      </w:r>
      <w:r w:rsidR="008A0987" w:rsidRPr="008C7FCA">
        <w:rPr>
          <w:rFonts w:ascii="Arial" w:hAnsi="Arial" w:cs="Arial"/>
          <w:b/>
          <w:bCs/>
          <w:sz w:val="22"/>
          <w:szCs w:val="22"/>
          <w:lang w:val="en-US"/>
        </w:rPr>
        <w:t xml:space="preserve">patients </w:t>
      </w:r>
      <w:r w:rsidR="005D43A9">
        <w:rPr>
          <w:rFonts w:ascii="Arial" w:hAnsi="Arial" w:cs="Arial"/>
          <w:b/>
          <w:bCs/>
          <w:sz w:val="22"/>
          <w:szCs w:val="22"/>
          <w:lang w:val="en-US"/>
        </w:rPr>
        <w:t>in the plasmaMA</w:t>
      </w:r>
      <w:r w:rsidR="000B7CE5">
        <w:rPr>
          <w:rFonts w:ascii="Arial" w:hAnsi="Arial" w:cs="Arial"/>
          <w:b/>
          <w:bCs/>
          <w:sz w:val="22"/>
          <w:szCs w:val="22"/>
          <w:lang w:val="en-US"/>
        </w:rPr>
        <w:t>TC</w:t>
      </w:r>
      <w:r w:rsidR="005D43A9">
        <w:rPr>
          <w:rFonts w:ascii="Arial" w:hAnsi="Arial" w:cs="Arial"/>
          <w:b/>
          <w:bCs/>
          <w:sz w:val="22"/>
          <w:szCs w:val="22"/>
          <w:lang w:val="en-US"/>
        </w:rPr>
        <w:t>H trial</w:t>
      </w:r>
    </w:p>
    <w:p w14:paraId="6708C9A9" w14:textId="710D95EF" w:rsidR="001C3A52" w:rsidRPr="008C7FCA" w:rsidRDefault="001C3A52" w:rsidP="00A61489">
      <w:pPr>
        <w:spacing w:line="240" w:lineRule="auto"/>
        <w:rPr>
          <w:rFonts w:ascii="Arial" w:hAnsi="Arial" w:cs="Arial"/>
          <w:b/>
          <w:sz w:val="22"/>
          <w:szCs w:val="22"/>
          <w:lang w:val="en-US"/>
        </w:rPr>
      </w:pPr>
      <w:r w:rsidRPr="008C7FCA">
        <w:rPr>
          <w:rFonts w:ascii="Arial" w:hAnsi="Arial" w:cs="Arial"/>
          <w:b/>
          <w:sz w:val="22"/>
          <w:szCs w:val="22"/>
          <w:lang w:val="en-US"/>
        </w:rPr>
        <w:lastRenderedPageBreak/>
        <w:t>Figures</w:t>
      </w:r>
    </w:p>
    <w:p w14:paraId="326EF7FC" w14:textId="662C45BA" w:rsidR="001C3A52" w:rsidRPr="008C7FCA" w:rsidRDefault="001C3A52" w:rsidP="00A61489">
      <w:pPr>
        <w:spacing w:line="240" w:lineRule="auto"/>
        <w:jc w:val="both"/>
        <w:rPr>
          <w:rFonts w:ascii="Arial" w:hAnsi="Arial" w:cs="Arial"/>
          <w:sz w:val="22"/>
          <w:szCs w:val="22"/>
          <w:lang w:val="en-US"/>
        </w:rPr>
      </w:pPr>
    </w:p>
    <w:p w14:paraId="4B7BDFD7" w14:textId="212472CD" w:rsidR="001C3A52" w:rsidRDefault="001C3A52" w:rsidP="00C12DD1">
      <w:pPr>
        <w:jc w:val="both"/>
        <w:rPr>
          <w:rFonts w:ascii="Arial" w:hAnsi="Arial" w:cs="Arial"/>
          <w:b/>
          <w:sz w:val="22"/>
          <w:szCs w:val="22"/>
          <w:lang w:val="en-US"/>
        </w:rPr>
      </w:pPr>
      <w:r w:rsidRPr="008C7FCA">
        <w:rPr>
          <w:rFonts w:ascii="Arial" w:hAnsi="Arial" w:cs="Arial"/>
          <w:b/>
          <w:sz w:val="22"/>
          <w:szCs w:val="22"/>
          <w:lang w:val="en-US"/>
        </w:rPr>
        <w:t>Figure 1</w:t>
      </w:r>
      <w:r w:rsidR="00604A4C">
        <w:rPr>
          <w:rFonts w:ascii="Arial" w:hAnsi="Arial" w:cs="Arial"/>
          <w:b/>
          <w:sz w:val="22"/>
          <w:szCs w:val="22"/>
          <w:lang w:val="en-US"/>
        </w:rPr>
        <w:t>.</w:t>
      </w:r>
      <w:r w:rsidRPr="008C7FCA">
        <w:rPr>
          <w:rFonts w:ascii="Arial" w:hAnsi="Arial" w:cs="Arial"/>
          <w:b/>
          <w:sz w:val="22"/>
          <w:szCs w:val="22"/>
          <w:lang w:val="en-US"/>
        </w:rPr>
        <w:t xml:space="preserve"> </w:t>
      </w:r>
      <w:r w:rsidR="00E15C76" w:rsidRPr="008C7FCA">
        <w:rPr>
          <w:rFonts w:ascii="Arial" w:hAnsi="Arial" w:cs="Arial"/>
          <w:b/>
          <w:sz w:val="22"/>
          <w:szCs w:val="22"/>
          <w:lang w:val="en-US"/>
        </w:rPr>
        <w:t>Clinical</w:t>
      </w:r>
      <w:r w:rsidRPr="008C7FCA">
        <w:rPr>
          <w:rFonts w:ascii="Arial" w:hAnsi="Arial" w:cs="Arial"/>
          <w:b/>
          <w:sz w:val="22"/>
          <w:szCs w:val="22"/>
          <w:lang w:val="en-US"/>
        </w:rPr>
        <w:t xml:space="preserve"> ctDNA testing in advanced breast cancer</w:t>
      </w:r>
    </w:p>
    <w:p w14:paraId="0E54E0E4" w14:textId="384372EA" w:rsidR="00390741" w:rsidRPr="00390741" w:rsidRDefault="00390741" w:rsidP="00C12DD1">
      <w:pPr>
        <w:jc w:val="both"/>
        <w:rPr>
          <w:rFonts w:ascii="Arial" w:hAnsi="Arial" w:cs="Arial"/>
          <w:bCs/>
          <w:sz w:val="22"/>
          <w:szCs w:val="22"/>
          <w:lang w:val="en-US"/>
        </w:rPr>
      </w:pPr>
      <w:r>
        <w:rPr>
          <w:rFonts w:ascii="Arial" w:hAnsi="Arial" w:cs="Arial"/>
          <w:bCs/>
          <w:sz w:val="22"/>
          <w:szCs w:val="22"/>
          <w:lang w:val="en-US"/>
        </w:rPr>
        <w:t xml:space="preserve">Consort diagram of the plasmaMATCH study. Further detail on accuracy of ctDNA testing is provided in </w:t>
      </w:r>
      <w:r w:rsidR="00921A9E">
        <w:rPr>
          <w:rFonts w:ascii="Arial" w:hAnsi="Arial" w:cs="Arial"/>
          <w:bCs/>
          <w:sz w:val="22"/>
          <w:szCs w:val="22"/>
          <w:lang w:val="en-US"/>
        </w:rPr>
        <w:t>the supplementary material (</w:t>
      </w:r>
      <w:r>
        <w:rPr>
          <w:rFonts w:ascii="Arial" w:hAnsi="Arial" w:cs="Arial"/>
          <w:bCs/>
          <w:sz w:val="22"/>
          <w:szCs w:val="22"/>
          <w:lang w:val="en-US"/>
        </w:rPr>
        <w:t>appendix p</w:t>
      </w:r>
      <w:r w:rsidR="0023213F">
        <w:rPr>
          <w:rFonts w:ascii="Arial" w:hAnsi="Arial" w:cs="Arial"/>
          <w:bCs/>
          <w:sz w:val="22"/>
          <w:szCs w:val="22"/>
          <w:lang w:val="en-US"/>
        </w:rPr>
        <w:t>17</w:t>
      </w:r>
      <w:r w:rsidR="00921A9E">
        <w:rPr>
          <w:rFonts w:ascii="Arial" w:hAnsi="Arial" w:cs="Arial"/>
          <w:bCs/>
          <w:sz w:val="22"/>
          <w:szCs w:val="22"/>
          <w:lang w:val="en-US"/>
        </w:rPr>
        <w:t>)</w:t>
      </w:r>
      <w:r>
        <w:rPr>
          <w:rFonts w:ascii="Arial" w:hAnsi="Arial" w:cs="Arial"/>
          <w:bCs/>
          <w:sz w:val="22"/>
          <w:szCs w:val="22"/>
          <w:lang w:val="en-US"/>
        </w:rPr>
        <w:t>.</w:t>
      </w:r>
    </w:p>
    <w:p w14:paraId="79746698" w14:textId="39E7161C" w:rsidR="00D563C5" w:rsidRPr="008C7FCA" w:rsidRDefault="00767635" w:rsidP="00A61489">
      <w:pPr>
        <w:spacing w:line="240" w:lineRule="auto"/>
        <w:jc w:val="both"/>
        <w:rPr>
          <w:rFonts w:ascii="Arial" w:hAnsi="Arial" w:cs="Arial"/>
          <w:sz w:val="22"/>
          <w:szCs w:val="22"/>
          <w:lang w:val="en-US"/>
        </w:rPr>
      </w:pPr>
      <w:r>
        <w:rPr>
          <w:rFonts w:ascii="Arial" w:hAnsi="Arial" w:cs="Arial"/>
          <w:sz w:val="22"/>
          <w:szCs w:val="22"/>
          <w:lang w:val="en-US"/>
        </w:rPr>
        <w:t xml:space="preserve">HR+ hormone receptor positive and HR- hormone receptor negative. HER2+ positive for </w:t>
      </w:r>
      <w:r w:rsidRPr="00767635">
        <w:rPr>
          <w:rFonts w:ascii="Arial" w:hAnsi="Arial" w:cs="Arial"/>
          <w:i/>
          <w:iCs/>
          <w:sz w:val="22"/>
          <w:szCs w:val="22"/>
          <w:lang w:val="en-US"/>
        </w:rPr>
        <w:t>HER2</w:t>
      </w:r>
      <w:r>
        <w:rPr>
          <w:rFonts w:ascii="Arial" w:hAnsi="Arial" w:cs="Arial"/>
          <w:sz w:val="22"/>
          <w:szCs w:val="22"/>
          <w:lang w:val="en-US"/>
        </w:rPr>
        <w:t xml:space="preserve"> amplification or over-expression, HER2- negative. ER+ oestrogen receptor positive and ER- oestrogen receptor negative.</w:t>
      </w:r>
      <w:r w:rsidR="00FF721D">
        <w:rPr>
          <w:rFonts w:ascii="Arial" w:hAnsi="Arial" w:cs="Arial"/>
          <w:sz w:val="22"/>
          <w:szCs w:val="22"/>
          <w:lang w:val="en-US"/>
        </w:rPr>
        <w:t xml:space="preserve"> TNBC – triple negative breast cancer.</w:t>
      </w:r>
      <w:r w:rsidR="00395294">
        <w:rPr>
          <w:rFonts w:ascii="Arial" w:hAnsi="Arial" w:cs="Arial"/>
          <w:sz w:val="22"/>
          <w:szCs w:val="22"/>
          <w:lang w:val="en-US"/>
        </w:rPr>
        <w:t xml:space="preserve"> ABC – advanced breast cancer.</w:t>
      </w:r>
    </w:p>
    <w:p w14:paraId="6265D9EA" w14:textId="048FD3E1" w:rsidR="00E85AE0" w:rsidRDefault="00E85AE0" w:rsidP="00A61489">
      <w:pPr>
        <w:spacing w:line="240" w:lineRule="auto"/>
        <w:jc w:val="both"/>
        <w:rPr>
          <w:rFonts w:ascii="Arial" w:hAnsi="Arial" w:cs="Arial"/>
          <w:sz w:val="22"/>
          <w:szCs w:val="22"/>
          <w:lang w:val="en-US"/>
        </w:rPr>
      </w:pPr>
    </w:p>
    <w:p w14:paraId="6D7CE072" w14:textId="7F616B7A" w:rsidR="001C3A52" w:rsidRPr="008C7FCA" w:rsidRDefault="001C3A52" w:rsidP="00C12DD1">
      <w:pPr>
        <w:rPr>
          <w:rFonts w:ascii="Arial" w:hAnsi="Arial" w:cs="Arial"/>
          <w:b/>
          <w:sz w:val="22"/>
          <w:szCs w:val="22"/>
          <w:lang w:val="en-US"/>
        </w:rPr>
      </w:pPr>
      <w:r w:rsidRPr="008C7FCA">
        <w:rPr>
          <w:rFonts w:ascii="Arial" w:hAnsi="Arial" w:cs="Arial"/>
          <w:b/>
          <w:sz w:val="22"/>
          <w:szCs w:val="22"/>
          <w:lang w:val="en-US"/>
        </w:rPr>
        <w:t xml:space="preserve">Figure 2. Extended dose fulvestrant in </w:t>
      </w:r>
      <w:r w:rsidRPr="008C7FCA">
        <w:rPr>
          <w:rFonts w:ascii="Arial" w:hAnsi="Arial" w:cs="Arial"/>
          <w:b/>
          <w:i/>
          <w:sz w:val="22"/>
          <w:szCs w:val="22"/>
          <w:lang w:val="en-US"/>
        </w:rPr>
        <w:t>ESR1</w:t>
      </w:r>
      <w:r w:rsidRPr="008C7FCA">
        <w:rPr>
          <w:rFonts w:ascii="Arial" w:hAnsi="Arial" w:cs="Arial"/>
          <w:b/>
          <w:sz w:val="22"/>
          <w:szCs w:val="22"/>
          <w:lang w:val="en-US"/>
        </w:rPr>
        <w:t xml:space="preserve"> mutant breast cancer</w:t>
      </w:r>
      <w:r w:rsidR="00E875E2">
        <w:rPr>
          <w:rFonts w:ascii="Arial" w:hAnsi="Arial" w:cs="Arial"/>
          <w:b/>
          <w:sz w:val="22"/>
          <w:szCs w:val="22"/>
          <w:lang w:val="en-US"/>
        </w:rPr>
        <w:t xml:space="preserve"> (Cohort A)</w:t>
      </w:r>
    </w:p>
    <w:p w14:paraId="32D5053C" w14:textId="0A81DA67" w:rsidR="00772BB4" w:rsidRPr="008C7FCA" w:rsidRDefault="00772BB4" w:rsidP="00C12DD1">
      <w:pPr>
        <w:jc w:val="both"/>
        <w:rPr>
          <w:rFonts w:ascii="Arial" w:hAnsi="Arial" w:cs="Arial"/>
          <w:sz w:val="22"/>
          <w:szCs w:val="22"/>
          <w:lang w:val="en-US"/>
        </w:rPr>
      </w:pPr>
      <w:r w:rsidRPr="008C7FCA">
        <w:rPr>
          <w:rFonts w:ascii="Arial" w:hAnsi="Arial" w:cs="Arial"/>
          <w:sz w:val="22"/>
          <w:szCs w:val="22"/>
          <w:lang w:val="en-US"/>
        </w:rPr>
        <w:t xml:space="preserve">Waterfall plot of maximum change in </w:t>
      </w:r>
      <w:r w:rsidR="00C4772B">
        <w:rPr>
          <w:rFonts w:ascii="Arial" w:hAnsi="Arial" w:cs="Arial"/>
          <w:sz w:val="22"/>
          <w:szCs w:val="22"/>
          <w:lang w:val="en-US"/>
        </w:rPr>
        <w:t>tumour</w:t>
      </w:r>
      <w:r w:rsidRPr="008C7FCA">
        <w:rPr>
          <w:rFonts w:ascii="Arial" w:hAnsi="Arial" w:cs="Arial"/>
          <w:sz w:val="22"/>
          <w:szCs w:val="22"/>
          <w:lang w:val="en-US"/>
        </w:rPr>
        <w:t xml:space="preserve"> size in patients with </w:t>
      </w:r>
      <w:r w:rsidR="00F2558F" w:rsidRPr="008C7FCA">
        <w:rPr>
          <w:rFonts w:ascii="Arial" w:hAnsi="Arial" w:cs="Arial"/>
          <w:i/>
          <w:sz w:val="22"/>
          <w:szCs w:val="22"/>
          <w:lang w:val="en-US"/>
        </w:rPr>
        <w:t>ESR1</w:t>
      </w:r>
      <w:r w:rsidRPr="008C7FCA">
        <w:rPr>
          <w:rFonts w:ascii="Arial" w:hAnsi="Arial" w:cs="Arial"/>
          <w:sz w:val="22"/>
          <w:szCs w:val="22"/>
          <w:lang w:val="en-US"/>
        </w:rPr>
        <w:t xml:space="preserve"> mutations in ctDNA treated with </w:t>
      </w:r>
      <w:r w:rsidR="00F2558F" w:rsidRPr="008C7FCA">
        <w:rPr>
          <w:rFonts w:ascii="Arial" w:hAnsi="Arial" w:cs="Arial"/>
          <w:sz w:val="22"/>
          <w:szCs w:val="22"/>
          <w:lang w:val="en-US"/>
        </w:rPr>
        <w:t>extended-dose</w:t>
      </w:r>
      <w:r w:rsidRPr="008C7FCA">
        <w:rPr>
          <w:rFonts w:ascii="Arial" w:hAnsi="Arial" w:cs="Arial"/>
          <w:sz w:val="22"/>
          <w:szCs w:val="22"/>
          <w:lang w:val="en-US"/>
        </w:rPr>
        <w:t xml:space="preserve"> fulvestrant. Bars are colored by </w:t>
      </w:r>
      <w:r w:rsidR="00112DBF" w:rsidRPr="008C7FCA">
        <w:rPr>
          <w:rFonts w:ascii="Arial" w:hAnsi="Arial" w:cs="Arial"/>
          <w:sz w:val="22"/>
          <w:szCs w:val="22"/>
          <w:lang w:val="en-US"/>
        </w:rPr>
        <w:t>clonally dominant vs subclonal mutations</w:t>
      </w:r>
      <w:r w:rsidR="00013486">
        <w:rPr>
          <w:rFonts w:ascii="Arial" w:hAnsi="Arial" w:cs="Arial"/>
          <w:sz w:val="22"/>
          <w:szCs w:val="22"/>
          <w:lang w:val="en-US"/>
        </w:rPr>
        <w:t>.</w:t>
      </w:r>
      <w:r w:rsidRPr="008C7FCA">
        <w:rPr>
          <w:rFonts w:ascii="Arial" w:hAnsi="Arial" w:cs="Arial"/>
          <w:sz w:val="22"/>
          <w:szCs w:val="22"/>
          <w:lang w:val="en-US"/>
        </w:rPr>
        <w:t xml:space="preserve"> Boxes </w:t>
      </w:r>
      <w:r w:rsidR="00013486">
        <w:rPr>
          <w:rFonts w:ascii="Arial" w:hAnsi="Arial" w:cs="Arial"/>
          <w:sz w:val="22"/>
          <w:szCs w:val="22"/>
          <w:lang w:val="en-US"/>
        </w:rPr>
        <w:t>above</w:t>
      </w:r>
      <w:r w:rsidR="00013486" w:rsidRPr="008C7FCA">
        <w:rPr>
          <w:rFonts w:ascii="Arial" w:hAnsi="Arial" w:cs="Arial"/>
          <w:sz w:val="22"/>
          <w:szCs w:val="22"/>
          <w:lang w:val="en-US"/>
        </w:rPr>
        <w:t xml:space="preserve"> </w:t>
      </w:r>
      <w:r w:rsidRPr="008C7FCA">
        <w:rPr>
          <w:rFonts w:ascii="Arial" w:hAnsi="Arial" w:cs="Arial"/>
          <w:sz w:val="22"/>
          <w:szCs w:val="22"/>
          <w:lang w:val="en-US"/>
        </w:rPr>
        <w:t xml:space="preserve">indicate individual </w:t>
      </w:r>
      <w:r w:rsidR="00F2558F" w:rsidRPr="008C7FCA">
        <w:rPr>
          <w:rFonts w:ascii="Arial" w:hAnsi="Arial" w:cs="Arial"/>
          <w:i/>
          <w:sz w:val="22"/>
          <w:szCs w:val="22"/>
          <w:lang w:val="en-US"/>
        </w:rPr>
        <w:t>ESR1</w:t>
      </w:r>
      <w:r w:rsidRPr="008C7FCA">
        <w:rPr>
          <w:rFonts w:ascii="Arial" w:hAnsi="Arial" w:cs="Arial"/>
          <w:sz w:val="22"/>
          <w:szCs w:val="22"/>
          <w:lang w:val="en-US"/>
        </w:rPr>
        <w:t xml:space="preserve"> mutations</w:t>
      </w:r>
      <w:r w:rsidR="00013486">
        <w:rPr>
          <w:rFonts w:ascii="Arial" w:hAnsi="Arial" w:cs="Arial"/>
          <w:sz w:val="22"/>
          <w:szCs w:val="22"/>
          <w:lang w:val="en-US"/>
        </w:rPr>
        <w:t xml:space="preserve">, or polyclonal </w:t>
      </w:r>
      <w:r w:rsidR="00D563C5">
        <w:rPr>
          <w:rFonts w:ascii="Arial" w:hAnsi="Arial" w:cs="Arial"/>
          <w:sz w:val="22"/>
          <w:szCs w:val="22"/>
          <w:lang w:val="en-US"/>
        </w:rPr>
        <w:t xml:space="preserve">(multiple) </w:t>
      </w:r>
      <w:r w:rsidR="00013486">
        <w:rPr>
          <w:rFonts w:ascii="Arial" w:hAnsi="Arial" w:cs="Arial"/>
          <w:i/>
          <w:iCs/>
          <w:sz w:val="22"/>
          <w:szCs w:val="22"/>
          <w:lang w:val="en-US"/>
        </w:rPr>
        <w:t>ESR1</w:t>
      </w:r>
      <w:r w:rsidR="00013486">
        <w:rPr>
          <w:rFonts w:ascii="Arial" w:hAnsi="Arial" w:cs="Arial"/>
          <w:sz w:val="22"/>
          <w:szCs w:val="22"/>
          <w:lang w:val="en-US"/>
        </w:rPr>
        <w:t xml:space="preserve"> mutations</w:t>
      </w:r>
      <w:r w:rsidR="000B1132">
        <w:rPr>
          <w:rFonts w:ascii="Arial" w:hAnsi="Arial" w:cs="Arial"/>
          <w:sz w:val="22"/>
          <w:szCs w:val="22"/>
          <w:lang w:val="en-US"/>
        </w:rPr>
        <w:t>.</w:t>
      </w:r>
    </w:p>
    <w:p w14:paraId="5C2E19F7" w14:textId="23AE1CDB" w:rsidR="009F0B09" w:rsidRDefault="009F0B09" w:rsidP="00A61489">
      <w:pPr>
        <w:spacing w:line="240" w:lineRule="auto"/>
        <w:jc w:val="both"/>
        <w:rPr>
          <w:rFonts w:ascii="Arial" w:hAnsi="Arial" w:cs="Arial"/>
          <w:sz w:val="22"/>
          <w:szCs w:val="22"/>
          <w:lang w:val="en-US"/>
        </w:rPr>
      </w:pPr>
    </w:p>
    <w:p w14:paraId="533FE646" w14:textId="510AFC94" w:rsidR="001C3A52" w:rsidRPr="008C7FCA" w:rsidRDefault="001C3A52" w:rsidP="00917A68">
      <w:pPr>
        <w:spacing w:line="240" w:lineRule="auto"/>
        <w:rPr>
          <w:rFonts w:ascii="Arial" w:hAnsi="Arial" w:cs="Arial"/>
          <w:b/>
          <w:sz w:val="22"/>
          <w:szCs w:val="22"/>
          <w:lang w:val="en-US"/>
        </w:rPr>
      </w:pPr>
      <w:r w:rsidRPr="008C7FCA">
        <w:rPr>
          <w:rFonts w:ascii="Arial" w:hAnsi="Arial" w:cs="Arial"/>
          <w:b/>
          <w:sz w:val="22"/>
          <w:szCs w:val="22"/>
          <w:lang w:val="en-US"/>
        </w:rPr>
        <w:t xml:space="preserve">Figure 3. Neratinib in </w:t>
      </w:r>
      <w:r w:rsidR="00B538CA">
        <w:rPr>
          <w:rFonts w:ascii="Arial" w:hAnsi="Arial" w:cs="Arial"/>
          <w:b/>
          <w:i/>
          <w:sz w:val="22"/>
          <w:szCs w:val="22"/>
          <w:lang w:val="en-US"/>
        </w:rPr>
        <w:t>ERBB2</w:t>
      </w:r>
      <w:r w:rsidR="00B538CA" w:rsidRPr="008C7FCA">
        <w:rPr>
          <w:rFonts w:ascii="Arial" w:hAnsi="Arial" w:cs="Arial"/>
          <w:b/>
          <w:sz w:val="22"/>
          <w:szCs w:val="22"/>
          <w:lang w:val="en-US"/>
        </w:rPr>
        <w:t xml:space="preserve"> </w:t>
      </w:r>
      <w:r w:rsidRPr="008C7FCA">
        <w:rPr>
          <w:rFonts w:ascii="Arial" w:hAnsi="Arial" w:cs="Arial"/>
          <w:b/>
          <w:sz w:val="22"/>
          <w:szCs w:val="22"/>
          <w:lang w:val="en-US"/>
        </w:rPr>
        <w:t>mutant breast cancer</w:t>
      </w:r>
      <w:r w:rsidR="00E15B20">
        <w:rPr>
          <w:rFonts w:ascii="Arial" w:hAnsi="Arial" w:cs="Arial"/>
          <w:b/>
          <w:sz w:val="22"/>
          <w:szCs w:val="22"/>
          <w:lang w:val="en-US"/>
        </w:rPr>
        <w:t xml:space="preserve"> (Cohort B)</w:t>
      </w:r>
    </w:p>
    <w:p w14:paraId="3BC5D8DC" w14:textId="51A28056" w:rsidR="001C3A52" w:rsidRPr="008C7FCA" w:rsidRDefault="007F2CCA" w:rsidP="00C12DD1">
      <w:pPr>
        <w:jc w:val="both"/>
        <w:rPr>
          <w:rFonts w:ascii="Arial" w:hAnsi="Arial" w:cs="Arial"/>
          <w:sz w:val="22"/>
          <w:szCs w:val="22"/>
          <w:lang w:val="en-US"/>
        </w:rPr>
      </w:pPr>
      <w:r w:rsidRPr="008C7FCA">
        <w:rPr>
          <w:rFonts w:ascii="Arial" w:hAnsi="Arial" w:cs="Arial"/>
          <w:sz w:val="22"/>
          <w:szCs w:val="22"/>
          <w:lang w:val="en-US"/>
        </w:rPr>
        <w:t xml:space="preserve">Waterfall plot of maximum change in </w:t>
      </w:r>
      <w:r w:rsidR="00C4772B">
        <w:rPr>
          <w:rFonts w:ascii="Arial" w:hAnsi="Arial" w:cs="Arial"/>
          <w:sz w:val="22"/>
          <w:szCs w:val="22"/>
          <w:lang w:val="en-US"/>
        </w:rPr>
        <w:t>tumour</w:t>
      </w:r>
      <w:r w:rsidRPr="008C7FCA">
        <w:rPr>
          <w:rFonts w:ascii="Arial" w:hAnsi="Arial" w:cs="Arial"/>
          <w:sz w:val="22"/>
          <w:szCs w:val="22"/>
          <w:lang w:val="en-US"/>
        </w:rPr>
        <w:t xml:space="preserve"> size in </w:t>
      </w:r>
      <w:r w:rsidR="00424B29" w:rsidRPr="008C7FCA">
        <w:rPr>
          <w:rFonts w:ascii="Arial" w:hAnsi="Arial" w:cs="Arial"/>
          <w:sz w:val="22"/>
          <w:szCs w:val="22"/>
          <w:lang w:val="en-US"/>
        </w:rPr>
        <w:t>patients</w:t>
      </w:r>
      <w:r w:rsidRPr="008C7FCA">
        <w:rPr>
          <w:rFonts w:ascii="Arial" w:hAnsi="Arial" w:cs="Arial"/>
          <w:sz w:val="22"/>
          <w:szCs w:val="22"/>
          <w:lang w:val="en-US"/>
        </w:rPr>
        <w:t xml:space="preserve"> with </w:t>
      </w:r>
      <w:r w:rsidR="00B538CA">
        <w:rPr>
          <w:rFonts w:ascii="Arial" w:hAnsi="Arial" w:cs="Arial"/>
          <w:i/>
          <w:sz w:val="22"/>
          <w:szCs w:val="22"/>
          <w:lang w:val="en-US"/>
        </w:rPr>
        <w:t>ERBB2</w:t>
      </w:r>
      <w:r w:rsidR="00B538CA" w:rsidRPr="008C7FCA">
        <w:rPr>
          <w:rFonts w:ascii="Arial" w:hAnsi="Arial" w:cs="Arial"/>
          <w:sz w:val="22"/>
          <w:szCs w:val="22"/>
          <w:lang w:val="en-US"/>
        </w:rPr>
        <w:t xml:space="preserve"> </w:t>
      </w:r>
      <w:r w:rsidRPr="008C7FCA">
        <w:rPr>
          <w:rFonts w:ascii="Arial" w:hAnsi="Arial" w:cs="Arial"/>
          <w:sz w:val="22"/>
          <w:szCs w:val="22"/>
          <w:lang w:val="en-US"/>
        </w:rPr>
        <w:t>mutations in ctDNA treated with neratinib with or without fulvestrant.</w:t>
      </w:r>
      <w:r w:rsidR="005B2982" w:rsidRPr="008C7FCA">
        <w:rPr>
          <w:rFonts w:ascii="Arial" w:hAnsi="Arial" w:cs="Arial"/>
          <w:sz w:val="22"/>
          <w:szCs w:val="22"/>
          <w:lang w:val="en-US"/>
        </w:rPr>
        <w:t xml:space="preserve"> </w:t>
      </w:r>
      <w:r w:rsidR="00424B29" w:rsidRPr="008C7FCA">
        <w:rPr>
          <w:rFonts w:ascii="Arial" w:hAnsi="Arial" w:cs="Arial"/>
          <w:sz w:val="22"/>
          <w:szCs w:val="22"/>
          <w:lang w:val="en-US"/>
        </w:rPr>
        <w:t xml:space="preserve">Bars are colored by </w:t>
      </w:r>
      <w:r w:rsidR="00112DBF" w:rsidRPr="008C7FCA">
        <w:rPr>
          <w:rFonts w:ascii="Arial" w:hAnsi="Arial" w:cs="Arial"/>
          <w:sz w:val="22"/>
          <w:szCs w:val="22"/>
          <w:lang w:val="en-US"/>
        </w:rPr>
        <w:t xml:space="preserve">individual </w:t>
      </w:r>
      <w:r w:rsidR="00B538CA">
        <w:rPr>
          <w:rFonts w:ascii="Arial" w:hAnsi="Arial" w:cs="Arial"/>
          <w:i/>
          <w:sz w:val="22"/>
          <w:szCs w:val="22"/>
          <w:lang w:val="en-US"/>
        </w:rPr>
        <w:t>ERBB2</w:t>
      </w:r>
      <w:r w:rsidR="00B538CA" w:rsidRPr="008C7FCA">
        <w:rPr>
          <w:rFonts w:ascii="Arial" w:hAnsi="Arial" w:cs="Arial"/>
          <w:sz w:val="22"/>
          <w:szCs w:val="22"/>
          <w:lang w:val="en-US"/>
        </w:rPr>
        <w:t xml:space="preserve"> </w:t>
      </w:r>
      <w:r w:rsidR="00112DBF" w:rsidRPr="008C7FCA">
        <w:rPr>
          <w:rFonts w:ascii="Arial" w:hAnsi="Arial" w:cs="Arial"/>
          <w:sz w:val="22"/>
          <w:szCs w:val="22"/>
          <w:lang w:val="en-US"/>
        </w:rPr>
        <w:t xml:space="preserve">mutations. </w:t>
      </w:r>
      <w:r w:rsidR="005B2982" w:rsidRPr="008C7FCA">
        <w:rPr>
          <w:rFonts w:ascii="Arial" w:hAnsi="Arial" w:cs="Arial"/>
          <w:sz w:val="22"/>
          <w:szCs w:val="22"/>
          <w:lang w:val="en-US"/>
        </w:rPr>
        <w:t xml:space="preserve">Boxes </w:t>
      </w:r>
      <w:r w:rsidR="00584B3D">
        <w:rPr>
          <w:rFonts w:ascii="Arial" w:hAnsi="Arial" w:cs="Arial"/>
          <w:sz w:val="22"/>
          <w:szCs w:val="22"/>
          <w:lang w:val="en-US"/>
        </w:rPr>
        <w:t>above</w:t>
      </w:r>
      <w:r w:rsidR="00584B3D" w:rsidRPr="008C7FCA">
        <w:rPr>
          <w:rFonts w:ascii="Arial" w:hAnsi="Arial" w:cs="Arial"/>
          <w:sz w:val="22"/>
          <w:szCs w:val="22"/>
          <w:lang w:val="en-US"/>
        </w:rPr>
        <w:t xml:space="preserve"> </w:t>
      </w:r>
      <w:r w:rsidR="005B2982" w:rsidRPr="008C7FCA">
        <w:rPr>
          <w:rFonts w:ascii="Arial" w:hAnsi="Arial" w:cs="Arial"/>
          <w:sz w:val="22"/>
          <w:szCs w:val="22"/>
          <w:lang w:val="en-US"/>
        </w:rPr>
        <w:t xml:space="preserve">indicate </w:t>
      </w:r>
      <w:r w:rsidR="00C4772B">
        <w:rPr>
          <w:rFonts w:ascii="Arial" w:hAnsi="Arial" w:cs="Arial"/>
          <w:sz w:val="22"/>
          <w:szCs w:val="22"/>
          <w:lang w:val="en-US"/>
        </w:rPr>
        <w:t>tumour</w:t>
      </w:r>
      <w:r w:rsidR="005B2982" w:rsidRPr="008C7FCA">
        <w:rPr>
          <w:rFonts w:ascii="Arial" w:hAnsi="Arial" w:cs="Arial"/>
          <w:sz w:val="22"/>
          <w:szCs w:val="22"/>
          <w:lang w:val="en-US"/>
        </w:rPr>
        <w:t xml:space="preserve"> subtype</w:t>
      </w:r>
      <w:r w:rsidR="00D761E6">
        <w:rPr>
          <w:rFonts w:ascii="Arial" w:hAnsi="Arial" w:cs="Arial"/>
          <w:sz w:val="22"/>
          <w:szCs w:val="22"/>
          <w:lang w:val="en-US"/>
        </w:rPr>
        <w:t>, co-administration of fulvestrant,</w:t>
      </w:r>
      <w:r w:rsidR="00112DBF" w:rsidRPr="008C7FCA">
        <w:rPr>
          <w:rFonts w:ascii="Arial" w:hAnsi="Arial" w:cs="Arial"/>
          <w:sz w:val="22"/>
          <w:szCs w:val="22"/>
          <w:lang w:val="en-US"/>
        </w:rPr>
        <w:t xml:space="preserve"> and </w:t>
      </w:r>
      <w:r w:rsidR="00D761E6">
        <w:rPr>
          <w:rFonts w:ascii="Arial" w:hAnsi="Arial" w:cs="Arial"/>
          <w:sz w:val="22"/>
          <w:szCs w:val="22"/>
          <w:lang w:val="en-US"/>
        </w:rPr>
        <w:t xml:space="preserve">receipt of </w:t>
      </w:r>
      <w:r w:rsidR="00112DBF" w:rsidRPr="008C7FCA">
        <w:rPr>
          <w:rFonts w:ascii="Arial" w:hAnsi="Arial" w:cs="Arial"/>
          <w:sz w:val="22"/>
          <w:szCs w:val="22"/>
          <w:lang w:val="en-US"/>
        </w:rPr>
        <w:t xml:space="preserve">prior </w:t>
      </w:r>
      <w:r w:rsidR="005B2982" w:rsidRPr="008C7FCA">
        <w:rPr>
          <w:rFonts w:ascii="Arial" w:hAnsi="Arial" w:cs="Arial"/>
          <w:sz w:val="22"/>
          <w:szCs w:val="22"/>
          <w:lang w:val="en-US"/>
        </w:rPr>
        <w:t>fulvestrant therap</w:t>
      </w:r>
      <w:r w:rsidR="00112DBF" w:rsidRPr="008C7FCA">
        <w:rPr>
          <w:rFonts w:ascii="Arial" w:hAnsi="Arial" w:cs="Arial"/>
          <w:sz w:val="22"/>
          <w:szCs w:val="22"/>
          <w:lang w:val="en-US"/>
        </w:rPr>
        <w:t>y.</w:t>
      </w:r>
    </w:p>
    <w:p w14:paraId="347D8F16" w14:textId="0C382F18" w:rsidR="007F2CCA" w:rsidRDefault="007F2CCA" w:rsidP="00A61489">
      <w:pPr>
        <w:spacing w:line="240" w:lineRule="auto"/>
        <w:jc w:val="both"/>
        <w:rPr>
          <w:rFonts w:ascii="Arial" w:hAnsi="Arial" w:cs="Arial"/>
          <w:sz w:val="22"/>
          <w:szCs w:val="22"/>
          <w:lang w:val="en-US"/>
        </w:rPr>
      </w:pPr>
    </w:p>
    <w:p w14:paraId="7080BA0A" w14:textId="246E78B5" w:rsidR="001C3A52" w:rsidRPr="008C7FCA" w:rsidRDefault="00615FC4" w:rsidP="00C12DD1">
      <w:pPr>
        <w:rPr>
          <w:rFonts w:ascii="Arial" w:hAnsi="Arial" w:cs="Arial"/>
          <w:b/>
          <w:sz w:val="22"/>
          <w:szCs w:val="22"/>
          <w:lang w:val="en-US"/>
        </w:rPr>
      </w:pPr>
      <w:r>
        <w:rPr>
          <w:rFonts w:ascii="Arial" w:hAnsi="Arial" w:cs="Arial"/>
          <w:b/>
          <w:sz w:val="22"/>
          <w:szCs w:val="22"/>
          <w:lang w:val="en-US"/>
        </w:rPr>
        <w:t>Fig</w:t>
      </w:r>
      <w:r w:rsidR="001C3A52" w:rsidRPr="008C7FCA">
        <w:rPr>
          <w:rFonts w:ascii="Arial" w:hAnsi="Arial" w:cs="Arial"/>
          <w:b/>
          <w:sz w:val="22"/>
          <w:szCs w:val="22"/>
          <w:lang w:val="en-US"/>
        </w:rPr>
        <w:t xml:space="preserve">ure 4. Capivasertib in </w:t>
      </w:r>
      <w:r w:rsidR="001C3A52" w:rsidRPr="008C7FCA">
        <w:rPr>
          <w:rFonts w:ascii="Arial" w:hAnsi="Arial" w:cs="Arial"/>
          <w:b/>
          <w:i/>
          <w:sz w:val="22"/>
          <w:szCs w:val="22"/>
          <w:lang w:val="en-US"/>
        </w:rPr>
        <w:t>AKT1</w:t>
      </w:r>
      <w:r w:rsidR="001C3A52" w:rsidRPr="008C7FCA">
        <w:rPr>
          <w:rFonts w:ascii="Arial" w:hAnsi="Arial" w:cs="Arial"/>
          <w:b/>
          <w:sz w:val="22"/>
          <w:szCs w:val="22"/>
          <w:lang w:val="en-US"/>
        </w:rPr>
        <w:t xml:space="preserve"> and </w:t>
      </w:r>
      <w:r w:rsidR="001C3A52" w:rsidRPr="008C7FCA">
        <w:rPr>
          <w:rFonts w:ascii="Arial" w:hAnsi="Arial" w:cs="Arial"/>
          <w:b/>
          <w:i/>
          <w:sz w:val="22"/>
          <w:szCs w:val="22"/>
          <w:lang w:val="en-US"/>
        </w:rPr>
        <w:t xml:space="preserve">PTEN </w:t>
      </w:r>
      <w:r w:rsidR="001C3A52" w:rsidRPr="008C7FCA">
        <w:rPr>
          <w:rFonts w:ascii="Arial" w:hAnsi="Arial" w:cs="Arial"/>
          <w:b/>
          <w:sz w:val="22"/>
          <w:szCs w:val="22"/>
          <w:lang w:val="en-US"/>
        </w:rPr>
        <w:t>mutant breast cancer</w:t>
      </w:r>
      <w:r w:rsidR="00D95B0B">
        <w:rPr>
          <w:rFonts w:ascii="Arial" w:hAnsi="Arial" w:cs="Arial"/>
          <w:b/>
          <w:sz w:val="22"/>
          <w:szCs w:val="22"/>
          <w:lang w:val="en-US"/>
        </w:rPr>
        <w:t xml:space="preserve"> (Cohorts C and D)</w:t>
      </w:r>
    </w:p>
    <w:p w14:paraId="544F51EC" w14:textId="3D198F0C" w:rsidR="005B2982" w:rsidRPr="008C7FCA" w:rsidRDefault="005B2982" w:rsidP="00C12DD1">
      <w:pPr>
        <w:jc w:val="both"/>
        <w:rPr>
          <w:rFonts w:ascii="Arial" w:hAnsi="Arial" w:cs="Arial"/>
          <w:sz w:val="22"/>
          <w:szCs w:val="22"/>
          <w:lang w:val="en-US"/>
        </w:rPr>
      </w:pPr>
      <w:r w:rsidRPr="008C7FCA">
        <w:rPr>
          <w:rFonts w:ascii="Arial" w:hAnsi="Arial" w:cs="Arial"/>
          <w:sz w:val="22"/>
          <w:szCs w:val="22"/>
          <w:lang w:val="en-US"/>
        </w:rPr>
        <w:t xml:space="preserve">A. Waterfall plot of maximum change in </w:t>
      </w:r>
      <w:r w:rsidR="00C4772B">
        <w:rPr>
          <w:rFonts w:ascii="Arial" w:hAnsi="Arial" w:cs="Arial"/>
          <w:sz w:val="22"/>
          <w:szCs w:val="22"/>
          <w:lang w:val="en-US"/>
        </w:rPr>
        <w:t>tumour</w:t>
      </w:r>
      <w:r w:rsidRPr="008C7FCA">
        <w:rPr>
          <w:rFonts w:ascii="Arial" w:hAnsi="Arial" w:cs="Arial"/>
          <w:sz w:val="22"/>
          <w:szCs w:val="22"/>
          <w:lang w:val="en-US"/>
        </w:rPr>
        <w:t xml:space="preserve"> size in </w:t>
      </w:r>
      <w:r w:rsidR="00424B29" w:rsidRPr="008C7FCA">
        <w:rPr>
          <w:rFonts w:ascii="Arial" w:hAnsi="Arial" w:cs="Arial"/>
          <w:sz w:val="22"/>
          <w:szCs w:val="22"/>
          <w:lang w:val="en-US"/>
        </w:rPr>
        <w:t>patients, with HR+ cancer and with</w:t>
      </w:r>
      <w:r w:rsidRPr="008C7FCA">
        <w:rPr>
          <w:rFonts w:ascii="Arial" w:hAnsi="Arial" w:cs="Arial"/>
          <w:sz w:val="22"/>
          <w:szCs w:val="22"/>
          <w:lang w:val="en-US"/>
        </w:rPr>
        <w:t xml:space="preserve"> </w:t>
      </w:r>
      <w:r w:rsidRPr="008C7FCA">
        <w:rPr>
          <w:rFonts w:ascii="Arial" w:hAnsi="Arial" w:cs="Arial"/>
          <w:i/>
          <w:sz w:val="22"/>
          <w:szCs w:val="22"/>
          <w:lang w:val="en-US"/>
        </w:rPr>
        <w:t>AKT1</w:t>
      </w:r>
      <w:r w:rsidRPr="008C7FCA">
        <w:rPr>
          <w:rFonts w:ascii="Arial" w:hAnsi="Arial" w:cs="Arial"/>
          <w:sz w:val="22"/>
          <w:szCs w:val="22"/>
          <w:lang w:val="en-US"/>
        </w:rPr>
        <w:t xml:space="preserve"> mutations in ctDNA</w:t>
      </w:r>
      <w:r w:rsidR="00424B29" w:rsidRPr="008C7FCA">
        <w:rPr>
          <w:rFonts w:ascii="Arial" w:hAnsi="Arial" w:cs="Arial"/>
          <w:sz w:val="22"/>
          <w:szCs w:val="22"/>
          <w:lang w:val="en-US"/>
        </w:rPr>
        <w:t>,</w:t>
      </w:r>
      <w:r w:rsidRPr="008C7FCA">
        <w:rPr>
          <w:rFonts w:ascii="Arial" w:hAnsi="Arial" w:cs="Arial"/>
          <w:sz w:val="22"/>
          <w:szCs w:val="22"/>
          <w:lang w:val="en-US"/>
        </w:rPr>
        <w:t xml:space="preserve"> treated with capivasertib </w:t>
      </w:r>
      <w:r w:rsidR="00722B83">
        <w:rPr>
          <w:rFonts w:ascii="Arial" w:hAnsi="Arial" w:cs="Arial"/>
          <w:sz w:val="22"/>
          <w:szCs w:val="22"/>
          <w:lang w:val="en-US"/>
        </w:rPr>
        <w:t>plus</w:t>
      </w:r>
      <w:r w:rsidR="00722B83" w:rsidRPr="008C7FCA">
        <w:rPr>
          <w:rFonts w:ascii="Arial" w:hAnsi="Arial" w:cs="Arial"/>
          <w:sz w:val="22"/>
          <w:szCs w:val="22"/>
          <w:lang w:val="en-US"/>
        </w:rPr>
        <w:t xml:space="preserve"> </w:t>
      </w:r>
      <w:r w:rsidRPr="008C7FCA">
        <w:rPr>
          <w:rFonts w:ascii="Arial" w:hAnsi="Arial" w:cs="Arial"/>
          <w:sz w:val="22"/>
          <w:szCs w:val="22"/>
          <w:lang w:val="en-US"/>
        </w:rPr>
        <w:t xml:space="preserve">fulvestrant. </w:t>
      </w:r>
      <w:r w:rsidR="00424B29" w:rsidRPr="008C7FCA">
        <w:rPr>
          <w:rFonts w:ascii="Arial" w:hAnsi="Arial" w:cs="Arial"/>
          <w:sz w:val="22"/>
          <w:szCs w:val="22"/>
          <w:lang w:val="en-US"/>
        </w:rPr>
        <w:t xml:space="preserve">Bars are colored by </w:t>
      </w:r>
      <w:r w:rsidR="00112DBF" w:rsidRPr="008C7FCA">
        <w:rPr>
          <w:rFonts w:ascii="Arial" w:hAnsi="Arial" w:cs="Arial"/>
          <w:i/>
          <w:iCs/>
          <w:sz w:val="22"/>
          <w:szCs w:val="22"/>
          <w:lang w:val="en-US"/>
        </w:rPr>
        <w:t>AKT1</w:t>
      </w:r>
      <w:r w:rsidR="00112DBF" w:rsidRPr="008C7FCA">
        <w:rPr>
          <w:rFonts w:ascii="Arial" w:hAnsi="Arial" w:cs="Arial"/>
          <w:sz w:val="22"/>
          <w:szCs w:val="22"/>
          <w:lang w:val="en-US"/>
        </w:rPr>
        <w:t xml:space="preserve"> mutation type.</w:t>
      </w:r>
      <w:r w:rsidR="00424B29" w:rsidRPr="008C7FCA">
        <w:rPr>
          <w:rFonts w:ascii="Arial" w:hAnsi="Arial" w:cs="Arial"/>
          <w:sz w:val="22"/>
          <w:szCs w:val="22"/>
          <w:lang w:val="en-US"/>
        </w:rPr>
        <w:t xml:space="preserve"> </w:t>
      </w:r>
      <w:r w:rsidRPr="008C7FCA">
        <w:rPr>
          <w:rFonts w:ascii="Arial" w:hAnsi="Arial" w:cs="Arial"/>
          <w:sz w:val="22"/>
          <w:szCs w:val="22"/>
          <w:lang w:val="en-US"/>
        </w:rPr>
        <w:t xml:space="preserve">Boxes </w:t>
      </w:r>
      <w:r w:rsidR="00BA4545">
        <w:rPr>
          <w:rFonts w:ascii="Arial" w:hAnsi="Arial" w:cs="Arial"/>
          <w:sz w:val="22"/>
          <w:szCs w:val="22"/>
          <w:lang w:val="en-US"/>
        </w:rPr>
        <w:t>above</w:t>
      </w:r>
      <w:r w:rsidR="00BA4545" w:rsidRPr="008C7FCA">
        <w:rPr>
          <w:rFonts w:ascii="Arial" w:hAnsi="Arial" w:cs="Arial"/>
          <w:sz w:val="22"/>
          <w:szCs w:val="22"/>
          <w:lang w:val="en-US"/>
        </w:rPr>
        <w:t xml:space="preserve"> </w:t>
      </w:r>
      <w:r w:rsidR="00112DBF" w:rsidRPr="008C7FCA">
        <w:rPr>
          <w:rFonts w:ascii="Arial" w:hAnsi="Arial" w:cs="Arial"/>
          <w:sz w:val="22"/>
          <w:szCs w:val="22"/>
          <w:lang w:val="en-US"/>
        </w:rPr>
        <w:t>indicate</w:t>
      </w:r>
      <w:r w:rsidR="00424B29" w:rsidRPr="008C7FCA">
        <w:rPr>
          <w:rFonts w:ascii="Arial" w:hAnsi="Arial" w:cs="Arial"/>
          <w:sz w:val="22"/>
          <w:szCs w:val="22"/>
          <w:lang w:val="en-US"/>
        </w:rPr>
        <w:t xml:space="preserve"> prior fulvestrant therapy</w:t>
      </w:r>
      <w:r w:rsidR="001C162B">
        <w:rPr>
          <w:rFonts w:ascii="Arial" w:hAnsi="Arial" w:cs="Arial"/>
          <w:sz w:val="22"/>
          <w:szCs w:val="22"/>
          <w:lang w:val="en-US"/>
        </w:rPr>
        <w:t xml:space="preserve"> (Cohort C)</w:t>
      </w:r>
      <w:r w:rsidR="00112DBF" w:rsidRPr="008C7FCA">
        <w:rPr>
          <w:rFonts w:ascii="Arial" w:hAnsi="Arial" w:cs="Arial"/>
          <w:sz w:val="22"/>
          <w:szCs w:val="22"/>
          <w:lang w:val="en-US"/>
        </w:rPr>
        <w:t>.</w:t>
      </w:r>
    </w:p>
    <w:p w14:paraId="3670F256" w14:textId="55571814" w:rsidR="00424B29" w:rsidRPr="008C7FCA" w:rsidRDefault="00F156E9" w:rsidP="00C12DD1">
      <w:pPr>
        <w:jc w:val="both"/>
        <w:rPr>
          <w:rFonts w:ascii="Arial" w:hAnsi="Arial" w:cs="Arial"/>
          <w:sz w:val="22"/>
          <w:szCs w:val="22"/>
          <w:lang w:val="en-US"/>
        </w:rPr>
      </w:pPr>
      <w:r>
        <w:rPr>
          <w:rFonts w:ascii="Arial" w:hAnsi="Arial" w:cs="Arial"/>
          <w:sz w:val="22"/>
          <w:szCs w:val="22"/>
          <w:lang w:val="en-US"/>
        </w:rPr>
        <w:t>B</w:t>
      </w:r>
      <w:r w:rsidR="00424B29" w:rsidRPr="008C7FCA">
        <w:rPr>
          <w:rFonts w:ascii="Arial" w:hAnsi="Arial" w:cs="Arial"/>
          <w:sz w:val="22"/>
          <w:szCs w:val="22"/>
          <w:lang w:val="en-US"/>
        </w:rPr>
        <w:t xml:space="preserve">. Waterfall plot of maximum change in </w:t>
      </w:r>
      <w:r w:rsidR="00C4772B">
        <w:rPr>
          <w:rFonts w:ascii="Arial" w:hAnsi="Arial" w:cs="Arial"/>
          <w:sz w:val="22"/>
          <w:szCs w:val="22"/>
          <w:lang w:val="en-US"/>
        </w:rPr>
        <w:t>tumour</w:t>
      </w:r>
      <w:r w:rsidR="00424B29" w:rsidRPr="008C7FCA">
        <w:rPr>
          <w:rFonts w:ascii="Arial" w:hAnsi="Arial" w:cs="Arial"/>
          <w:sz w:val="22"/>
          <w:szCs w:val="22"/>
          <w:lang w:val="en-US"/>
        </w:rPr>
        <w:t xml:space="preserve"> size in patients, with </w:t>
      </w:r>
      <w:r w:rsidR="00424B29" w:rsidRPr="008C7FCA">
        <w:rPr>
          <w:rFonts w:ascii="Arial" w:hAnsi="Arial" w:cs="Arial"/>
          <w:i/>
          <w:sz w:val="22"/>
          <w:szCs w:val="22"/>
          <w:lang w:val="en-US"/>
        </w:rPr>
        <w:t>AKT1</w:t>
      </w:r>
      <w:r w:rsidR="00424B29" w:rsidRPr="008C7FCA">
        <w:rPr>
          <w:rFonts w:ascii="Arial" w:hAnsi="Arial" w:cs="Arial"/>
          <w:sz w:val="22"/>
          <w:szCs w:val="22"/>
          <w:lang w:val="en-US"/>
        </w:rPr>
        <w:t xml:space="preserve"> mutations in HR- breast cancer or in activating </w:t>
      </w:r>
      <w:r w:rsidR="00424B29" w:rsidRPr="008C7FCA">
        <w:rPr>
          <w:rFonts w:ascii="Arial" w:hAnsi="Arial" w:cs="Arial"/>
          <w:i/>
          <w:sz w:val="22"/>
          <w:szCs w:val="22"/>
          <w:lang w:val="en-US"/>
        </w:rPr>
        <w:t xml:space="preserve">PTEN </w:t>
      </w:r>
      <w:r w:rsidR="00424B29" w:rsidRPr="008C7FCA">
        <w:rPr>
          <w:rFonts w:ascii="Arial" w:hAnsi="Arial" w:cs="Arial"/>
          <w:sz w:val="22"/>
          <w:szCs w:val="22"/>
          <w:lang w:val="en-US"/>
        </w:rPr>
        <w:t xml:space="preserve">mutations, treated with capivasertib. Bars are colored by </w:t>
      </w:r>
      <w:r w:rsidR="00112DBF" w:rsidRPr="008C7FCA">
        <w:rPr>
          <w:rFonts w:ascii="Arial" w:hAnsi="Arial" w:cs="Arial"/>
          <w:i/>
          <w:iCs/>
          <w:sz w:val="22"/>
          <w:szCs w:val="22"/>
          <w:lang w:val="en-US"/>
        </w:rPr>
        <w:t>AKT1</w:t>
      </w:r>
      <w:r w:rsidR="00112DBF" w:rsidRPr="008C7FCA">
        <w:rPr>
          <w:rFonts w:ascii="Arial" w:hAnsi="Arial" w:cs="Arial"/>
          <w:sz w:val="22"/>
          <w:szCs w:val="22"/>
          <w:lang w:val="en-US"/>
        </w:rPr>
        <w:t xml:space="preserve"> and </w:t>
      </w:r>
      <w:r w:rsidR="00112DBF" w:rsidRPr="008C7FCA">
        <w:rPr>
          <w:rFonts w:ascii="Arial" w:hAnsi="Arial" w:cs="Arial"/>
          <w:i/>
          <w:iCs/>
          <w:sz w:val="22"/>
          <w:szCs w:val="22"/>
          <w:lang w:val="en-US"/>
        </w:rPr>
        <w:t>PTEN</w:t>
      </w:r>
      <w:r w:rsidR="00112DBF" w:rsidRPr="008C7FCA">
        <w:rPr>
          <w:rFonts w:ascii="Arial" w:hAnsi="Arial" w:cs="Arial"/>
          <w:sz w:val="22"/>
          <w:szCs w:val="22"/>
          <w:lang w:val="en-US"/>
        </w:rPr>
        <w:t xml:space="preserve"> mutation type</w:t>
      </w:r>
      <w:r w:rsidR="00424B29" w:rsidRPr="008C7FCA">
        <w:rPr>
          <w:rFonts w:ascii="Arial" w:hAnsi="Arial" w:cs="Arial"/>
          <w:sz w:val="22"/>
          <w:szCs w:val="22"/>
          <w:lang w:val="en-US"/>
        </w:rPr>
        <w:t xml:space="preserve">. Boxes </w:t>
      </w:r>
      <w:r w:rsidR="00BA4545">
        <w:rPr>
          <w:rFonts w:ascii="Arial" w:hAnsi="Arial" w:cs="Arial"/>
          <w:sz w:val="22"/>
          <w:szCs w:val="22"/>
          <w:lang w:val="en-US"/>
        </w:rPr>
        <w:t>above</w:t>
      </w:r>
      <w:r w:rsidR="00BA4545" w:rsidRPr="008C7FCA">
        <w:rPr>
          <w:rFonts w:ascii="Arial" w:hAnsi="Arial" w:cs="Arial"/>
          <w:sz w:val="22"/>
          <w:szCs w:val="22"/>
          <w:lang w:val="en-US"/>
        </w:rPr>
        <w:t xml:space="preserve"> </w:t>
      </w:r>
      <w:r w:rsidR="00112DBF" w:rsidRPr="008C7FCA">
        <w:rPr>
          <w:rFonts w:ascii="Arial" w:hAnsi="Arial" w:cs="Arial"/>
          <w:sz w:val="22"/>
          <w:szCs w:val="22"/>
          <w:lang w:val="en-US"/>
        </w:rPr>
        <w:t>indicate testing in</w:t>
      </w:r>
      <w:r w:rsidR="00424B29" w:rsidRPr="008C7FCA">
        <w:rPr>
          <w:rFonts w:ascii="Arial" w:hAnsi="Arial" w:cs="Arial"/>
          <w:sz w:val="22"/>
          <w:szCs w:val="22"/>
          <w:lang w:val="en-US"/>
        </w:rPr>
        <w:t xml:space="preserve"> ctDNA or tissue, and </w:t>
      </w:r>
      <w:r w:rsidR="00C4772B">
        <w:rPr>
          <w:rFonts w:ascii="Arial" w:hAnsi="Arial" w:cs="Arial"/>
          <w:sz w:val="22"/>
          <w:szCs w:val="22"/>
          <w:lang w:val="en-US"/>
        </w:rPr>
        <w:t>tumour</w:t>
      </w:r>
      <w:r w:rsidR="00424B29" w:rsidRPr="008C7FCA">
        <w:rPr>
          <w:rFonts w:ascii="Arial" w:hAnsi="Arial" w:cs="Arial"/>
          <w:sz w:val="22"/>
          <w:szCs w:val="22"/>
          <w:lang w:val="en-US"/>
        </w:rPr>
        <w:t xml:space="preserve"> subtype</w:t>
      </w:r>
      <w:r w:rsidR="001C162B">
        <w:rPr>
          <w:rFonts w:ascii="Arial" w:hAnsi="Arial" w:cs="Arial"/>
          <w:sz w:val="22"/>
          <w:szCs w:val="22"/>
          <w:lang w:val="en-US"/>
        </w:rPr>
        <w:t xml:space="preserve"> (Cohort D)</w:t>
      </w:r>
      <w:r w:rsidR="00424B29" w:rsidRPr="008C7FCA">
        <w:rPr>
          <w:rFonts w:ascii="Arial" w:hAnsi="Arial" w:cs="Arial"/>
          <w:sz w:val="22"/>
          <w:szCs w:val="22"/>
          <w:lang w:val="en-US"/>
        </w:rPr>
        <w:t>.</w:t>
      </w:r>
    </w:p>
    <w:p w14:paraId="0D9350E5" w14:textId="1665BD7D" w:rsidR="008B4D86" w:rsidRPr="008B4D86" w:rsidRDefault="008B4D86" w:rsidP="00C12DD1">
      <w:pPr>
        <w:jc w:val="both"/>
        <w:rPr>
          <w:rFonts w:ascii="Arial" w:hAnsi="Arial" w:cs="Arial"/>
          <w:sz w:val="22"/>
          <w:szCs w:val="22"/>
          <w:lang w:val="en-US"/>
        </w:rPr>
      </w:pPr>
      <w:r w:rsidRPr="008B4D86">
        <w:rPr>
          <w:rFonts w:ascii="Arial" w:hAnsi="Arial" w:cs="Arial"/>
          <w:i/>
          <w:iCs/>
          <w:sz w:val="22"/>
          <w:szCs w:val="22"/>
          <w:lang w:val="en-US"/>
        </w:rPr>
        <w:t>PTEN</w:t>
      </w:r>
      <w:r>
        <w:rPr>
          <w:rFonts w:ascii="Arial" w:hAnsi="Arial" w:cs="Arial"/>
          <w:sz w:val="22"/>
          <w:szCs w:val="22"/>
          <w:lang w:val="en-US"/>
        </w:rPr>
        <w:t xml:space="preserve"> SNV – </w:t>
      </w:r>
      <w:r w:rsidRPr="008B4D86">
        <w:rPr>
          <w:rFonts w:ascii="Arial" w:hAnsi="Arial" w:cs="Arial"/>
          <w:i/>
          <w:iCs/>
          <w:sz w:val="22"/>
          <w:szCs w:val="22"/>
          <w:lang w:val="en-US"/>
        </w:rPr>
        <w:t>PTEN</w:t>
      </w:r>
      <w:r>
        <w:rPr>
          <w:rFonts w:ascii="Arial" w:hAnsi="Arial" w:cs="Arial"/>
          <w:sz w:val="22"/>
          <w:szCs w:val="22"/>
          <w:lang w:val="en-US"/>
        </w:rPr>
        <w:t xml:space="preserve"> single nucleotide variant pathogenic mutation. </w:t>
      </w:r>
      <w:r w:rsidRPr="008B4D86">
        <w:rPr>
          <w:rFonts w:ascii="Arial" w:hAnsi="Arial" w:cs="Arial"/>
          <w:i/>
          <w:iCs/>
          <w:sz w:val="22"/>
          <w:szCs w:val="22"/>
          <w:lang w:val="en-US"/>
        </w:rPr>
        <w:t>PTEN</w:t>
      </w:r>
      <w:r>
        <w:rPr>
          <w:rFonts w:ascii="Arial" w:hAnsi="Arial" w:cs="Arial"/>
          <w:sz w:val="22"/>
          <w:szCs w:val="22"/>
          <w:lang w:val="en-US"/>
        </w:rPr>
        <w:t xml:space="preserve"> truncating – </w:t>
      </w:r>
      <w:r w:rsidRPr="008B4D86">
        <w:rPr>
          <w:rFonts w:ascii="Arial" w:hAnsi="Arial" w:cs="Arial"/>
          <w:i/>
          <w:iCs/>
          <w:sz w:val="22"/>
          <w:szCs w:val="22"/>
          <w:lang w:val="en-US"/>
        </w:rPr>
        <w:t>PTEN</w:t>
      </w:r>
      <w:r>
        <w:rPr>
          <w:rFonts w:ascii="Arial" w:hAnsi="Arial" w:cs="Arial"/>
          <w:sz w:val="22"/>
          <w:szCs w:val="22"/>
          <w:lang w:val="en-US"/>
        </w:rPr>
        <w:t xml:space="preserve"> truncating non-sense or frameshift mutation. </w:t>
      </w:r>
      <w:r w:rsidRPr="008B4D86">
        <w:rPr>
          <w:rFonts w:ascii="Arial" w:hAnsi="Arial" w:cs="Arial"/>
          <w:i/>
          <w:iCs/>
          <w:sz w:val="22"/>
          <w:szCs w:val="22"/>
          <w:lang w:val="en-US"/>
        </w:rPr>
        <w:t>PTEN</w:t>
      </w:r>
      <w:r>
        <w:rPr>
          <w:rFonts w:ascii="Arial" w:hAnsi="Arial" w:cs="Arial"/>
          <w:sz w:val="22"/>
          <w:szCs w:val="22"/>
          <w:lang w:val="en-US"/>
        </w:rPr>
        <w:t xml:space="preserve"> deletion – </w:t>
      </w:r>
      <w:r>
        <w:rPr>
          <w:rFonts w:ascii="Arial" w:hAnsi="Arial" w:cs="Arial"/>
          <w:i/>
          <w:iCs/>
          <w:sz w:val="22"/>
          <w:szCs w:val="22"/>
          <w:lang w:val="en-US"/>
        </w:rPr>
        <w:t xml:space="preserve">PTEN </w:t>
      </w:r>
      <w:r>
        <w:rPr>
          <w:rFonts w:ascii="Arial" w:hAnsi="Arial" w:cs="Arial"/>
          <w:sz w:val="22"/>
          <w:szCs w:val="22"/>
          <w:lang w:val="en-US"/>
        </w:rPr>
        <w:t>homozygous deletion</w:t>
      </w:r>
    </w:p>
    <w:p w14:paraId="71F7BE05" w14:textId="57780CF9" w:rsidR="00280322" w:rsidRPr="008C7FCA" w:rsidRDefault="00280322" w:rsidP="00A61489">
      <w:pPr>
        <w:spacing w:line="240" w:lineRule="auto"/>
        <w:jc w:val="both"/>
        <w:rPr>
          <w:rFonts w:ascii="Arial" w:hAnsi="Arial" w:cs="Arial"/>
          <w:sz w:val="22"/>
          <w:szCs w:val="22"/>
          <w:lang w:val="en-US"/>
        </w:rPr>
      </w:pPr>
    </w:p>
    <w:sectPr w:rsidR="00280322" w:rsidRPr="008C7FCA" w:rsidSect="001C3D9A">
      <w:pgSz w:w="11900" w:h="16840"/>
      <w:pgMar w:top="1440" w:right="1440" w:bottom="1440"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44FF5" w16cex:dateUtc="2020-06-17T07:16:00Z"/>
  <w16cex:commentExtensible w16cex:durableId="22945006" w16cex:dateUtc="2020-06-17T07:17:00Z"/>
  <w16cex:commentExtensible w16cex:durableId="22908571" w16cex:dateUtc="2020-06-14T10: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F3C93BB" w16cid:durableId="22944F0D"/>
  <w16cid:commentId w16cid:paraId="6439CF6A" w16cid:durableId="22944FF5"/>
  <w16cid:commentId w16cid:paraId="41DDFAC2" w16cid:durableId="22944F0E"/>
  <w16cid:commentId w16cid:paraId="2B0E2982" w16cid:durableId="22945006"/>
  <w16cid:commentId w16cid:paraId="068736A3" w16cid:durableId="22944F0F"/>
  <w16cid:commentId w16cid:paraId="7EC3F722" w16cid:durableId="22944F10"/>
  <w16cid:commentId w16cid:paraId="7158D07E" w16cid:durableId="22944F11"/>
  <w16cid:commentId w16cid:paraId="2D401663" w16cid:durableId="22944F12"/>
  <w16cid:commentId w16cid:paraId="1AE901D3" w16cid:durableId="228D17A8"/>
  <w16cid:commentId w16cid:paraId="53A444AC" w16cid:durableId="22944F14"/>
  <w16cid:commentId w16cid:paraId="5BF9F0B3" w16cid:durableId="22944F15"/>
  <w16cid:commentId w16cid:paraId="4F5586B4" w16cid:durableId="22944F16"/>
  <w16cid:commentId w16cid:paraId="62813A08" w16cid:durableId="22944F17"/>
  <w16cid:commentId w16cid:paraId="79186DAC" w16cid:durableId="22907DC3"/>
  <w16cid:commentId w16cid:paraId="6406BFF0" w16cid:durableId="22907DC4"/>
  <w16cid:commentId w16cid:paraId="5E4EE6E9" w16cid:durableId="22907DC5"/>
  <w16cid:commentId w16cid:paraId="4A2375BF" w16cid:durableId="22907DC6"/>
  <w16cid:commentId w16cid:paraId="3938ED34" w16cid:durableId="22908571"/>
  <w16cid:commentId w16cid:paraId="047E14B9" w16cid:durableId="22944F1D"/>
  <w16cid:commentId w16cid:paraId="77D2AB38" w16cid:durableId="22907DC7"/>
  <w16cid:commentId w16cid:paraId="1F713926" w16cid:durableId="22907DC8"/>
  <w16cid:commentId w16cid:paraId="59376801" w16cid:durableId="22907DC9"/>
  <w16cid:commentId w16cid:paraId="729230AB" w16cid:durableId="22944F2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5071E" w14:textId="77777777" w:rsidR="0067473B" w:rsidRDefault="0067473B" w:rsidP="00614E37">
      <w:pPr>
        <w:spacing w:after="0" w:line="240" w:lineRule="auto"/>
      </w:pPr>
      <w:r>
        <w:separator/>
      </w:r>
    </w:p>
  </w:endnote>
  <w:endnote w:type="continuationSeparator" w:id="0">
    <w:p w14:paraId="0D6D0E59" w14:textId="77777777" w:rsidR="0067473B" w:rsidRDefault="0067473B" w:rsidP="00614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haker 2 Lancet Regular">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calaLancetPro">
    <w:altName w:val="MS Mincho"/>
    <w:panose1 w:val="00000000000000000000"/>
    <w:charset w:val="00"/>
    <w:family w:val="roman"/>
    <w:notTrueType/>
    <w:pitch w:val="default"/>
    <w:sig w:usb0="00000000" w:usb1="08070000" w:usb2="00000010" w:usb3="00000000" w:csb0="00020001" w:csb1="00000000"/>
  </w:font>
  <w:font w:name="Cambria Math">
    <w:panose1 w:val="02040503050406030204"/>
    <w:charset w:val="00"/>
    <w:family w:val="roman"/>
    <w:pitch w:val="variable"/>
    <w:sig w:usb0="E00002FF" w:usb1="420024FF" w:usb2="00000000" w:usb3="00000000" w:csb0="0000019F" w:csb1="00000000"/>
  </w:font>
  <w:font w:name="OTNEJMQuadraat">
    <w:altName w:val="MS Mincho"/>
    <w:panose1 w:val="00000000000000000000"/>
    <w:charset w:val="80"/>
    <w:family w:val="roman"/>
    <w:notTrueType/>
    <w:pitch w:val="default"/>
    <w:sig w:usb0="00000000" w:usb1="08070000" w:usb2="00000010" w:usb3="00000000" w:csb0="00020000" w:csb1="00000000"/>
  </w:font>
  <w:font w:name="Myriad Pro">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4740031"/>
      <w:docPartObj>
        <w:docPartGallery w:val="Page Numbers (Bottom of Page)"/>
        <w:docPartUnique/>
      </w:docPartObj>
    </w:sdtPr>
    <w:sdtEndPr>
      <w:rPr>
        <w:noProof/>
      </w:rPr>
    </w:sdtEndPr>
    <w:sdtContent>
      <w:p w14:paraId="29E2FF48" w14:textId="2042209C" w:rsidR="0067473B" w:rsidRDefault="0067473B">
        <w:pPr>
          <w:pStyle w:val="Footer"/>
          <w:jc w:val="right"/>
        </w:pPr>
        <w:r>
          <w:fldChar w:fldCharType="begin"/>
        </w:r>
        <w:r>
          <w:instrText xml:space="preserve"> PAGE   \* MERGEFORMAT </w:instrText>
        </w:r>
        <w:r>
          <w:fldChar w:fldCharType="separate"/>
        </w:r>
        <w:r w:rsidR="00EF0257">
          <w:rPr>
            <w:noProof/>
          </w:rPr>
          <w:t>20</w:t>
        </w:r>
        <w:r>
          <w:rPr>
            <w:noProof/>
          </w:rPr>
          <w:fldChar w:fldCharType="end"/>
        </w:r>
      </w:p>
    </w:sdtContent>
  </w:sdt>
  <w:p w14:paraId="46CB305E" w14:textId="77777777" w:rsidR="0067473B" w:rsidRDefault="006747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8345A0" w14:textId="77777777" w:rsidR="0067473B" w:rsidRDefault="0067473B" w:rsidP="00614E37">
      <w:pPr>
        <w:spacing w:after="0" w:line="240" w:lineRule="auto"/>
      </w:pPr>
      <w:r>
        <w:separator/>
      </w:r>
    </w:p>
  </w:footnote>
  <w:footnote w:type="continuationSeparator" w:id="0">
    <w:p w14:paraId="7B496A10" w14:textId="77777777" w:rsidR="0067473B" w:rsidRDefault="0067473B" w:rsidP="00614E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735DE"/>
    <w:multiLevelType w:val="hybridMultilevel"/>
    <w:tmpl w:val="0C44FAD0"/>
    <w:lvl w:ilvl="0" w:tplc="C1323296">
      <w:start w:val="1"/>
      <w:numFmt w:val="bullet"/>
      <w:pStyle w:val="Bulletlistlevel1"/>
      <w:lvlText w:val=""/>
      <w:lvlJc w:val="left"/>
      <w:pPr>
        <w:tabs>
          <w:tab w:val="num" w:pos="3479"/>
        </w:tabs>
        <w:ind w:left="3479" w:hanging="360"/>
      </w:pPr>
      <w:rPr>
        <w:rFonts w:ascii="Symbol" w:hAnsi="Symbol" w:hint="default"/>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1E0ACD7A">
      <w:start w:val="1"/>
      <w:numFmt w:val="decimal"/>
      <w:lvlText w:val="%4."/>
      <w:lvlJc w:val="left"/>
      <w:pPr>
        <w:tabs>
          <w:tab w:val="num" w:pos="2880"/>
        </w:tabs>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382111DB"/>
    <w:multiLevelType w:val="hybridMultilevel"/>
    <w:tmpl w:val="5F84C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3B223C"/>
    <w:multiLevelType w:val="hybridMultilevel"/>
    <w:tmpl w:val="28E08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FD4DEE"/>
    <w:multiLevelType w:val="hybridMultilevel"/>
    <w:tmpl w:val="0B0E65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E101A0"/>
    <w:multiLevelType w:val="hybridMultilevel"/>
    <w:tmpl w:val="2326D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3A27E9"/>
    <w:multiLevelType w:val="hybridMultilevel"/>
    <w:tmpl w:val="06A2F3C4"/>
    <w:lvl w:ilvl="0" w:tplc="08090001">
      <w:start w:val="1"/>
      <w:numFmt w:val="bullet"/>
      <w:lvlText w:val=""/>
      <w:lvlJc w:val="left"/>
      <w:pPr>
        <w:tabs>
          <w:tab w:val="num" w:pos="360"/>
        </w:tabs>
        <w:ind w:left="360" w:hanging="360"/>
      </w:pPr>
      <w:rPr>
        <w:rFonts w:ascii="Symbol" w:hAnsi="Symbol" w:hint="default"/>
        <w:i w:val="0"/>
      </w:rPr>
    </w:lvl>
    <w:lvl w:ilvl="1" w:tplc="3D984E70">
      <w:start w:val="1"/>
      <w:numFmt w:val="bullet"/>
      <w:pStyle w:val="Bulletlistlevel2b"/>
      <w:lvlText w:val="o"/>
      <w:lvlJc w:val="left"/>
      <w:pPr>
        <w:tabs>
          <w:tab w:val="num" w:pos="1440"/>
        </w:tabs>
        <w:ind w:left="1440" w:hanging="360"/>
      </w:pPr>
      <w:rPr>
        <w:rFonts w:ascii="Courier New" w:hAnsi="Courier New"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65A548A4"/>
    <w:multiLevelType w:val="hybridMultilevel"/>
    <w:tmpl w:val="19D2D0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s-ES"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Lancet&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e29zw0dpdxzslewd9bv2t9z0r5vt2aaxwd2&quot;&gt;My EndNote Library&lt;record-ids&gt;&lt;item&gt;73&lt;/item&gt;&lt;item&gt;104&lt;/item&gt;&lt;item&gt;115&lt;/item&gt;&lt;item&gt;346&lt;/item&gt;&lt;item&gt;457&lt;/item&gt;&lt;item&gt;480&lt;/item&gt;&lt;item&gt;483&lt;/item&gt;&lt;item&gt;494&lt;/item&gt;&lt;item&gt;495&lt;/item&gt;&lt;item&gt;515&lt;/item&gt;&lt;item&gt;516&lt;/item&gt;&lt;item&gt;517&lt;/item&gt;&lt;item&gt;518&lt;/item&gt;&lt;item&gt;519&lt;/item&gt;&lt;item&gt;520&lt;/item&gt;&lt;item&gt;521&lt;/item&gt;&lt;item&gt;522&lt;/item&gt;&lt;item&gt;523&lt;/item&gt;&lt;item&gt;524&lt;/item&gt;&lt;item&gt;525&lt;/item&gt;&lt;item&gt;526&lt;/item&gt;&lt;item&gt;530&lt;/item&gt;&lt;item&gt;531&lt;/item&gt;&lt;item&gt;532&lt;/item&gt;&lt;/record-ids&gt;&lt;/item&gt;&lt;/Libraries&gt;"/>
  </w:docVars>
  <w:rsids>
    <w:rsidRoot w:val="00BF0D19"/>
    <w:rsid w:val="00000DF4"/>
    <w:rsid w:val="00004B3F"/>
    <w:rsid w:val="00004C7E"/>
    <w:rsid w:val="000061EC"/>
    <w:rsid w:val="00006F0E"/>
    <w:rsid w:val="0000731F"/>
    <w:rsid w:val="000075DA"/>
    <w:rsid w:val="00011525"/>
    <w:rsid w:val="0001170C"/>
    <w:rsid w:val="00013486"/>
    <w:rsid w:val="00014FA5"/>
    <w:rsid w:val="00015D64"/>
    <w:rsid w:val="000217E1"/>
    <w:rsid w:val="00021FA5"/>
    <w:rsid w:val="000228CB"/>
    <w:rsid w:val="000233B6"/>
    <w:rsid w:val="000249A5"/>
    <w:rsid w:val="00024C2D"/>
    <w:rsid w:val="00026859"/>
    <w:rsid w:val="000275DE"/>
    <w:rsid w:val="00027826"/>
    <w:rsid w:val="00031FFC"/>
    <w:rsid w:val="00034287"/>
    <w:rsid w:val="000344E3"/>
    <w:rsid w:val="00034A36"/>
    <w:rsid w:val="00034CEC"/>
    <w:rsid w:val="000359B3"/>
    <w:rsid w:val="00037801"/>
    <w:rsid w:val="000406CE"/>
    <w:rsid w:val="00040B40"/>
    <w:rsid w:val="00041B3F"/>
    <w:rsid w:val="000427E8"/>
    <w:rsid w:val="0004285B"/>
    <w:rsid w:val="00042BB3"/>
    <w:rsid w:val="000436AC"/>
    <w:rsid w:val="000439B8"/>
    <w:rsid w:val="00044380"/>
    <w:rsid w:val="000447F5"/>
    <w:rsid w:val="00044D02"/>
    <w:rsid w:val="00046B59"/>
    <w:rsid w:val="000501EE"/>
    <w:rsid w:val="0005022A"/>
    <w:rsid w:val="00050FED"/>
    <w:rsid w:val="00053145"/>
    <w:rsid w:val="0005339F"/>
    <w:rsid w:val="0005617B"/>
    <w:rsid w:val="00056468"/>
    <w:rsid w:val="0005666D"/>
    <w:rsid w:val="00056942"/>
    <w:rsid w:val="000571FA"/>
    <w:rsid w:val="00061738"/>
    <w:rsid w:val="00061B47"/>
    <w:rsid w:val="00062618"/>
    <w:rsid w:val="000628FC"/>
    <w:rsid w:val="00062B0C"/>
    <w:rsid w:val="000631F8"/>
    <w:rsid w:val="00063EC3"/>
    <w:rsid w:val="000671ED"/>
    <w:rsid w:val="000711E5"/>
    <w:rsid w:val="00072702"/>
    <w:rsid w:val="00072F61"/>
    <w:rsid w:val="0007422A"/>
    <w:rsid w:val="00074497"/>
    <w:rsid w:val="00077263"/>
    <w:rsid w:val="00077A17"/>
    <w:rsid w:val="000807EE"/>
    <w:rsid w:val="000831D3"/>
    <w:rsid w:val="0008339A"/>
    <w:rsid w:val="000845DE"/>
    <w:rsid w:val="00084E05"/>
    <w:rsid w:val="00090A37"/>
    <w:rsid w:val="00093279"/>
    <w:rsid w:val="00095BA7"/>
    <w:rsid w:val="000979BF"/>
    <w:rsid w:val="000A281B"/>
    <w:rsid w:val="000A4A0C"/>
    <w:rsid w:val="000A4DE2"/>
    <w:rsid w:val="000A7DEF"/>
    <w:rsid w:val="000B0EE9"/>
    <w:rsid w:val="000B1132"/>
    <w:rsid w:val="000B36BC"/>
    <w:rsid w:val="000B4747"/>
    <w:rsid w:val="000B5BCD"/>
    <w:rsid w:val="000B7CE5"/>
    <w:rsid w:val="000C2221"/>
    <w:rsid w:val="000C5133"/>
    <w:rsid w:val="000C51D5"/>
    <w:rsid w:val="000C6699"/>
    <w:rsid w:val="000C6842"/>
    <w:rsid w:val="000C6FDC"/>
    <w:rsid w:val="000D04D4"/>
    <w:rsid w:val="000D0E1C"/>
    <w:rsid w:val="000D3995"/>
    <w:rsid w:val="000E305C"/>
    <w:rsid w:val="000E31DB"/>
    <w:rsid w:val="000E6422"/>
    <w:rsid w:val="000F11F1"/>
    <w:rsid w:val="000F5B8A"/>
    <w:rsid w:val="000F5C33"/>
    <w:rsid w:val="000F6A77"/>
    <w:rsid w:val="000F7D4B"/>
    <w:rsid w:val="00100C95"/>
    <w:rsid w:val="00101E4E"/>
    <w:rsid w:val="00102706"/>
    <w:rsid w:val="00102E1E"/>
    <w:rsid w:val="001057D4"/>
    <w:rsid w:val="001079F9"/>
    <w:rsid w:val="00107A7A"/>
    <w:rsid w:val="00107C53"/>
    <w:rsid w:val="00110034"/>
    <w:rsid w:val="00110225"/>
    <w:rsid w:val="00111BCB"/>
    <w:rsid w:val="00112408"/>
    <w:rsid w:val="0011254A"/>
    <w:rsid w:val="00112DBF"/>
    <w:rsid w:val="00113264"/>
    <w:rsid w:val="001132A3"/>
    <w:rsid w:val="00115220"/>
    <w:rsid w:val="001152CA"/>
    <w:rsid w:val="00115B70"/>
    <w:rsid w:val="001169E3"/>
    <w:rsid w:val="001217AF"/>
    <w:rsid w:val="00122349"/>
    <w:rsid w:val="00123C90"/>
    <w:rsid w:val="001256F6"/>
    <w:rsid w:val="00131AB6"/>
    <w:rsid w:val="0013321A"/>
    <w:rsid w:val="001351DC"/>
    <w:rsid w:val="00136761"/>
    <w:rsid w:val="001375FB"/>
    <w:rsid w:val="0014057E"/>
    <w:rsid w:val="001415A0"/>
    <w:rsid w:val="00141971"/>
    <w:rsid w:val="00141F05"/>
    <w:rsid w:val="0014360F"/>
    <w:rsid w:val="00143D1E"/>
    <w:rsid w:val="0014459D"/>
    <w:rsid w:val="00144E42"/>
    <w:rsid w:val="0014610F"/>
    <w:rsid w:val="00150133"/>
    <w:rsid w:val="001536A6"/>
    <w:rsid w:val="0015375F"/>
    <w:rsid w:val="00154F03"/>
    <w:rsid w:val="00155D5F"/>
    <w:rsid w:val="00156DCD"/>
    <w:rsid w:val="00160C81"/>
    <w:rsid w:val="00160D00"/>
    <w:rsid w:val="00162473"/>
    <w:rsid w:val="001628A9"/>
    <w:rsid w:val="0016319A"/>
    <w:rsid w:val="001639EE"/>
    <w:rsid w:val="00163E98"/>
    <w:rsid w:val="00164DD4"/>
    <w:rsid w:val="00167255"/>
    <w:rsid w:val="00167D39"/>
    <w:rsid w:val="00170C2B"/>
    <w:rsid w:val="001719B7"/>
    <w:rsid w:val="001759B9"/>
    <w:rsid w:val="00175CDA"/>
    <w:rsid w:val="0018053A"/>
    <w:rsid w:val="00181AE3"/>
    <w:rsid w:val="001820D9"/>
    <w:rsid w:val="00182327"/>
    <w:rsid w:val="001844A8"/>
    <w:rsid w:val="001844DB"/>
    <w:rsid w:val="00184804"/>
    <w:rsid w:val="00185041"/>
    <w:rsid w:val="001857C4"/>
    <w:rsid w:val="00190DEC"/>
    <w:rsid w:val="00191618"/>
    <w:rsid w:val="0019178E"/>
    <w:rsid w:val="0019483F"/>
    <w:rsid w:val="00195875"/>
    <w:rsid w:val="00197F11"/>
    <w:rsid w:val="001A13C9"/>
    <w:rsid w:val="001A4C82"/>
    <w:rsid w:val="001A4FE2"/>
    <w:rsid w:val="001A5074"/>
    <w:rsid w:val="001A5170"/>
    <w:rsid w:val="001A6203"/>
    <w:rsid w:val="001A7958"/>
    <w:rsid w:val="001B0040"/>
    <w:rsid w:val="001B17A2"/>
    <w:rsid w:val="001B1917"/>
    <w:rsid w:val="001B38EA"/>
    <w:rsid w:val="001B3EF7"/>
    <w:rsid w:val="001B466E"/>
    <w:rsid w:val="001B503A"/>
    <w:rsid w:val="001B5530"/>
    <w:rsid w:val="001B6A52"/>
    <w:rsid w:val="001C162B"/>
    <w:rsid w:val="001C2BE5"/>
    <w:rsid w:val="001C3A52"/>
    <w:rsid w:val="001C3D9A"/>
    <w:rsid w:val="001C3DD5"/>
    <w:rsid w:val="001C5138"/>
    <w:rsid w:val="001C5C25"/>
    <w:rsid w:val="001C77CF"/>
    <w:rsid w:val="001C7AD0"/>
    <w:rsid w:val="001D1B66"/>
    <w:rsid w:val="001D2CA8"/>
    <w:rsid w:val="001D2CCE"/>
    <w:rsid w:val="001D2E3F"/>
    <w:rsid w:val="001D3136"/>
    <w:rsid w:val="001D4A7A"/>
    <w:rsid w:val="001D5792"/>
    <w:rsid w:val="001D66B4"/>
    <w:rsid w:val="001E048D"/>
    <w:rsid w:val="001E0536"/>
    <w:rsid w:val="001E0CF0"/>
    <w:rsid w:val="001E1802"/>
    <w:rsid w:val="001E2EBB"/>
    <w:rsid w:val="001E48C4"/>
    <w:rsid w:val="001E5864"/>
    <w:rsid w:val="001F1D78"/>
    <w:rsid w:val="001F426E"/>
    <w:rsid w:val="001F493D"/>
    <w:rsid w:val="001F5659"/>
    <w:rsid w:val="001F60C9"/>
    <w:rsid w:val="001F69C0"/>
    <w:rsid w:val="001F7047"/>
    <w:rsid w:val="002005B5"/>
    <w:rsid w:val="0020095A"/>
    <w:rsid w:val="0020139E"/>
    <w:rsid w:val="00203979"/>
    <w:rsid w:val="00204635"/>
    <w:rsid w:val="00205043"/>
    <w:rsid w:val="0020532E"/>
    <w:rsid w:val="00206DA7"/>
    <w:rsid w:val="002137FB"/>
    <w:rsid w:val="00213966"/>
    <w:rsid w:val="00214215"/>
    <w:rsid w:val="00221BB2"/>
    <w:rsid w:val="0022216D"/>
    <w:rsid w:val="0023213F"/>
    <w:rsid w:val="00232402"/>
    <w:rsid w:val="00233180"/>
    <w:rsid w:val="002331F5"/>
    <w:rsid w:val="00233C15"/>
    <w:rsid w:val="00234369"/>
    <w:rsid w:val="0023533E"/>
    <w:rsid w:val="0023669F"/>
    <w:rsid w:val="0023785B"/>
    <w:rsid w:val="00240A18"/>
    <w:rsid w:val="00240E7B"/>
    <w:rsid w:val="002422C8"/>
    <w:rsid w:val="00243CB8"/>
    <w:rsid w:val="00244D0B"/>
    <w:rsid w:val="00245018"/>
    <w:rsid w:val="0024539D"/>
    <w:rsid w:val="0025172D"/>
    <w:rsid w:val="002522D6"/>
    <w:rsid w:val="00254FA7"/>
    <w:rsid w:val="0025531F"/>
    <w:rsid w:val="002562EA"/>
    <w:rsid w:val="0025795B"/>
    <w:rsid w:val="00257EA7"/>
    <w:rsid w:val="0026226F"/>
    <w:rsid w:val="00262D81"/>
    <w:rsid w:val="002658E7"/>
    <w:rsid w:val="00265A70"/>
    <w:rsid w:val="00265A95"/>
    <w:rsid w:val="002668F0"/>
    <w:rsid w:val="002672BB"/>
    <w:rsid w:val="0027113D"/>
    <w:rsid w:val="0027147B"/>
    <w:rsid w:val="00271C6B"/>
    <w:rsid w:val="00275064"/>
    <w:rsid w:val="002750E5"/>
    <w:rsid w:val="00275B26"/>
    <w:rsid w:val="00277B03"/>
    <w:rsid w:val="00277E50"/>
    <w:rsid w:val="00280322"/>
    <w:rsid w:val="00280A78"/>
    <w:rsid w:val="00280D11"/>
    <w:rsid w:val="002832B3"/>
    <w:rsid w:val="002836DA"/>
    <w:rsid w:val="002839C7"/>
    <w:rsid w:val="002857D1"/>
    <w:rsid w:val="00287A7F"/>
    <w:rsid w:val="00287E09"/>
    <w:rsid w:val="00290209"/>
    <w:rsid w:val="002905BE"/>
    <w:rsid w:val="00293432"/>
    <w:rsid w:val="00293559"/>
    <w:rsid w:val="00295142"/>
    <w:rsid w:val="002A08D3"/>
    <w:rsid w:val="002A23E8"/>
    <w:rsid w:val="002A240D"/>
    <w:rsid w:val="002A2A8C"/>
    <w:rsid w:val="002A7F98"/>
    <w:rsid w:val="002B0F97"/>
    <w:rsid w:val="002B2652"/>
    <w:rsid w:val="002B395F"/>
    <w:rsid w:val="002B5DBC"/>
    <w:rsid w:val="002B7502"/>
    <w:rsid w:val="002B77B3"/>
    <w:rsid w:val="002B79ED"/>
    <w:rsid w:val="002C0F96"/>
    <w:rsid w:val="002C22D3"/>
    <w:rsid w:val="002C2361"/>
    <w:rsid w:val="002C2672"/>
    <w:rsid w:val="002C2B09"/>
    <w:rsid w:val="002C3210"/>
    <w:rsid w:val="002C3238"/>
    <w:rsid w:val="002C4362"/>
    <w:rsid w:val="002C5EE2"/>
    <w:rsid w:val="002C678B"/>
    <w:rsid w:val="002C7EED"/>
    <w:rsid w:val="002D18EF"/>
    <w:rsid w:val="002D2EC4"/>
    <w:rsid w:val="002D2F6A"/>
    <w:rsid w:val="002D550A"/>
    <w:rsid w:val="002D62A8"/>
    <w:rsid w:val="002E5883"/>
    <w:rsid w:val="002F0064"/>
    <w:rsid w:val="002F1783"/>
    <w:rsid w:val="002F22C0"/>
    <w:rsid w:val="002F2BF6"/>
    <w:rsid w:val="002F3A74"/>
    <w:rsid w:val="002F54B5"/>
    <w:rsid w:val="00300A9C"/>
    <w:rsid w:val="003026A6"/>
    <w:rsid w:val="00303DDB"/>
    <w:rsid w:val="00304D00"/>
    <w:rsid w:val="00307C72"/>
    <w:rsid w:val="0031076F"/>
    <w:rsid w:val="00311F78"/>
    <w:rsid w:val="0031377A"/>
    <w:rsid w:val="003141D6"/>
    <w:rsid w:val="003155AE"/>
    <w:rsid w:val="00315CBD"/>
    <w:rsid w:val="003167F6"/>
    <w:rsid w:val="00317842"/>
    <w:rsid w:val="00317B83"/>
    <w:rsid w:val="00320480"/>
    <w:rsid w:val="00323334"/>
    <w:rsid w:val="003258B8"/>
    <w:rsid w:val="003272D2"/>
    <w:rsid w:val="00332B9C"/>
    <w:rsid w:val="00332CA3"/>
    <w:rsid w:val="00333904"/>
    <w:rsid w:val="00334556"/>
    <w:rsid w:val="003354C8"/>
    <w:rsid w:val="00335DE1"/>
    <w:rsid w:val="00336899"/>
    <w:rsid w:val="00337487"/>
    <w:rsid w:val="003417C0"/>
    <w:rsid w:val="00341AAA"/>
    <w:rsid w:val="00342857"/>
    <w:rsid w:val="00342D2A"/>
    <w:rsid w:val="00343329"/>
    <w:rsid w:val="00343B47"/>
    <w:rsid w:val="00344C4D"/>
    <w:rsid w:val="00344CC3"/>
    <w:rsid w:val="00345904"/>
    <w:rsid w:val="00346264"/>
    <w:rsid w:val="003471B6"/>
    <w:rsid w:val="0035255B"/>
    <w:rsid w:val="00352BF0"/>
    <w:rsid w:val="00353C9D"/>
    <w:rsid w:val="0035727D"/>
    <w:rsid w:val="00357436"/>
    <w:rsid w:val="003603B0"/>
    <w:rsid w:val="003606EA"/>
    <w:rsid w:val="003610C7"/>
    <w:rsid w:val="003614DC"/>
    <w:rsid w:val="0036164A"/>
    <w:rsid w:val="00361AB0"/>
    <w:rsid w:val="00361FEC"/>
    <w:rsid w:val="00362649"/>
    <w:rsid w:val="0036323A"/>
    <w:rsid w:val="003640BE"/>
    <w:rsid w:val="00364F79"/>
    <w:rsid w:val="00366828"/>
    <w:rsid w:val="00367E7C"/>
    <w:rsid w:val="003705C0"/>
    <w:rsid w:val="00371377"/>
    <w:rsid w:val="00371E77"/>
    <w:rsid w:val="00372839"/>
    <w:rsid w:val="00373331"/>
    <w:rsid w:val="00373A9F"/>
    <w:rsid w:val="00373CFB"/>
    <w:rsid w:val="0037441F"/>
    <w:rsid w:val="003760BD"/>
    <w:rsid w:val="003766A4"/>
    <w:rsid w:val="00377380"/>
    <w:rsid w:val="00377E2C"/>
    <w:rsid w:val="00380105"/>
    <w:rsid w:val="00380106"/>
    <w:rsid w:val="0038255A"/>
    <w:rsid w:val="00382DB9"/>
    <w:rsid w:val="00383C5B"/>
    <w:rsid w:val="00385126"/>
    <w:rsid w:val="00385586"/>
    <w:rsid w:val="00385C15"/>
    <w:rsid w:val="00386842"/>
    <w:rsid w:val="0039013D"/>
    <w:rsid w:val="00390741"/>
    <w:rsid w:val="00390FA2"/>
    <w:rsid w:val="00392495"/>
    <w:rsid w:val="00393067"/>
    <w:rsid w:val="00393108"/>
    <w:rsid w:val="00393524"/>
    <w:rsid w:val="0039515F"/>
    <w:rsid w:val="00395294"/>
    <w:rsid w:val="003968A6"/>
    <w:rsid w:val="00397D71"/>
    <w:rsid w:val="003A2565"/>
    <w:rsid w:val="003A496F"/>
    <w:rsid w:val="003A6C7C"/>
    <w:rsid w:val="003B01A8"/>
    <w:rsid w:val="003B0320"/>
    <w:rsid w:val="003B4C58"/>
    <w:rsid w:val="003B6255"/>
    <w:rsid w:val="003B7F2E"/>
    <w:rsid w:val="003C0155"/>
    <w:rsid w:val="003C161C"/>
    <w:rsid w:val="003C316A"/>
    <w:rsid w:val="003C5F5C"/>
    <w:rsid w:val="003D0EC7"/>
    <w:rsid w:val="003D1621"/>
    <w:rsid w:val="003D2A0F"/>
    <w:rsid w:val="003D2D90"/>
    <w:rsid w:val="003D3FAD"/>
    <w:rsid w:val="003D47DC"/>
    <w:rsid w:val="003D4B76"/>
    <w:rsid w:val="003D5ABC"/>
    <w:rsid w:val="003D66CF"/>
    <w:rsid w:val="003D6BEC"/>
    <w:rsid w:val="003E02A1"/>
    <w:rsid w:val="003E2468"/>
    <w:rsid w:val="003E2640"/>
    <w:rsid w:val="003E2E01"/>
    <w:rsid w:val="003E3085"/>
    <w:rsid w:val="003E3854"/>
    <w:rsid w:val="003E446F"/>
    <w:rsid w:val="003E65C5"/>
    <w:rsid w:val="003E6F42"/>
    <w:rsid w:val="003F0161"/>
    <w:rsid w:val="003F0DD1"/>
    <w:rsid w:val="003F28F7"/>
    <w:rsid w:val="003F4F37"/>
    <w:rsid w:val="003F5307"/>
    <w:rsid w:val="003F59DF"/>
    <w:rsid w:val="0040034C"/>
    <w:rsid w:val="00400797"/>
    <w:rsid w:val="0040091B"/>
    <w:rsid w:val="004009E1"/>
    <w:rsid w:val="00401690"/>
    <w:rsid w:val="004035F3"/>
    <w:rsid w:val="00403FCD"/>
    <w:rsid w:val="004106F5"/>
    <w:rsid w:val="00412339"/>
    <w:rsid w:val="00415458"/>
    <w:rsid w:val="0041659F"/>
    <w:rsid w:val="00417D41"/>
    <w:rsid w:val="00420C83"/>
    <w:rsid w:val="00423AB2"/>
    <w:rsid w:val="00424B29"/>
    <w:rsid w:val="004254E2"/>
    <w:rsid w:val="004256A3"/>
    <w:rsid w:val="00425982"/>
    <w:rsid w:val="004276E4"/>
    <w:rsid w:val="00432ABB"/>
    <w:rsid w:val="0043445B"/>
    <w:rsid w:val="00434B2E"/>
    <w:rsid w:val="00436676"/>
    <w:rsid w:val="00441EB6"/>
    <w:rsid w:val="00442595"/>
    <w:rsid w:val="00442EF7"/>
    <w:rsid w:val="00444314"/>
    <w:rsid w:val="004443A5"/>
    <w:rsid w:val="00444B79"/>
    <w:rsid w:val="00445127"/>
    <w:rsid w:val="004452E6"/>
    <w:rsid w:val="0044574D"/>
    <w:rsid w:val="00445C3E"/>
    <w:rsid w:val="00445F1F"/>
    <w:rsid w:val="004515B9"/>
    <w:rsid w:val="0045191D"/>
    <w:rsid w:val="00451A24"/>
    <w:rsid w:val="00452919"/>
    <w:rsid w:val="00452DAF"/>
    <w:rsid w:val="00453CB2"/>
    <w:rsid w:val="0045418D"/>
    <w:rsid w:val="0045451C"/>
    <w:rsid w:val="0045563C"/>
    <w:rsid w:val="00460E97"/>
    <w:rsid w:val="00461F9D"/>
    <w:rsid w:val="00463D36"/>
    <w:rsid w:val="0046425B"/>
    <w:rsid w:val="00464939"/>
    <w:rsid w:val="00465157"/>
    <w:rsid w:val="00467107"/>
    <w:rsid w:val="00471562"/>
    <w:rsid w:val="004761BC"/>
    <w:rsid w:val="004763B0"/>
    <w:rsid w:val="00477F7C"/>
    <w:rsid w:val="00477FB0"/>
    <w:rsid w:val="004833FC"/>
    <w:rsid w:val="00483A3C"/>
    <w:rsid w:val="00483AFB"/>
    <w:rsid w:val="00484C3E"/>
    <w:rsid w:val="0048502F"/>
    <w:rsid w:val="00485D46"/>
    <w:rsid w:val="00487484"/>
    <w:rsid w:val="00487D4B"/>
    <w:rsid w:val="00490FE1"/>
    <w:rsid w:val="004913C1"/>
    <w:rsid w:val="0049383F"/>
    <w:rsid w:val="00493BA1"/>
    <w:rsid w:val="00495107"/>
    <w:rsid w:val="00496199"/>
    <w:rsid w:val="00497408"/>
    <w:rsid w:val="00497493"/>
    <w:rsid w:val="004A0E10"/>
    <w:rsid w:val="004A21CF"/>
    <w:rsid w:val="004A24F7"/>
    <w:rsid w:val="004A2713"/>
    <w:rsid w:val="004A3EF5"/>
    <w:rsid w:val="004A5512"/>
    <w:rsid w:val="004A5F0D"/>
    <w:rsid w:val="004A6019"/>
    <w:rsid w:val="004A7B1B"/>
    <w:rsid w:val="004B0AB8"/>
    <w:rsid w:val="004B13D8"/>
    <w:rsid w:val="004B343A"/>
    <w:rsid w:val="004B43C4"/>
    <w:rsid w:val="004B74E4"/>
    <w:rsid w:val="004C0090"/>
    <w:rsid w:val="004C0F1A"/>
    <w:rsid w:val="004C1E07"/>
    <w:rsid w:val="004C4C25"/>
    <w:rsid w:val="004C5C56"/>
    <w:rsid w:val="004C6565"/>
    <w:rsid w:val="004C6F04"/>
    <w:rsid w:val="004C7F03"/>
    <w:rsid w:val="004C7F86"/>
    <w:rsid w:val="004D0489"/>
    <w:rsid w:val="004D1574"/>
    <w:rsid w:val="004D26AE"/>
    <w:rsid w:val="004D26B0"/>
    <w:rsid w:val="004D2C69"/>
    <w:rsid w:val="004D41F9"/>
    <w:rsid w:val="004D4690"/>
    <w:rsid w:val="004D5907"/>
    <w:rsid w:val="004D5D30"/>
    <w:rsid w:val="004D671C"/>
    <w:rsid w:val="004D6B68"/>
    <w:rsid w:val="004D7393"/>
    <w:rsid w:val="004D75CD"/>
    <w:rsid w:val="004D7B27"/>
    <w:rsid w:val="004E0F50"/>
    <w:rsid w:val="004E1BA6"/>
    <w:rsid w:val="004E1FBE"/>
    <w:rsid w:val="004E2B47"/>
    <w:rsid w:val="004E5D66"/>
    <w:rsid w:val="004E767D"/>
    <w:rsid w:val="004F0500"/>
    <w:rsid w:val="004F0861"/>
    <w:rsid w:val="004F0FE8"/>
    <w:rsid w:val="004F10F3"/>
    <w:rsid w:val="004F1775"/>
    <w:rsid w:val="004F2442"/>
    <w:rsid w:val="004F2C0E"/>
    <w:rsid w:val="004F68AB"/>
    <w:rsid w:val="00504D22"/>
    <w:rsid w:val="00506C97"/>
    <w:rsid w:val="00512490"/>
    <w:rsid w:val="00513CA7"/>
    <w:rsid w:val="00514DD8"/>
    <w:rsid w:val="00516C3C"/>
    <w:rsid w:val="00517AF5"/>
    <w:rsid w:val="00521970"/>
    <w:rsid w:val="00521F6D"/>
    <w:rsid w:val="005221AD"/>
    <w:rsid w:val="00523C28"/>
    <w:rsid w:val="0052472F"/>
    <w:rsid w:val="00525140"/>
    <w:rsid w:val="00532070"/>
    <w:rsid w:val="005324DA"/>
    <w:rsid w:val="00533229"/>
    <w:rsid w:val="00533E1B"/>
    <w:rsid w:val="00534382"/>
    <w:rsid w:val="00534FD5"/>
    <w:rsid w:val="00535EB9"/>
    <w:rsid w:val="00537261"/>
    <w:rsid w:val="005407F5"/>
    <w:rsid w:val="005412B5"/>
    <w:rsid w:val="005433BF"/>
    <w:rsid w:val="00547E15"/>
    <w:rsid w:val="00553D52"/>
    <w:rsid w:val="00554184"/>
    <w:rsid w:val="005544EA"/>
    <w:rsid w:val="0055484D"/>
    <w:rsid w:val="00554907"/>
    <w:rsid w:val="00554A37"/>
    <w:rsid w:val="00557182"/>
    <w:rsid w:val="00560A3F"/>
    <w:rsid w:val="00562B7B"/>
    <w:rsid w:val="00563753"/>
    <w:rsid w:val="0056465E"/>
    <w:rsid w:val="00564824"/>
    <w:rsid w:val="0056597B"/>
    <w:rsid w:val="0057057B"/>
    <w:rsid w:val="00571CFB"/>
    <w:rsid w:val="005757A3"/>
    <w:rsid w:val="00575A89"/>
    <w:rsid w:val="005765EF"/>
    <w:rsid w:val="00577A5A"/>
    <w:rsid w:val="00584B3D"/>
    <w:rsid w:val="005858C2"/>
    <w:rsid w:val="005866C3"/>
    <w:rsid w:val="00592090"/>
    <w:rsid w:val="0059232C"/>
    <w:rsid w:val="005924EF"/>
    <w:rsid w:val="00593C52"/>
    <w:rsid w:val="00597E7C"/>
    <w:rsid w:val="005A141B"/>
    <w:rsid w:val="005A1569"/>
    <w:rsid w:val="005A1AF3"/>
    <w:rsid w:val="005A1BA2"/>
    <w:rsid w:val="005A2212"/>
    <w:rsid w:val="005A2609"/>
    <w:rsid w:val="005A3571"/>
    <w:rsid w:val="005A498A"/>
    <w:rsid w:val="005A5D96"/>
    <w:rsid w:val="005A5F24"/>
    <w:rsid w:val="005A749E"/>
    <w:rsid w:val="005B0189"/>
    <w:rsid w:val="005B0F1A"/>
    <w:rsid w:val="005B12CB"/>
    <w:rsid w:val="005B22A9"/>
    <w:rsid w:val="005B2790"/>
    <w:rsid w:val="005B27A0"/>
    <w:rsid w:val="005B2982"/>
    <w:rsid w:val="005B2A00"/>
    <w:rsid w:val="005B479D"/>
    <w:rsid w:val="005B51BD"/>
    <w:rsid w:val="005B57ED"/>
    <w:rsid w:val="005B6E3C"/>
    <w:rsid w:val="005C33A9"/>
    <w:rsid w:val="005C65C6"/>
    <w:rsid w:val="005C6FAB"/>
    <w:rsid w:val="005C7045"/>
    <w:rsid w:val="005C7672"/>
    <w:rsid w:val="005D349B"/>
    <w:rsid w:val="005D3DAB"/>
    <w:rsid w:val="005D43A9"/>
    <w:rsid w:val="005D722B"/>
    <w:rsid w:val="005D7670"/>
    <w:rsid w:val="005E08B9"/>
    <w:rsid w:val="005E09EF"/>
    <w:rsid w:val="005E1252"/>
    <w:rsid w:val="005E1E58"/>
    <w:rsid w:val="005E2FE1"/>
    <w:rsid w:val="005E369B"/>
    <w:rsid w:val="005E36FC"/>
    <w:rsid w:val="005E4348"/>
    <w:rsid w:val="005E46DF"/>
    <w:rsid w:val="005E52CF"/>
    <w:rsid w:val="005E7E81"/>
    <w:rsid w:val="005F0C80"/>
    <w:rsid w:val="005F0ED6"/>
    <w:rsid w:val="005F3773"/>
    <w:rsid w:val="005F436F"/>
    <w:rsid w:val="005F5F20"/>
    <w:rsid w:val="005F7482"/>
    <w:rsid w:val="006002E6"/>
    <w:rsid w:val="0060132F"/>
    <w:rsid w:val="00603827"/>
    <w:rsid w:val="00603AE8"/>
    <w:rsid w:val="00604A4C"/>
    <w:rsid w:val="00605625"/>
    <w:rsid w:val="00605784"/>
    <w:rsid w:val="00607241"/>
    <w:rsid w:val="00611503"/>
    <w:rsid w:val="006129EB"/>
    <w:rsid w:val="00613A6F"/>
    <w:rsid w:val="00613EC8"/>
    <w:rsid w:val="00614D4D"/>
    <w:rsid w:val="00614E37"/>
    <w:rsid w:val="00615B34"/>
    <w:rsid w:val="00615FC4"/>
    <w:rsid w:val="00616320"/>
    <w:rsid w:val="00616AF5"/>
    <w:rsid w:val="006218A5"/>
    <w:rsid w:val="0062308C"/>
    <w:rsid w:val="00623689"/>
    <w:rsid w:val="00623A9E"/>
    <w:rsid w:val="00623F06"/>
    <w:rsid w:val="0062758C"/>
    <w:rsid w:val="00632E6C"/>
    <w:rsid w:val="006346A6"/>
    <w:rsid w:val="00634EC8"/>
    <w:rsid w:val="00636765"/>
    <w:rsid w:val="00636E1E"/>
    <w:rsid w:val="00641129"/>
    <w:rsid w:val="00643F6A"/>
    <w:rsid w:val="00644DFB"/>
    <w:rsid w:val="0064707A"/>
    <w:rsid w:val="00654B4B"/>
    <w:rsid w:val="00655765"/>
    <w:rsid w:val="00655FDE"/>
    <w:rsid w:val="00660965"/>
    <w:rsid w:val="00660E37"/>
    <w:rsid w:val="00660EF0"/>
    <w:rsid w:val="00660EF9"/>
    <w:rsid w:val="0066348F"/>
    <w:rsid w:val="0066392C"/>
    <w:rsid w:val="006642B0"/>
    <w:rsid w:val="006656E3"/>
    <w:rsid w:val="006673A3"/>
    <w:rsid w:val="0066791B"/>
    <w:rsid w:val="0066799B"/>
    <w:rsid w:val="00670861"/>
    <w:rsid w:val="00670E1F"/>
    <w:rsid w:val="006724EC"/>
    <w:rsid w:val="006733C4"/>
    <w:rsid w:val="006735E4"/>
    <w:rsid w:val="0067473B"/>
    <w:rsid w:val="00675273"/>
    <w:rsid w:val="0067640A"/>
    <w:rsid w:val="006778D6"/>
    <w:rsid w:val="00681F01"/>
    <w:rsid w:val="00682E13"/>
    <w:rsid w:val="00683255"/>
    <w:rsid w:val="00684DE9"/>
    <w:rsid w:val="00685745"/>
    <w:rsid w:val="00687F08"/>
    <w:rsid w:val="006902EA"/>
    <w:rsid w:val="00690496"/>
    <w:rsid w:val="00691883"/>
    <w:rsid w:val="006929B1"/>
    <w:rsid w:val="00693BAA"/>
    <w:rsid w:val="00694046"/>
    <w:rsid w:val="006A18BF"/>
    <w:rsid w:val="006A1FC2"/>
    <w:rsid w:val="006A2715"/>
    <w:rsid w:val="006A466F"/>
    <w:rsid w:val="006A612B"/>
    <w:rsid w:val="006A6481"/>
    <w:rsid w:val="006B1C3E"/>
    <w:rsid w:val="006B23A2"/>
    <w:rsid w:val="006B3C48"/>
    <w:rsid w:val="006B4BFF"/>
    <w:rsid w:val="006B4EFD"/>
    <w:rsid w:val="006B7935"/>
    <w:rsid w:val="006C03D5"/>
    <w:rsid w:val="006C05C2"/>
    <w:rsid w:val="006C0FCC"/>
    <w:rsid w:val="006C15BD"/>
    <w:rsid w:val="006C49A4"/>
    <w:rsid w:val="006C6A55"/>
    <w:rsid w:val="006C7A01"/>
    <w:rsid w:val="006D080E"/>
    <w:rsid w:val="006D08A0"/>
    <w:rsid w:val="006D0EB2"/>
    <w:rsid w:val="006D1E4E"/>
    <w:rsid w:val="006D2B4C"/>
    <w:rsid w:val="006D3AB1"/>
    <w:rsid w:val="006D7D88"/>
    <w:rsid w:val="006D7FD1"/>
    <w:rsid w:val="006E0006"/>
    <w:rsid w:val="006E0B15"/>
    <w:rsid w:val="006E2B28"/>
    <w:rsid w:val="006E34E9"/>
    <w:rsid w:val="006E3F25"/>
    <w:rsid w:val="006E45ED"/>
    <w:rsid w:val="006E4779"/>
    <w:rsid w:val="006E6414"/>
    <w:rsid w:val="006E6702"/>
    <w:rsid w:val="006F177B"/>
    <w:rsid w:val="006F2E4B"/>
    <w:rsid w:val="006F309A"/>
    <w:rsid w:val="006F4B16"/>
    <w:rsid w:val="006F5D0B"/>
    <w:rsid w:val="006F6C2B"/>
    <w:rsid w:val="00700118"/>
    <w:rsid w:val="00700A25"/>
    <w:rsid w:val="00700B87"/>
    <w:rsid w:val="00701789"/>
    <w:rsid w:val="00710E0F"/>
    <w:rsid w:val="0071295B"/>
    <w:rsid w:val="007162B5"/>
    <w:rsid w:val="00716C74"/>
    <w:rsid w:val="00717A0B"/>
    <w:rsid w:val="00717B85"/>
    <w:rsid w:val="00717CCB"/>
    <w:rsid w:val="00721003"/>
    <w:rsid w:val="0072158B"/>
    <w:rsid w:val="00722661"/>
    <w:rsid w:val="00722B83"/>
    <w:rsid w:val="00722D22"/>
    <w:rsid w:val="0072388B"/>
    <w:rsid w:val="00723A17"/>
    <w:rsid w:val="0072411C"/>
    <w:rsid w:val="00725D32"/>
    <w:rsid w:val="0072615C"/>
    <w:rsid w:val="0072782E"/>
    <w:rsid w:val="00727C32"/>
    <w:rsid w:val="007308FB"/>
    <w:rsid w:val="007337BB"/>
    <w:rsid w:val="00734159"/>
    <w:rsid w:val="00735576"/>
    <w:rsid w:val="00736076"/>
    <w:rsid w:val="00742834"/>
    <w:rsid w:val="00742DE9"/>
    <w:rsid w:val="00743789"/>
    <w:rsid w:val="00743B7E"/>
    <w:rsid w:val="00744B53"/>
    <w:rsid w:val="00745C86"/>
    <w:rsid w:val="007463BB"/>
    <w:rsid w:val="007466CA"/>
    <w:rsid w:val="0075159C"/>
    <w:rsid w:val="00754DBC"/>
    <w:rsid w:val="007574BE"/>
    <w:rsid w:val="00761AC7"/>
    <w:rsid w:val="0076472E"/>
    <w:rsid w:val="00764A42"/>
    <w:rsid w:val="00764F58"/>
    <w:rsid w:val="007656AF"/>
    <w:rsid w:val="007660CC"/>
    <w:rsid w:val="0076670B"/>
    <w:rsid w:val="007674D6"/>
    <w:rsid w:val="00767635"/>
    <w:rsid w:val="0077022F"/>
    <w:rsid w:val="00770B08"/>
    <w:rsid w:val="00771036"/>
    <w:rsid w:val="00772BB4"/>
    <w:rsid w:val="00774C02"/>
    <w:rsid w:val="007769F1"/>
    <w:rsid w:val="0078017A"/>
    <w:rsid w:val="007806CD"/>
    <w:rsid w:val="007826F1"/>
    <w:rsid w:val="00784CAF"/>
    <w:rsid w:val="00786A74"/>
    <w:rsid w:val="0078788B"/>
    <w:rsid w:val="00790034"/>
    <w:rsid w:val="00790ABD"/>
    <w:rsid w:val="00791CFF"/>
    <w:rsid w:val="00791DED"/>
    <w:rsid w:val="0079322B"/>
    <w:rsid w:val="007933FB"/>
    <w:rsid w:val="00794384"/>
    <w:rsid w:val="0079581D"/>
    <w:rsid w:val="00797CA8"/>
    <w:rsid w:val="007A0727"/>
    <w:rsid w:val="007A2304"/>
    <w:rsid w:val="007A291F"/>
    <w:rsid w:val="007A402C"/>
    <w:rsid w:val="007A5554"/>
    <w:rsid w:val="007A6BC9"/>
    <w:rsid w:val="007A7A86"/>
    <w:rsid w:val="007B00A0"/>
    <w:rsid w:val="007B0DF6"/>
    <w:rsid w:val="007B18F3"/>
    <w:rsid w:val="007B25F8"/>
    <w:rsid w:val="007B3E2B"/>
    <w:rsid w:val="007B42EB"/>
    <w:rsid w:val="007C087C"/>
    <w:rsid w:val="007C2129"/>
    <w:rsid w:val="007C3D97"/>
    <w:rsid w:val="007D159E"/>
    <w:rsid w:val="007D1955"/>
    <w:rsid w:val="007D66A6"/>
    <w:rsid w:val="007D6A01"/>
    <w:rsid w:val="007D6BC8"/>
    <w:rsid w:val="007E0FF1"/>
    <w:rsid w:val="007E1693"/>
    <w:rsid w:val="007E3645"/>
    <w:rsid w:val="007E36EA"/>
    <w:rsid w:val="007E3DB6"/>
    <w:rsid w:val="007E4344"/>
    <w:rsid w:val="007E6606"/>
    <w:rsid w:val="007E72F8"/>
    <w:rsid w:val="007F01A5"/>
    <w:rsid w:val="007F0DCE"/>
    <w:rsid w:val="007F2CCA"/>
    <w:rsid w:val="007F32F0"/>
    <w:rsid w:val="007F3BFA"/>
    <w:rsid w:val="007F4FA1"/>
    <w:rsid w:val="007F5D9C"/>
    <w:rsid w:val="0080163B"/>
    <w:rsid w:val="0080188C"/>
    <w:rsid w:val="0080740F"/>
    <w:rsid w:val="008078A7"/>
    <w:rsid w:val="00810C04"/>
    <w:rsid w:val="00811381"/>
    <w:rsid w:val="00813609"/>
    <w:rsid w:val="00813B0A"/>
    <w:rsid w:val="00813F7A"/>
    <w:rsid w:val="00817A9A"/>
    <w:rsid w:val="00823375"/>
    <w:rsid w:val="008239F8"/>
    <w:rsid w:val="0082451D"/>
    <w:rsid w:val="00824DC9"/>
    <w:rsid w:val="00825128"/>
    <w:rsid w:val="008273E8"/>
    <w:rsid w:val="008276D1"/>
    <w:rsid w:val="00830022"/>
    <w:rsid w:val="00833730"/>
    <w:rsid w:val="00833BEB"/>
    <w:rsid w:val="0083727B"/>
    <w:rsid w:val="008405AC"/>
    <w:rsid w:val="00840AFD"/>
    <w:rsid w:val="00840DB3"/>
    <w:rsid w:val="00843426"/>
    <w:rsid w:val="0084451B"/>
    <w:rsid w:val="00844A79"/>
    <w:rsid w:val="00844DD5"/>
    <w:rsid w:val="00845DE6"/>
    <w:rsid w:val="0084693E"/>
    <w:rsid w:val="00846BBC"/>
    <w:rsid w:val="008479EA"/>
    <w:rsid w:val="00847DB8"/>
    <w:rsid w:val="00851C77"/>
    <w:rsid w:val="00861E99"/>
    <w:rsid w:val="00861F67"/>
    <w:rsid w:val="0086245E"/>
    <w:rsid w:val="008624B4"/>
    <w:rsid w:val="00862AE9"/>
    <w:rsid w:val="00862F8E"/>
    <w:rsid w:val="0086380B"/>
    <w:rsid w:val="00863965"/>
    <w:rsid w:val="00864E86"/>
    <w:rsid w:val="00867C07"/>
    <w:rsid w:val="00867FC5"/>
    <w:rsid w:val="00872816"/>
    <w:rsid w:val="008747C1"/>
    <w:rsid w:val="00880C78"/>
    <w:rsid w:val="00881A7D"/>
    <w:rsid w:val="00882E8B"/>
    <w:rsid w:val="00883AA3"/>
    <w:rsid w:val="0088441A"/>
    <w:rsid w:val="00886067"/>
    <w:rsid w:val="0088703C"/>
    <w:rsid w:val="00887362"/>
    <w:rsid w:val="008877ED"/>
    <w:rsid w:val="00887F58"/>
    <w:rsid w:val="00890AEA"/>
    <w:rsid w:val="008954A0"/>
    <w:rsid w:val="008971D0"/>
    <w:rsid w:val="0089720C"/>
    <w:rsid w:val="008972E4"/>
    <w:rsid w:val="008977F9"/>
    <w:rsid w:val="008A08BA"/>
    <w:rsid w:val="008A0987"/>
    <w:rsid w:val="008A113B"/>
    <w:rsid w:val="008A3F7A"/>
    <w:rsid w:val="008A5623"/>
    <w:rsid w:val="008A6033"/>
    <w:rsid w:val="008A68D0"/>
    <w:rsid w:val="008B0C3C"/>
    <w:rsid w:val="008B3588"/>
    <w:rsid w:val="008B3B58"/>
    <w:rsid w:val="008B3BF2"/>
    <w:rsid w:val="008B4D86"/>
    <w:rsid w:val="008B69FD"/>
    <w:rsid w:val="008C0486"/>
    <w:rsid w:val="008C1297"/>
    <w:rsid w:val="008C244D"/>
    <w:rsid w:val="008C279C"/>
    <w:rsid w:val="008C7120"/>
    <w:rsid w:val="008C7FCA"/>
    <w:rsid w:val="008D0659"/>
    <w:rsid w:val="008D0805"/>
    <w:rsid w:val="008D0EED"/>
    <w:rsid w:val="008D26F4"/>
    <w:rsid w:val="008D2A33"/>
    <w:rsid w:val="008D341D"/>
    <w:rsid w:val="008D5053"/>
    <w:rsid w:val="008D58E0"/>
    <w:rsid w:val="008D693A"/>
    <w:rsid w:val="008D7060"/>
    <w:rsid w:val="008E1339"/>
    <w:rsid w:val="008E2861"/>
    <w:rsid w:val="008E28BE"/>
    <w:rsid w:val="008E2AD6"/>
    <w:rsid w:val="008E30F8"/>
    <w:rsid w:val="008E7066"/>
    <w:rsid w:val="008E708F"/>
    <w:rsid w:val="008F1061"/>
    <w:rsid w:val="008F1371"/>
    <w:rsid w:val="008F1437"/>
    <w:rsid w:val="008F34DA"/>
    <w:rsid w:val="008F3A74"/>
    <w:rsid w:val="008F7105"/>
    <w:rsid w:val="00900012"/>
    <w:rsid w:val="00900895"/>
    <w:rsid w:val="00901709"/>
    <w:rsid w:val="0090310D"/>
    <w:rsid w:val="0090337B"/>
    <w:rsid w:val="00904F81"/>
    <w:rsid w:val="00905826"/>
    <w:rsid w:val="00906A87"/>
    <w:rsid w:val="00907895"/>
    <w:rsid w:val="00911D50"/>
    <w:rsid w:val="00912D97"/>
    <w:rsid w:val="00916783"/>
    <w:rsid w:val="00917A68"/>
    <w:rsid w:val="00920651"/>
    <w:rsid w:val="009217E6"/>
    <w:rsid w:val="00921A9E"/>
    <w:rsid w:val="0092250C"/>
    <w:rsid w:val="00923241"/>
    <w:rsid w:val="009233CD"/>
    <w:rsid w:val="00923A37"/>
    <w:rsid w:val="00923CE9"/>
    <w:rsid w:val="00924575"/>
    <w:rsid w:val="00924E62"/>
    <w:rsid w:val="0093035B"/>
    <w:rsid w:val="00933661"/>
    <w:rsid w:val="009347DF"/>
    <w:rsid w:val="0093530A"/>
    <w:rsid w:val="00940294"/>
    <w:rsid w:val="00942B8B"/>
    <w:rsid w:val="00942BCE"/>
    <w:rsid w:val="00943CFE"/>
    <w:rsid w:val="009442D9"/>
    <w:rsid w:val="009451DE"/>
    <w:rsid w:val="009479D7"/>
    <w:rsid w:val="009500BC"/>
    <w:rsid w:val="0095185F"/>
    <w:rsid w:val="00951C29"/>
    <w:rsid w:val="00951DB6"/>
    <w:rsid w:val="00951FD3"/>
    <w:rsid w:val="00952103"/>
    <w:rsid w:val="00953038"/>
    <w:rsid w:val="00953E2E"/>
    <w:rsid w:val="009550C3"/>
    <w:rsid w:val="00955832"/>
    <w:rsid w:val="0095588B"/>
    <w:rsid w:val="00955D0E"/>
    <w:rsid w:val="00956464"/>
    <w:rsid w:val="00956550"/>
    <w:rsid w:val="0095668A"/>
    <w:rsid w:val="00961AAD"/>
    <w:rsid w:val="00961F32"/>
    <w:rsid w:val="0096200A"/>
    <w:rsid w:val="0096241E"/>
    <w:rsid w:val="009630E7"/>
    <w:rsid w:val="00965EAF"/>
    <w:rsid w:val="009672E4"/>
    <w:rsid w:val="00967C13"/>
    <w:rsid w:val="009734A3"/>
    <w:rsid w:val="009746AE"/>
    <w:rsid w:val="00974F58"/>
    <w:rsid w:val="00975234"/>
    <w:rsid w:val="009753A5"/>
    <w:rsid w:val="00975EDC"/>
    <w:rsid w:val="0097602E"/>
    <w:rsid w:val="009767D8"/>
    <w:rsid w:val="00981CBD"/>
    <w:rsid w:val="00982B91"/>
    <w:rsid w:val="00984DDF"/>
    <w:rsid w:val="00985003"/>
    <w:rsid w:val="00985812"/>
    <w:rsid w:val="00985B81"/>
    <w:rsid w:val="009875BC"/>
    <w:rsid w:val="00987935"/>
    <w:rsid w:val="00990A0C"/>
    <w:rsid w:val="00990B52"/>
    <w:rsid w:val="00993F81"/>
    <w:rsid w:val="009954A8"/>
    <w:rsid w:val="009970CA"/>
    <w:rsid w:val="00997891"/>
    <w:rsid w:val="009A2393"/>
    <w:rsid w:val="009A2796"/>
    <w:rsid w:val="009A443D"/>
    <w:rsid w:val="009A5886"/>
    <w:rsid w:val="009A65FB"/>
    <w:rsid w:val="009A7281"/>
    <w:rsid w:val="009B2239"/>
    <w:rsid w:val="009B2628"/>
    <w:rsid w:val="009B33E4"/>
    <w:rsid w:val="009B35AF"/>
    <w:rsid w:val="009B39A0"/>
    <w:rsid w:val="009B567B"/>
    <w:rsid w:val="009B5B95"/>
    <w:rsid w:val="009B5FF0"/>
    <w:rsid w:val="009B73CF"/>
    <w:rsid w:val="009C05D0"/>
    <w:rsid w:val="009C0AB4"/>
    <w:rsid w:val="009C0E32"/>
    <w:rsid w:val="009C26D4"/>
    <w:rsid w:val="009C38BA"/>
    <w:rsid w:val="009C5B39"/>
    <w:rsid w:val="009D01BD"/>
    <w:rsid w:val="009D2FD7"/>
    <w:rsid w:val="009D3028"/>
    <w:rsid w:val="009D3AAA"/>
    <w:rsid w:val="009D501A"/>
    <w:rsid w:val="009D715B"/>
    <w:rsid w:val="009E0F6F"/>
    <w:rsid w:val="009E1A67"/>
    <w:rsid w:val="009E1E02"/>
    <w:rsid w:val="009E3667"/>
    <w:rsid w:val="009E4232"/>
    <w:rsid w:val="009E4345"/>
    <w:rsid w:val="009E508B"/>
    <w:rsid w:val="009E5129"/>
    <w:rsid w:val="009E7DC7"/>
    <w:rsid w:val="009F0B09"/>
    <w:rsid w:val="009F12F3"/>
    <w:rsid w:val="009F1AAD"/>
    <w:rsid w:val="009F3206"/>
    <w:rsid w:val="009F48E4"/>
    <w:rsid w:val="009F5267"/>
    <w:rsid w:val="009F6B86"/>
    <w:rsid w:val="009F7737"/>
    <w:rsid w:val="00A00472"/>
    <w:rsid w:val="00A0181B"/>
    <w:rsid w:val="00A055F4"/>
    <w:rsid w:val="00A06026"/>
    <w:rsid w:val="00A065C1"/>
    <w:rsid w:val="00A10C87"/>
    <w:rsid w:val="00A1125D"/>
    <w:rsid w:val="00A12285"/>
    <w:rsid w:val="00A125DB"/>
    <w:rsid w:val="00A12BB1"/>
    <w:rsid w:val="00A13D94"/>
    <w:rsid w:val="00A15874"/>
    <w:rsid w:val="00A16A9E"/>
    <w:rsid w:val="00A2037E"/>
    <w:rsid w:val="00A21A37"/>
    <w:rsid w:val="00A21C97"/>
    <w:rsid w:val="00A224C1"/>
    <w:rsid w:val="00A22D02"/>
    <w:rsid w:val="00A257AE"/>
    <w:rsid w:val="00A25B96"/>
    <w:rsid w:val="00A2603C"/>
    <w:rsid w:val="00A27BD6"/>
    <w:rsid w:val="00A3163A"/>
    <w:rsid w:val="00A31B21"/>
    <w:rsid w:val="00A31DB0"/>
    <w:rsid w:val="00A32866"/>
    <w:rsid w:val="00A35DAE"/>
    <w:rsid w:val="00A376A6"/>
    <w:rsid w:val="00A37C05"/>
    <w:rsid w:val="00A37DF1"/>
    <w:rsid w:val="00A4051D"/>
    <w:rsid w:val="00A40FBB"/>
    <w:rsid w:val="00A43273"/>
    <w:rsid w:val="00A448E4"/>
    <w:rsid w:val="00A44F67"/>
    <w:rsid w:val="00A4566E"/>
    <w:rsid w:val="00A465D8"/>
    <w:rsid w:val="00A47461"/>
    <w:rsid w:val="00A478E4"/>
    <w:rsid w:val="00A503FB"/>
    <w:rsid w:val="00A50E4E"/>
    <w:rsid w:val="00A52492"/>
    <w:rsid w:val="00A5385B"/>
    <w:rsid w:val="00A54D9F"/>
    <w:rsid w:val="00A56B14"/>
    <w:rsid w:val="00A57AC7"/>
    <w:rsid w:val="00A61489"/>
    <w:rsid w:val="00A621E8"/>
    <w:rsid w:val="00A64605"/>
    <w:rsid w:val="00A66396"/>
    <w:rsid w:val="00A73769"/>
    <w:rsid w:val="00A748A9"/>
    <w:rsid w:val="00A7568F"/>
    <w:rsid w:val="00A75CE8"/>
    <w:rsid w:val="00A76CD2"/>
    <w:rsid w:val="00A76EEF"/>
    <w:rsid w:val="00A77DED"/>
    <w:rsid w:val="00A8022E"/>
    <w:rsid w:val="00A82306"/>
    <w:rsid w:val="00A82AD3"/>
    <w:rsid w:val="00A83217"/>
    <w:rsid w:val="00A85A44"/>
    <w:rsid w:val="00A87C84"/>
    <w:rsid w:val="00A922E1"/>
    <w:rsid w:val="00A93907"/>
    <w:rsid w:val="00A94EF9"/>
    <w:rsid w:val="00A95ED6"/>
    <w:rsid w:val="00A967BB"/>
    <w:rsid w:val="00A975C3"/>
    <w:rsid w:val="00AA2D1D"/>
    <w:rsid w:val="00AA2EF1"/>
    <w:rsid w:val="00AA34F6"/>
    <w:rsid w:val="00AA37A9"/>
    <w:rsid w:val="00AA55E5"/>
    <w:rsid w:val="00AB05BB"/>
    <w:rsid w:val="00AB110E"/>
    <w:rsid w:val="00AB155D"/>
    <w:rsid w:val="00AB16AA"/>
    <w:rsid w:val="00AB18F1"/>
    <w:rsid w:val="00AB3C37"/>
    <w:rsid w:val="00AB458E"/>
    <w:rsid w:val="00AB5391"/>
    <w:rsid w:val="00AB7064"/>
    <w:rsid w:val="00AB713C"/>
    <w:rsid w:val="00AC003A"/>
    <w:rsid w:val="00AC0B0D"/>
    <w:rsid w:val="00AC1601"/>
    <w:rsid w:val="00AC217C"/>
    <w:rsid w:val="00AC226D"/>
    <w:rsid w:val="00AC3077"/>
    <w:rsid w:val="00AC36C8"/>
    <w:rsid w:val="00AC3EA7"/>
    <w:rsid w:val="00AC5F56"/>
    <w:rsid w:val="00AC6CC0"/>
    <w:rsid w:val="00AC71D6"/>
    <w:rsid w:val="00AC76C7"/>
    <w:rsid w:val="00AD1150"/>
    <w:rsid w:val="00AD11A4"/>
    <w:rsid w:val="00AD2387"/>
    <w:rsid w:val="00AD6F67"/>
    <w:rsid w:val="00AE0157"/>
    <w:rsid w:val="00AE0E94"/>
    <w:rsid w:val="00AE0F5E"/>
    <w:rsid w:val="00AE1D8D"/>
    <w:rsid w:val="00AE3035"/>
    <w:rsid w:val="00AE3237"/>
    <w:rsid w:val="00AE41D6"/>
    <w:rsid w:val="00AE4F41"/>
    <w:rsid w:val="00AE5196"/>
    <w:rsid w:val="00AE61DD"/>
    <w:rsid w:val="00AE62E0"/>
    <w:rsid w:val="00AE638E"/>
    <w:rsid w:val="00AE6D16"/>
    <w:rsid w:val="00AE7479"/>
    <w:rsid w:val="00AF40F9"/>
    <w:rsid w:val="00AF4215"/>
    <w:rsid w:val="00AF4F39"/>
    <w:rsid w:val="00AF5092"/>
    <w:rsid w:val="00B027D1"/>
    <w:rsid w:val="00B0359A"/>
    <w:rsid w:val="00B03C0F"/>
    <w:rsid w:val="00B06024"/>
    <w:rsid w:val="00B1053A"/>
    <w:rsid w:val="00B1077A"/>
    <w:rsid w:val="00B122F9"/>
    <w:rsid w:val="00B12A87"/>
    <w:rsid w:val="00B13B60"/>
    <w:rsid w:val="00B140AA"/>
    <w:rsid w:val="00B14BFD"/>
    <w:rsid w:val="00B16F79"/>
    <w:rsid w:val="00B17082"/>
    <w:rsid w:val="00B21626"/>
    <w:rsid w:val="00B222FE"/>
    <w:rsid w:val="00B232AF"/>
    <w:rsid w:val="00B23C62"/>
    <w:rsid w:val="00B245D6"/>
    <w:rsid w:val="00B259F0"/>
    <w:rsid w:val="00B27F74"/>
    <w:rsid w:val="00B30A9F"/>
    <w:rsid w:val="00B3153B"/>
    <w:rsid w:val="00B31E15"/>
    <w:rsid w:val="00B33BB8"/>
    <w:rsid w:val="00B35BE4"/>
    <w:rsid w:val="00B361C7"/>
    <w:rsid w:val="00B368E6"/>
    <w:rsid w:val="00B40D3C"/>
    <w:rsid w:val="00B414C3"/>
    <w:rsid w:val="00B41AAF"/>
    <w:rsid w:val="00B41ADF"/>
    <w:rsid w:val="00B42089"/>
    <w:rsid w:val="00B44770"/>
    <w:rsid w:val="00B4481F"/>
    <w:rsid w:val="00B46400"/>
    <w:rsid w:val="00B4642E"/>
    <w:rsid w:val="00B469AE"/>
    <w:rsid w:val="00B46B40"/>
    <w:rsid w:val="00B5065F"/>
    <w:rsid w:val="00B533D6"/>
    <w:rsid w:val="00B53800"/>
    <w:rsid w:val="00B538CA"/>
    <w:rsid w:val="00B567A8"/>
    <w:rsid w:val="00B57338"/>
    <w:rsid w:val="00B61975"/>
    <w:rsid w:val="00B6486B"/>
    <w:rsid w:val="00B66356"/>
    <w:rsid w:val="00B66546"/>
    <w:rsid w:val="00B71661"/>
    <w:rsid w:val="00B720CD"/>
    <w:rsid w:val="00B722BB"/>
    <w:rsid w:val="00B72E94"/>
    <w:rsid w:val="00B750D8"/>
    <w:rsid w:val="00B75771"/>
    <w:rsid w:val="00B768CA"/>
    <w:rsid w:val="00B76AD8"/>
    <w:rsid w:val="00B76EB6"/>
    <w:rsid w:val="00B772FB"/>
    <w:rsid w:val="00B803E9"/>
    <w:rsid w:val="00B80FD2"/>
    <w:rsid w:val="00B812C8"/>
    <w:rsid w:val="00B82890"/>
    <w:rsid w:val="00B82F30"/>
    <w:rsid w:val="00B839F3"/>
    <w:rsid w:val="00B85029"/>
    <w:rsid w:val="00B855C3"/>
    <w:rsid w:val="00B868A1"/>
    <w:rsid w:val="00B86E4F"/>
    <w:rsid w:val="00B92AED"/>
    <w:rsid w:val="00B93247"/>
    <w:rsid w:val="00B95FA7"/>
    <w:rsid w:val="00B973F1"/>
    <w:rsid w:val="00B97734"/>
    <w:rsid w:val="00BA1166"/>
    <w:rsid w:val="00BA14D1"/>
    <w:rsid w:val="00BA26F3"/>
    <w:rsid w:val="00BA296F"/>
    <w:rsid w:val="00BA4545"/>
    <w:rsid w:val="00BA469C"/>
    <w:rsid w:val="00BA5DEE"/>
    <w:rsid w:val="00BA75D9"/>
    <w:rsid w:val="00BA7D66"/>
    <w:rsid w:val="00BB34EE"/>
    <w:rsid w:val="00BB437B"/>
    <w:rsid w:val="00BB5C3F"/>
    <w:rsid w:val="00BC115C"/>
    <w:rsid w:val="00BC1521"/>
    <w:rsid w:val="00BC1926"/>
    <w:rsid w:val="00BC4833"/>
    <w:rsid w:val="00BC4FFB"/>
    <w:rsid w:val="00BC65C5"/>
    <w:rsid w:val="00BC6719"/>
    <w:rsid w:val="00BC6B3A"/>
    <w:rsid w:val="00BD08D4"/>
    <w:rsid w:val="00BD1B68"/>
    <w:rsid w:val="00BD1D7C"/>
    <w:rsid w:val="00BD1DD1"/>
    <w:rsid w:val="00BD3F29"/>
    <w:rsid w:val="00BD4BE1"/>
    <w:rsid w:val="00BD5DE8"/>
    <w:rsid w:val="00BD7B4A"/>
    <w:rsid w:val="00BE1D84"/>
    <w:rsid w:val="00BE1DDE"/>
    <w:rsid w:val="00BE2C5F"/>
    <w:rsid w:val="00BE61FE"/>
    <w:rsid w:val="00BE76BE"/>
    <w:rsid w:val="00BE77A4"/>
    <w:rsid w:val="00BF0D19"/>
    <w:rsid w:val="00BF114E"/>
    <w:rsid w:val="00BF18A0"/>
    <w:rsid w:val="00BF2EE6"/>
    <w:rsid w:val="00BF3A31"/>
    <w:rsid w:val="00BF5B11"/>
    <w:rsid w:val="00C00CDF"/>
    <w:rsid w:val="00C01F26"/>
    <w:rsid w:val="00C025C6"/>
    <w:rsid w:val="00C02CAC"/>
    <w:rsid w:val="00C05BD0"/>
    <w:rsid w:val="00C06264"/>
    <w:rsid w:val="00C07297"/>
    <w:rsid w:val="00C1089E"/>
    <w:rsid w:val="00C10E14"/>
    <w:rsid w:val="00C11287"/>
    <w:rsid w:val="00C12DD1"/>
    <w:rsid w:val="00C14CEC"/>
    <w:rsid w:val="00C15F82"/>
    <w:rsid w:val="00C20544"/>
    <w:rsid w:val="00C2287A"/>
    <w:rsid w:val="00C23220"/>
    <w:rsid w:val="00C23C6F"/>
    <w:rsid w:val="00C25508"/>
    <w:rsid w:val="00C264A5"/>
    <w:rsid w:val="00C26D0D"/>
    <w:rsid w:val="00C30EC0"/>
    <w:rsid w:val="00C31292"/>
    <w:rsid w:val="00C31638"/>
    <w:rsid w:val="00C321AF"/>
    <w:rsid w:val="00C332A3"/>
    <w:rsid w:val="00C336B6"/>
    <w:rsid w:val="00C34C46"/>
    <w:rsid w:val="00C35766"/>
    <w:rsid w:val="00C3634F"/>
    <w:rsid w:val="00C36506"/>
    <w:rsid w:val="00C402BF"/>
    <w:rsid w:val="00C402EB"/>
    <w:rsid w:val="00C40A56"/>
    <w:rsid w:val="00C40AB5"/>
    <w:rsid w:val="00C42864"/>
    <w:rsid w:val="00C4425F"/>
    <w:rsid w:val="00C449ED"/>
    <w:rsid w:val="00C44FD8"/>
    <w:rsid w:val="00C45B1E"/>
    <w:rsid w:val="00C4772B"/>
    <w:rsid w:val="00C512AE"/>
    <w:rsid w:val="00C5211A"/>
    <w:rsid w:val="00C538AF"/>
    <w:rsid w:val="00C579BB"/>
    <w:rsid w:val="00C614CE"/>
    <w:rsid w:val="00C62961"/>
    <w:rsid w:val="00C6557D"/>
    <w:rsid w:val="00C66ABF"/>
    <w:rsid w:val="00C67DD6"/>
    <w:rsid w:val="00C7045C"/>
    <w:rsid w:val="00C72E83"/>
    <w:rsid w:val="00C741AB"/>
    <w:rsid w:val="00C7535F"/>
    <w:rsid w:val="00C80C64"/>
    <w:rsid w:val="00C82715"/>
    <w:rsid w:val="00C8294F"/>
    <w:rsid w:val="00C83D04"/>
    <w:rsid w:val="00C869EF"/>
    <w:rsid w:val="00C90430"/>
    <w:rsid w:val="00C91BEB"/>
    <w:rsid w:val="00C935C0"/>
    <w:rsid w:val="00C94462"/>
    <w:rsid w:val="00C9562E"/>
    <w:rsid w:val="00C96F15"/>
    <w:rsid w:val="00C9711E"/>
    <w:rsid w:val="00CA0C6D"/>
    <w:rsid w:val="00CA1F30"/>
    <w:rsid w:val="00CA40D8"/>
    <w:rsid w:val="00CA4B07"/>
    <w:rsid w:val="00CB260A"/>
    <w:rsid w:val="00CB2CFF"/>
    <w:rsid w:val="00CB3EA1"/>
    <w:rsid w:val="00CB6A27"/>
    <w:rsid w:val="00CB6A6E"/>
    <w:rsid w:val="00CB71AD"/>
    <w:rsid w:val="00CB7520"/>
    <w:rsid w:val="00CC04A8"/>
    <w:rsid w:val="00CC07F3"/>
    <w:rsid w:val="00CC0CFD"/>
    <w:rsid w:val="00CC0D54"/>
    <w:rsid w:val="00CC209F"/>
    <w:rsid w:val="00CC2D01"/>
    <w:rsid w:val="00CC2D5C"/>
    <w:rsid w:val="00CC34F4"/>
    <w:rsid w:val="00CC45F0"/>
    <w:rsid w:val="00CC6CAB"/>
    <w:rsid w:val="00CD0091"/>
    <w:rsid w:val="00CD34E8"/>
    <w:rsid w:val="00CD3F14"/>
    <w:rsid w:val="00CD577C"/>
    <w:rsid w:val="00CD75E3"/>
    <w:rsid w:val="00CD7BD6"/>
    <w:rsid w:val="00CD7E3F"/>
    <w:rsid w:val="00CE0FD8"/>
    <w:rsid w:val="00CE161C"/>
    <w:rsid w:val="00CE2664"/>
    <w:rsid w:val="00CE3515"/>
    <w:rsid w:val="00CE3980"/>
    <w:rsid w:val="00CE3D26"/>
    <w:rsid w:val="00CE49C6"/>
    <w:rsid w:val="00CE538F"/>
    <w:rsid w:val="00CE64B5"/>
    <w:rsid w:val="00CE6A53"/>
    <w:rsid w:val="00CE7C80"/>
    <w:rsid w:val="00CE7DF4"/>
    <w:rsid w:val="00CF0BE8"/>
    <w:rsid w:val="00CF106E"/>
    <w:rsid w:val="00CF2216"/>
    <w:rsid w:val="00CF35F5"/>
    <w:rsid w:val="00CF3D64"/>
    <w:rsid w:val="00CF41A9"/>
    <w:rsid w:val="00CF5AF2"/>
    <w:rsid w:val="00CF726E"/>
    <w:rsid w:val="00D00706"/>
    <w:rsid w:val="00D01FB6"/>
    <w:rsid w:val="00D027EA"/>
    <w:rsid w:val="00D03B93"/>
    <w:rsid w:val="00D04997"/>
    <w:rsid w:val="00D0509E"/>
    <w:rsid w:val="00D05A74"/>
    <w:rsid w:val="00D063F8"/>
    <w:rsid w:val="00D064E8"/>
    <w:rsid w:val="00D10688"/>
    <w:rsid w:val="00D11311"/>
    <w:rsid w:val="00D1170F"/>
    <w:rsid w:val="00D13FB7"/>
    <w:rsid w:val="00D1460C"/>
    <w:rsid w:val="00D17168"/>
    <w:rsid w:val="00D201E3"/>
    <w:rsid w:val="00D203A5"/>
    <w:rsid w:val="00D212BE"/>
    <w:rsid w:val="00D22459"/>
    <w:rsid w:val="00D22A0C"/>
    <w:rsid w:val="00D23161"/>
    <w:rsid w:val="00D23969"/>
    <w:rsid w:val="00D240C9"/>
    <w:rsid w:val="00D25B81"/>
    <w:rsid w:val="00D27308"/>
    <w:rsid w:val="00D30E16"/>
    <w:rsid w:val="00D321DB"/>
    <w:rsid w:val="00D3559D"/>
    <w:rsid w:val="00D37DF6"/>
    <w:rsid w:val="00D401B2"/>
    <w:rsid w:val="00D4136A"/>
    <w:rsid w:val="00D430A2"/>
    <w:rsid w:val="00D4346E"/>
    <w:rsid w:val="00D4401A"/>
    <w:rsid w:val="00D44BC5"/>
    <w:rsid w:val="00D450D6"/>
    <w:rsid w:val="00D53331"/>
    <w:rsid w:val="00D563C5"/>
    <w:rsid w:val="00D60CFC"/>
    <w:rsid w:val="00D60D77"/>
    <w:rsid w:val="00D619D8"/>
    <w:rsid w:val="00D61D0C"/>
    <w:rsid w:val="00D62486"/>
    <w:rsid w:val="00D63E7D"/>
    <w:rsid w:val="00D64ACB"/>
    <w:rsid w:val="00D664F6"/>
    <w:rsid w:val="00D66953"/>
    <w:rsid w:val="00D67852"/>
    <w:rsid w:val="00D71665"/>
    <w:rsid w:val="00D71A81"/>
    <w:rsid w:val="00D71FD4"/>
    <w:rsid w:val="00D73216"/>
    <w:rsid w:val="00D73448"/>
    <w:rsid w:val="00D7360E"/>
    <w:rsid w:val="00D74BD2"/>
    <w:rsid w:val="00D752C9"/>
    <w:rsid w:val="00D761A9"/>
    <w:rsid w:val="00D761E6"/>
    <w:rsid w:val="00D76D29"/>
    <w:rsid w:val="00D775AB"/>
    <w:rsid w:val="00D806A6"/>
    <w:rsid w:val="00D80E2C"/>
    <w:rsid w:val="00D81517"/>
    <w:rsid w:val="00D83819"/>
    <w:rsid w:val="00D84B1E"/>
    <w:rsid w:val="00D856EB"/>
    <w:rsid w:val="00D861A0"/>
    <w:rsid w:val="00D866E0"/>
    <w:rsid w:val="00D86A60"/>
    <w:rsid w:val="00D87BC3"/>
    <w:rsid w:val="00D91F38"/>
    <w:rsid w:val="00D93F40"/>
    <w:rsid w:val="00D940B7"/>
    <w:rsid w:val="00D94186"/>
    <w:rsid w:val="00D949D4"/>
    <w:rsid w:val="00D94DCE"/>
    <w:rsid w:val="00D95585"/>
    <w:rsid w:val="00D95B0B"/>
    <w:rsid w:val="00D96F05"/>
    <w:rsid w:val="00DA2BE7"/>
    <w:rsid w:val="00DA5DF0"/>
    <w:rsid w:val="00DA6575"/>
    <w:rsid w:val="00DA6654"/>
    <w:rsid w:val="00DB1C91"/>
    <w:rsid w:val="00DB3493"/>
    <w:rsid w:val="00DB36A5"/>
    <w:rsid w:val="00DB36C5"/>
    <w:rsid w:val="00DB3A51"/>
    <w:rsid w:val="00DB3D72"/>
    <w:rsid w:val="00DB6574"/>
    <w:rsid w:val="00DB6ACD"/>
    <w:rsid w:val="00DC270C"/>
    <w:rsid w:val="00DC2DEE"/>
    <w:rsid w:val="00DC3493"/>
    <w:rsid w:val="00DC41D2"/>
    <w:rsid w:val="00DC62D1"/>
    <w:rsid w:val="00DC6E7E"/>
    <w:rsid w:val="00DD0C97"/>
    <w:rsid w:val="00DD17F8"/>
    <w:rsid w:val="00DD22FE"/>
    <w:rsid w:val="00DD3542"/>
    <w:rsid w:val="00DD438C"/>
    <w:rsid w:val="00DD4458"/>
    <w:rsid w:val="00DD49C8"/>
    <w:rsid w:val="00DD4AFC"/>
    <w:rsid w:val="00DD5978"/>
    <w:rsid w:val="00DD5C15"/>
    <w:rsid w:val="00DD68F2"/>
    <w:rsid w:val="00DE00A5"/>
    <w:rsid w:val="00DE075F"/>
    <w:rsid w:val="00DE1710"/>
    <w:rsid w:val="00DE1770"/>
    <w:rsid w:val="00DE20D3"/>
    <w:rsid w:val="00DE3E38"/>
    <w:rsid w:val="00DE42A2"/>
    <w:rsid w:val="00DE66D3"/>
    <w:rsid w:val="00DE6DA4"/>
    <w:rsid w:val="00DE6EC2"/>
    <w:rsid w:val="00DE732D"/>
    <w:rsid w:val="00DE7D71"/>
    <w:rsid w:val="00DF4003"/>
    <w:rsid w:val="00DF45F7"/>
    <w:rsid w:val="00DF4608"/>
    <w:rsid w:val="00DF48EA"/>
    <w:rsid w:val="00E00CED"/>
    <w:rsid w:val="00E014D8"/>
    <w:rsid w:val="00E04824"/>
    <w:rsid w:val="00E100AA"/>
    <w:rsid w:val="00E111FA"/>
    <w:rsid w:val="00E14A77"/>
    <w:rsid w:val="00E14AD9"/>
    <w:rsid w:val="00E15B20"/>
    <w:rsid w:val="00E15C76"/>
    <w:rsid w:val="00E1700C"/>
    <w:rsid w:val="00E170F5"/>
    <w:rsid w:val="00E1724A"/>
    <w:rsid w:val="00E20FEE"/>
    <w:rsid w:val="00E213DF"/>
    <w:rsid w:val="00E214F7"/>
    <w:rsid w:val="00E23DA1"/>
    <w:rsid w:val="00E25A51"/>
    <w:rsid w:val="00E25C3F"/>
    <w:rsid w:val="00E2622B"/>
    <w:rsid w:val="00E272BB"/>
    <w:rsid w:val="00E272D5"/>
    <w:rsid w:val="00E273FC"/>
    <w:rsid w:val="00E27496"/>
    <w:rsid w:val="00E27B44"/>
    <w:rsid w:val="00E300D5"/>
    <w:rsid w:val="00E30631"/>
    <w:rsid w:val="00E3180A"/>
    <w:rsid w:val="00E32B5D"/>
    <w:rsid w:val="00E330B9"/>
    <w:rsid w:val="00E33C80"/>
    <w:rsid w:val="00E3410E"/>
    <w:rsid w:val="00E35384"/>
    <w:rsid w:val="00E354DB"/>
    <w:rsid w:val="00E35AB0"/>
    <w:rsid w:val="00E35DF8"/>
    <w:rsid w:val="00E35F99"/>
    <w:rsid w:val="00E372A2"/>
    <w:rsid w:val="00E377A6"/>
    <w:rsid w:val="00E378B3"/>
    <w:rsid w:val="00E42A25"/>
    <w:rsid w:val="00E42AF0"/>
    <w:rsid w:val="00E42DE3"/>
    <w:rsid w:val="00E450AB"/>
    <w:rsid w:val="00E461B6"/>
    <w:rsid w:val="00E462CD"/>
    <w:rsid w:val="00E465DC"/>
    <w:rsid w:val="00E47A0A"/>
    <w:rsid w:val="00E5134A"/>
    <w:rsid w:val="00E52115"/>
    <w:rsid w:val="00E522F9"/>
    <w:rsid w:val="00E52E3C"/>
    <w:rsid w:val="00E56161"/>
    <w:rsid w:val="00E5717D"/>
    <w:rsid w:val="00E579E0"/>
    <w:rsid w:val="00E60CDE"/>
    <w:rsid w:val="00E61185"/>
    <w:rsid w:val="00E618DE"/>
    <w:rsid w:val="00E63E43"/>
    <w:rsid w:val="00E644CA"/>
    <w:rsid w:val="00E66240"/>
    <w:rsid w:val="00E66C5B"/>
    <w:rsid w:val="00E70904"/>
    <w:rsid w:val="00E71835"/>
    <w:rsid w:val="00E718CD"/>
    <w:rsid w:val="00E718FD"/>
    <w:rsid w:val="00E71B8C"/>
    <w:rsid w:val="00E72A79"/>
    <w:rsid w:val="00E72DE6"/>
    <w:rsid w:val="00E73323"/>
    <w:rsid w:val="00E746CA"/>
    <w:rsid w:val="00E75BB1"/>
    <w:rsid w:val="00E76FA1"/>
    <w:rsid w:val="00E77C40"/>
    <w:rsid w:val="00E80588"/>
    <w:rsid w:val="00E833BA"/>
    <w:rsid w:val="00E83ECD"/>
    <w:rsid w:val="00E8542D"/>
    <w:rsid w:val="00E85AE0"/>
    <w:rsid w:val="00E8732E"/>
    <w:rsid w:val="00E875E2"/>
    <w:rsid w:val="00E90FF9"/>
    <w:rsid w:val="00E91040"/>
    <w:rsid w:val="00E939B2"/>
    <w:rsid w:val="00E93D57"/>
    <w:rsid w:val="00E9592D"/>
    <w:rsid w:val="00E959B7"/>
    <w:rsid w:val="00E96B77"/>
    <w:rsid w:val="00E97293"/>
    <w:rsid w:val="00E97A95"/>
    <w:rsid w:val="00EA3C68"/>
    <w:rsid w:val="00EA3C83"/>
    <w:rsid w:val="00EA5412"/>
    <w:rsid w:val="00EB0FF0"/>
    <w:rsid w:val="00EB1D83"/>
    <w:rsid w:val="00EB2E48"/>
    <w:rsid w:val="00EB31F0"/>
    <w:rsid w:val="00EB42B2"/>
    <w:rsid w:val="00EB5791"/>
    <w:rsid w:val="00EB5BB5"/>
    <w:rsid w:val="00EC059F"/>
    <w:rsid w:val="00EC2F52"/>
    <w:rsid w:val="00EC389F"/>
    <w:rsid w:val="00EC4E0D"/>
    <w:rsid w:val="00EC6FAE"/>
    <w:rsid w:val="00EC7053"/>
    <w:rsid w:val="00ED0579"/>
    <w:rsid w:val="00ED09F3"/>
    <w:rsid w:val="00ED26A0"/>
    <w:rsid w:val="00ED27AE"/>
    <w:rsid w:val="00ED3B94"/>
    <w:rsid w:val="00ED4AB4"/>
    <w:rsid w:val="00EE127F"/>
    <w:rsid w:val="00EE1760"/>
    <w:rsid w:val="00EE228A"/>
    <w:rsid w:val="00EE2D87"/>
    <w:rsid w:val="00EE2DF0"/>
    <w:rsid w:val="00EE43D3"/>
    <w:rsid w:val="00EE7708"/>
    <w:rsid w:val="00EE7D12"/>
    <w:rsid w:val="00EF0257"/>
    <w:rsid w:val="00EF106F"/>
    <w:rsid w:val="00EF199A"/>
    <w:rsid w:val="00EF53D2"/>
    <w:rsid w:val="00EF55CD"/>
    <w:rsid w:val="00EF5AEC"/>
    <w:rsid w:val="00EF6549"/>
    <w:rsid w:val="00F0183B"/>
    <w:rsid w:val="00F0236F"/>
    <w:rsid w:val="00F03491"/>
    <w:rsid w:val="00F03955"/>
    <w:rsid w:val="00F03B2C"/>
    <w:rsid w:val="00F047D2"/>
    <w:rsid w:val="00F047EA"/>
    <w:rsid w:val="00F052CD"/>
    <w:rsid w:val="00F07589"/>
    <w:rsid w:val="00F130EE"/>
    <w:rsid w:val="00F14824"/>
    <w:rsid w:val="00F156E9"/>
    <w:rsid w:val="00F15FE3"/>
    <w:rsid w:val="00F1662B"/>
    <w:rsid w:val="00F17E6F"/>
    <w:rsid w:val="00F214C3"/>
    <w:rsid w:val="00F22319"/>
    <w:rsid w:val="00F22465"/>
    <w:rsid w:val="00F23593"/>
    <w:rsid w:val="00F23D7A"/>
    <w:rsid w:val="00F24802"/>
    <w:rsid w:val="00F25469"/>
    <w:rsid w:val="00F2558F"/>
    <w:rsid w:val="00F30ABC"/>
    <w:rsid w:val="00F34C9D"/>
    <w:rsid w:val="00F36090"/>
    <w:rsid w:val="00F37537"/>
    <w:rsid w:val="00F37D6B"/>
    <w:rsid w:val="00F4231E"/>
    <w:rsid w:val="00F45488"/>
    <w:rsid w:val="00F46A19"/>
    <w:rsid w:val="00F46E8F"/>
    <w:rsid w:val="00F46ECA"/>
    <w:rsid w:val="00F46EE0"/>
    <w:rsid w:val="00F50512"/>
    <w:rsid w:val="00F5151A"/>
    <w:rsid w:val="00F52ED4"/>
    <w:rsid w:val="00F52F62"/>
    <w:rsid w:val="00F54E75"/>
    <w:rsid w:val="00F55242"/>
    <w:rsid w:val="00F608C7"/>
    <w:rsid w:val="00F60FBC"/>
    <w:rsid w:val="00F636C0"/>
    <w:rsid w:val="00F63EA4"/>
    <w:rsid w:val="00F67AA1"/>
    <w:rsid w:val="00F7197B"/>
    <w:rsid w:val="00F71FF4"/>
    <w:rsid w:val="00F72DA5"/>
    <w:rsid w:val="00F74386"/>
    <w:rsid w:val="00F74F68"/>
    <w:rsid w:val="00F75D0A"/>
    <w:rsid w:val="00F766DE"/>
    <w:rsid w:val="00F76E82"/>
    <w:rsid w:val="00F77779"/>
    <w:rsid w:val="00F809E3"/>
    <w:rsid w:val="00F8169A"/>
    <w:rsid w:val="00F82F8B"/>
    <w:rsid w:val="00F8380E"/>
    <w:rsid w:val="00F83D96"/>
    <w:rsid w:val="00F83FE8"/>
    <w:rsid w:val="00F85D18"/>
    <w:rsid w:val="00F864A3"/>
    <w:rsid w:val="00F86AA1"/>
    <w:rsid w:val="00F87194"/>
    <w:rsid w:val="00F87496"/>
    <w:rsid w:val="00F928A8"/>
    <w:rsid w:val="00F93322"/>
    <w:rsid w:val="00F94621"/>
    <w:rsid w:val="00F948B3"/>
    <w:rsid w:val="00FA13B7"/>
    <w:rsid w:val="00FA1FB6"/>
    <w:rsid w:val="00FA2520"/>
    <w:rsid w:val="00FA464F"/>
    <w:rsid w:val="00FA4C90"/>
    <w:rsid w:val="00FA65B0"/>
    <w:rsid w:val="00FA6755"/>
    <w:rsid w:val="00FA70FC"/>
    <w:rsid w:val="00FB0176"/>
    <w:rsid w:val="00FB1819"/>
    <w:rsid w:val="00FB18D0"/>
    <w:rsid w:val="00FB2993"/>
    <w:rsid w:val="00FB6D5D"/>
    <w:rsid w:val="00FC02F9"/>
    <w:rsid w:val="00FC0DED"/>
    <w:rsid w:val="00FC2EFA"/>
    <w:rsid w:val="00FC548C"/>
    <w:rsid w:val="00FD0BAB"/>
    <w:rsid w:val="00FD2FEB"/>
    <w:rsid w:val="00FD314E"/>
    <w:rsid w:val="00FD436B"/>
    <w:rsid w:val="00FD5FF5"/>
    <w:rsid w:val="00FD658A"/>
    <w:rsid w:val="00FD67D5"/>
    <w:rsid w:val="00FD77BC"/>
    <w:rsid w:val="00FE0D92"/>
    <w:rsid w:val="00FE2C14"/>
    <w:rsid w:val="00FE3430"/>
    <w:rsid w:val="00FE508D"/>
    <w:rsid w:val="00FE5873"/>
    <w:rsid w:val="00FE5E1D"/>
    <w:rsid w:val="00FE66D0"/>
    <w:rsid w:val="00FE73BC"/>
    <w:rsid w:val="00FE7BE8"/>
    <w:rsid w:val="00FF1007"/>
    <w:rsid w:val="00FF1808"/>
    <w:rsid w:val="00FF29D1"/>
    <w:rsid w:val="00FF2A03"/>
    <w:rsid w:val="00FF3142"/>
    <w:rsid w:val="00FF336B"/>
    <w:rsid w:val="00FF3C86"/>
    <w:rsid w:val="00FF44EE"/>
    <w:rsid w:val="00FF4D72"/>
    <w:rsid w:val="00FF6AFD"/>
    <w:rsid w:val="00FF72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C4C0C"/>
  <w15:docId w15:val="{1EFAD279-C040-47B6-BF26-498AEB6EF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F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CCA"/>
    <w:pPr>
      <w:ind w:left="720"/>
      <w:contextualSpacing/>
    </w:pPr>
  </w:style>
  <w:style w:type="character" w:styleId="CommentReference">
    <w:name w:val="annotation reference"/>
    <w:basedOn w:val="DefaultParagraphFont"/>
    <w:uiPriority w:val="99"/>
    <w:semiHidden/>
    <w:unhideWhenUsed/>
    <w:rsid w:val="0064707A"/>
    <w:rPr>
      <w:sz w:val="16"/>
      <w:szCs w:val="16"/>
    </w:rPr>
  </w:style>
  <w:style w:type="paragraph" w:styleId="CommentText">
    <w:name w:val="annotation text"/>
    <w:basedOn w:val="Normal"/>
    <w:link w:val="CommentTextChar"/>
    <w:uiPriority w:val="99"/>
    <w:unhideWhenUsed/>
    <w:rsid w:val="0064707A"/>
    <w:rPr>
      <w:sz w:val="20"/>
      <w:szCs w:val="20"/>
    </w:rPr>
  </w:style>
  <w:style w:type="character" w:customStyle="1" w:styleId="CommentTextChar">
    <w:name w:val="Comment Text Char"/>
    <w:basedOn w:val="DefaultParagraphFont"/>
    <w:link w:val="CommentText"/>
    <w:uiPriority w:val="99"/>
    <w:rsid w:val="0064707A"/>
    <w:rPr>
      <w:sz w:val="20"/>
      <w:szCs w:val="20"/>
    </w:rPr>
  </w:style>
  <w:style w:type="paragraph" w:styleId="CommentSubject">
    <w:name w:val="annotation subject"/>
    <w:basedOn w:val="CommentText"/>
    <w:next w:val="CommentText"/>
    <w:link w:val="CommentSubjectChar"/>
    <w:uiPriority w:val="99"/>
    <w:semiHidden/>
    <w:unhideWhenUsed/>
    <w:rsid w:val="0064707A"/>
    <w:rPr>
      <w:b/>
      <w:bCs/>
    </w:rPr>
  </w:style>
  <w:style w:type="character" w:customStyle="1" w:styleId="CommentSubjectChar">
    <w:name w:val="Comment Subject Char"/>
    <w:basedOn w:val="CommentTextChar"/>
    <w:link w:val="CommentSubject"/>
    <w:uiPriority w:val="99"/>
    <w:semiHidden/>
    <w:rsid w:val="0064707A"/>
    <w:rPr>
      <w:b/>
      <w:bCs/>
      <w:sz w:val="20"/>
      <w:szCs w:val="20"/>
    </w:rPr>
  </w:style>
  <w:style w:type="paragraph" w:styleId="BalloonText">
    <w:name w:val="Balloon Text"/>
    <w:basedOn w:val="Normal"/>
    <w:link w:val="BalloonTextChar"/>
    <w:uiPriority w:val="99"/>
    <w:semiHidden/>
    <w:unhideWhenUsed/>
    <w:rsid w:val="0064707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707A"/>
    <w:rPr>
      <w:rFonts w:ascii="Times New Roman" w:hAnsi="Times New Roman" w:cs="Times New Roman"/>
      <w:sz w:val="18"/>
      <w:szCs w:val="18"/>
    </w:rPr>
  </w:style>
  <w:style w:type="paragraph" w:customStyle="1" w:styleId="Default">
    <w:name w:val="Default"/>
    <w:rsid w:val="00102706"/>
    <w:pPr>
      <w:autoSpaceDE w:val="0"/>
      <w:autoSpaceDN w:val="0"/>
      <w:adjustRightInd w:val="0"/>
    </w:pPr>
    <w:rPr>
      <w:rFonts w:ascii="Tahoma" w:hAnsi="Tahoma" w:cs="Tahoma"/>
      <w:color w:val="000000"/>
    </w:rPr>
  </w:style>
  <w:style w:type="paragraph" w:styleId="Revision">
    <w:name w:val="Revision"/>
    <w:hidden/>
    <w:uiPriority w:val="99"/>
    <w:semiHidden/>
    <w:rsid w:val="00B17082"/>
  </w:style>
  <w:style w:type="character" w:styleId="Hyperlink">
    <w:name w:val="Hyperlink"/>
    <w:basedOn w:val="DefaultParagraphFont"/>
    <w:uiPriority w:val="99"/>
    <w:unhideWhenUsed/>
    <w:rsid w:val="00342857"/>
    <w:rPr>
      <w:color w:val="0563C1" w:themeColor="hyperlink"/>
      <w:u w:val="single"/>
    </w:rPr>
  </w:style>
  <w:style w:type="character" w:customStyle="1" w:styleId="UnresolvedMention1">
    <w:name w:val="Unresolved Mention1"/>
    <w:basedOn w:val="DefaultParagraphFont"/>
    <w:uiPriority w:val="99"/>
    <w:semiHidden/>
    <w:unhideWhenUsed/>
    <w:rsid w:val="003C316A"/>
    <w:rPr>
      <w:color w:val="605E5C"/>
      <w:shd w:val="clear" w:color="auto" w:fill="E1DFDD"/>
    </w:rPr>
  </w:style>
  <w:style w:type="character" w:styleId="FollowedHyperlink">
    <w:name w:val="FollowedHyperlink"/>
    <w:basedOn w:val="DefaultParagraphFont"/>
    <w:uiPriority w:val="99"/>
    <w:semiHidden/>
    <w:unhideWhenUsed/>
    <w:rsid w:val="003C316A"/>
    <w:rPr>
      <w:color w:val="954F72" w:themeColor="followedHyperlink"/>
      <w:u w:val="single"/>
    </w:rPr>
  </w:style>
  <w:style w:type="paragraph" w:customStyle="1" w:styleId="EndNoteBibliographyTitle">
    <w:name w:val="EndNote Bibliography Title"/>
    <w:basedOn w:val="Normal"/>
    <w:link w:val="EndNoteBibliographyTitleChar"/>
    <w:rsid w:val="00DB3493"/>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DB3493"/>
    <w:rPr>
      <w:rFonts w:ascii="Calibri" w:hAnsi="Calibri" w:cs="Calibri"/>
      <w:lang w:val="en-US"/>
    </w:rPr>
  </w:style>
  <w:style w:type="paragraph" w:customStyle="1" w:styleId="EndNoteBibliography">
    <w:name w:val="EndNote Bibliography"/>
    <w:basedOn w:val="Normal"/>
    <w:link w:val="EndNoteBibliographyChar"/>
    <w:rsid w:val="00DB3493"/>
    <w:pPr>
      <w:spacing w:line="240" w:lineRule="auto"/>
      <w:jc w:val="both"/>
    </w:pPr>
    <w:rPr>
      <w:rFonts w:ascii="Calibri" w:hAnsi="Calibri" w:cs="Calibri"/>
      <w:lang w:val="en-US"/>
    </w:rPr>
  </w:style>
  <w:style w:type="character" w:customStyle="1" w:styleId="EndNoteBibliographyChar">
    <w:name w:val="EndNote Bibliography Char"/>
    <w:basedOn w:val="DefaultParagraphFont"/>
    <w:link w:val="EndNoteBibliography"/>
    <w:rsid w:val="00DB3493"/>
    <w:rPr>
      <w:rFonts w:ascii="Calibri" w:hAnsi="Calibri" w:cs="Calibri"/>
      <w:lang w:val="en-US"/>
    </w:rPr>
  </w:style>
  <w:style w:type="character" w:styleId="HTMLCite">
    <w:name w:val="HTML Cite"/>
    <w:basedOn w:val="DefaultParagraphFont"/>
    <w:uiPriority w:val="99"/>
    <w:semiHidden/>
    <w:unhideWhenUsed/>
    <w:rsid w:val="005D722B"/>
    <w:rPr>
      <w:i/>
      <w:iCs/>
    </w:rPr>
  </w:style>
  <w:style w:type="paragraph" w:styleId="NormalWeb">
    <w:name w:val="Normal (Web)"/>
    <w:basedOn w:val="Normal"/>
    <w:uiPriority w:val="99"/>
    <w:semiHidden/>
    <w:unhideWhenUsed/>
    <w:rsid w:val="00E35DF8"/>
    <w:pPr>
      <w:spacing w:before="100" w:beforeAutospacing="1" w:after="100" w:afterAutospacing="1"/>
    </w:pPr>
    <w:rPr>
      <w:rFonts w:ascii="Times New Roman" w:eastAsia="Times New Roman" w:hAnsi="Times New Roman" w:cs="Times New Roman"/>
      <w:lang w:eastAsia="en-GB"/>
    </w:rPr>
  </w:style>
  <w:style w:type="character" w:customStyle="1" w:styleId="A4">
    <w:name w:val="A4"/>
    <w:uiPriority w:val="99"/>
    <w:rsid w:val="00B122F9"/>
    <w:rPr>
      <w:rFonts w:cs="Shaker 2 Lancet Regular"/>
      <w:i/>
      <w:iCs/>
      <w:color w:val="000000"/>
      <w:sz w:val="16"/>
      <w:szCs w:val="16"/>
    </w:rPr>
  </w:style>
  <w:style w:type="paragraph" w:styleId="Header">
    <w:name w:val="header"/>
    <w:basedOn w:val="Normal"/>
    <w:link w:val="HeaderChar"/>
    <w:uiPriority w:val="99"/>
    <w:unhideWhenUsed/>
    <w:rsid w:val="00614E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E37"/>
  </w:style>
  <w:style w:type="paragraph" w:styleId="Footer">
    <w:name w:val="footer"/>
    <w:basedOn w:val="Normal"/>
    <w:link w:val="FooterChar"/>
    <w:uiPriority w:val="99"/>
    <w:unhideWhenUsed/>
    <w:rsid w:val="00614E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E37"/>
  </w:style>
  <w:style w:type="paragraph" w:customStyle="1" w:styleId="Bulletlistlevel1">
    <w:name w:val="Bullet list level 1"/>
    <w:basedOn w:val="Normal"/>
    <w:qFormat/>
    <w:rsid w:val="00900895"/>
    <w:pPr>
      <w:numPr>
        <w:numId w:val="6"/>
      </w:numPr>
      <w:tabs>
        <w:tab w:val="clear" w:pos="3479"/>
        <w:tab w:val="num" w:pos="426"/>
      </w:tabs>
      <w:spacing w:after="0" w:line="276" w:lineRule="auto"/>
      <w:ind w:left="426"/>
      <w:jc w:val="both"/>
    </w:pPr>
    <w:rPr>
      <w:rFonts w:eastAsia="Times New Roman" w:cs="Times New Roman"/>
      <w:sz w:val="22"/>
      <w:szCs w:val="22"/>
      <w:lang w:val="en-US" w:eastAsia="en-GB"/>
    </w:rPr>
  </w:style>
  <w:style w:type="paragraph" w:customStyle="1" w:styleId="Eligibility-Bulletlistlevel1">
    <w:name w:val="Eligibility - Bullet list level 1"/>
    <w:basedOn w:val="Bulletlistlevel1"/>
    <w:qFormat/>
    <w:rsid w:val="00900895"/>
    <w:pPr>
      <w:ind w:left="1276"/>
    </w:pPr>
  </w:style>
  <w:style w:type="paragraph" w:customStyle="1" w:styleId="Bulletlistlevel2b">
    <w:name w:val="Bullet list level 2b"/>
    <w:basedOn w:val="Bulletlistlevel1"/>
    <w:qFormat/>
    <w:rsid w:val="00900895"/>
    <w:pPr>
      <w:numPr>
        <w:ilvl w:val="1"/>
        <w:numId w:val="7"/>
      </w:numPr>
      <w:tabs>
        <w:tab w:val="clear" w:pos="1440"/>
      </w:tabs>
      <w:ind w:left="1701" w:hanging="42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27052">
      <w:bodyDiv w:val="1"/>
      <w:marLeft w:val="0"/>
      <w:marRight w:val="0"/>
      <w:marTop w:val="0"/>
      <w:marBottom w:val="0"/>
      <w:divBdr>
        <w:top w:val="none" w:sz="0" w:space="0" w:color="auto"/>
        <w:left w:val="none" w:sz="0" w:space="0" w:color="auto"/>
        <w:bottom w:val="none" w:sz="0" w:space="0" w:color="auto"/>
        <w:right w:val="none" w:sz="0" w:space="0" w:color="auto"/>
      </w:divBdr>
    </w:div>
    <w:div w:id="284315669">
      <w:bodyDiv w:val="1"/>
      <w:marLeft w:val="0"/>
      <w:marRight w:val="0"/>
      <w:marTop w:val="0"/>
      <w:marBottom w:val="0"/>
      <w:divBdr>
        <w:top w:val="none" w:sz="0" w:space="0" w:color="auto"/>
        <w:left w:val="none" w:sz="0" w:space="0" w:color="auto"/>
        <w:bottom w:val="none" w:sz="0" w:space="0" w:color="auto"/>
        <w:right w:val="none" w:sz="0" w:space="0" w:color="auto"/>
      </w:divBdr>
      <w:divsChild>
        <w:div w:id="1431731399">
          <w:marLeft w:val="0"/>
          <w:marRight w:val="0"/>
          <w:marTop w:val="0"/>
          <w:marBottom w:val="0"/>
          <w:divBdr>
            <w:top w:val="none" w:sz="0" w:space="0" w:color="auto"/>
            <w:left w:val="none" w:sz="0" w:space="0" w:color="auto"/>
            <w:bottom w:val="none" w:sz="0" w:space="0" w:color="auto"/>
            <w:right w:val="none" w:sz="0" w:space="0" w:color="auto"/>
          </w:divBdr>
          <w:divsChild>
            <w:div w:id="2112897461">
              <w:marLeft w:val="0"/>
              <w:marRight w:val="0"/>
              <w:marTop w:val="0"/>
              <w:marBottom w:val="0"/>
              <w:divBdr>
                <w:top w:val="none" w:sz="0" w:space="0" w:color="auto"/>
                <w:left w:val="none" w:sz="0" w:space="0" w:color="auto"/>
                <w:bottom w:val="none" w:sz="0" w:space="0" w:color="auto"/>
                <w:right w:val="none" w:sz="0" w:space="0" w:color="auto"/>
              </w:divBdr>
              <w:divsChild>
                <w:div w:id="1391881710">
                  <w:marLeft w:val="0"/>
                  <w:marRight w:val="0"/>
                  <w:marTop w:val="0"/>
                  <w:marBottom w:val="0"/>
                  <w:divBdr>
                    <w:top w:val="none" w:sz="0" w:space="0" w:color="auto"/>
                    <w:left w:val="none" w:sz="0" w:space="0" w:color="auto"/>
                    <w:bottom w:val="none" w:sz="0" w:space="0" w:color="auto"/>
                    <w:right w:val="none" w:sz="0" w:space="0" w:color="auto"/>
                  </w:divBdr>
                  <w:divsChild>
                    <w:div w:id="21601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345288">
      <w:bodyDiv w:val="1"/>
      <w:marLeft w:val="0"/>
      <w:marRight w:val="0"/>
      <w:marTop w:val="0"/>
      <w:marBottom w:val="0"/>
      <w:divBdr>
        <w:top w:val="none" w:sz="0" w:space="0" w:color="auto"/>
        <w:left w:val="none" w:sz="0" w:space="0" w:color="auto"/>
        <w:bottom w:val="none" w:sz="0" w:space="0" w:color="auto"/>
        <w:right w:val="none" w:sz="0" w:space="0" w:color="auto"/>
      </w:divBdr>
    </w:div>
    <w:div w:id="452141665">
      <w:bodyDiv w:val="1"/>
      <w:marLeft w:val="0"/>
      <w:marRight w:val="0"/>
      <w:marTop w:val="0"/>
      <w:marBottom w:val="0"/>
      <w:divBdr>
        <w:top w:val="none" w:sz="0" w:space="0" w:color="auto"/>
        <w:left w:val="none" w:sz="0" w:space="0" w:color="auto"/>
        <w:bottom w:val="none" w:sz="0" w:space="0" w:color="auto"/>
        <w:right w:val="none" w:sz="0" w:space="0" w:color="auto"/>
      </w:divBdr>
    </w:div>
    <w:div w:id="478498641">
      <w:bodyDiv w:val="1"/>
      <w:marLeft w:val="0"/>
      <w:marRight w:val="0"/>
      <w:marTop w:val="0"/>
      <w:marBottom w:val="0"/>
      <w:divBdr>
        <w:top w:val="none" w:sz="0" w:space="0" w:color="auto"/>
        <w:left w:val="none" w:sz="0" w:space="0" w:color="auto"/>
        <w:bottom w:val="none" w:sz="0" w:space="0" w:color="auto"/>
        <w:right w:val="none" w:sz="0" w:space="0" w:color="auto"/>
      </w:divBdr>
      <w:divsChild>
        <w:div w:id="314725276">
          <w:marLeft w:val="0"/>
          <w:marRight w:val="0"/>
          <w:marTop w:val="0"/>
          <w:marBottom w:val="0"/>
          <w:divBdr>
            <w:top w:val="none" w:sz="0" w:space="0" w:color="auto"/>
            <w:left w:val="none" w:sz="0" w:space="0" w:color="auto"/>
            <w:bottom w:val="none" w:sz="0" w:space="0" w:color="auto"/>
            <w:right w:val="none" w:sz="0" w:space="0" w:color="auto"/>
          </w:divBdr>
          <w:divsChild>
            <w:div w:id="733938365">
              <w:marLeft w:val="0"/>
              <w:marRight w:val="0"/>
              <w:marTop w:val="0"/>
              <w:marBottom w:val="0"/>
              <w:divBdr>
                <w:top w:val="none" w:sz="0" w:space="0" w:color="auto"/>
                <w:left w:val="none" w:sz="0" w:space="0" w:color="auto"/>
                <w:bottom w:val="none" w:sz="0" w:space="0" w:color="auto"/>
                <w:right w:val="none" w:sz="0" w:space="0" w:color="auto"/>
              </w:divBdr>
              <w:divsChild>
                <w:div w:id="2020351092">
                  <w:marLeft w:val="0"/>
                  <w:marRight w:val="0"/>
                  <w:marTop w:val="0"/>
                  <w:marBottom w:val="0"/>
                  <w:divBdr>
                    <w:top w:val="none" w:sz="0" w:space="0" w:color="auto"/>
                    <w:left w:val="none" w:sz="0" w:space="0" w:color="auto"/>
                    <w:bottom w:val="none" w:sz="0" w:space="0" w:color="auto"/>
                    <w:right w:val="none" w:sz="0" w:space="0" w:color="auto"/>
                  </w:divBdr>
                  <w:divsChild>
                    <w:div w:id="34309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391124">
      <w:bodyDiv w:val="1"/>
      <w:marLeft w:val="0"/>
      <w:marRight w:val="0"/>
      <w:marTop w:val="0"/>
      <w:marBottom w:val="0"/>
      <w:divBdr>
        <w:top w:val="none" w:sz="0" w:space="0" w:color="auto"/>
        <w:left w:val="none" w:sz="0" w:space="0" w:color="auto"/>
        <w:bottom w:val="none" w:sz="0" w:space="0" w:color="auto"/>
        <w:right w:val="none" w:sz="0" w:space="0" w:color="auto"/>
      </w:divBdr>
      <w:divsChild>
        <w:div w:id="707527427">
          <w:marLeft w:val="0"/>
          <w:marRight w:val="0"/>
          <w:marTop w:val="0"/>
          <w:marBottom w:val="0"/>
          <w:divBdr>
            <w:top w:val="none" w:sz="0" w:space="0" w:color="auto"/>
            <w:left w:val="none" w:sz="0" w:space="0" w:color="auto"/>
            <w:bottom w:val="none" w:sz="0" w:space="0" w:color="auto"/>
            <w:right w:val="none" w:sz="0" w:space="0" w:color="auto"/>
          </w:divBdr>
          <w:divsChild>
            <w:div w:id="1547991400">
              <w:marLeft w:val="0"/>
              <w:marRight w:val="0"/>
              <w:marTop w:val="0"/>
              <w:marBottom w:val="0"/>
              <w:divBdr>
                <w:top w:val="none" w:sz="0" w:space="0" w:color="auto"/>
                <w:left w:val="none" w:sz="0" w:space="0" w:color="auto"/>
                <w:bottom w:val="none" w:sz="0" w:space="0" w:color="auto"/>
                <w:right w:val="none" w:sz="0" w:space="0" w:color="auto"/>
              </w:divBdr>
              <w:divsChild>
                <w:div w:id="1647512466">
                  <w:marLeft w:val="0"/>
                  <w:marRight w:val="0"/>
                  <w:marTop w:val="0"/>
                  <w:marBottom w:val="0"/>
                  <w:divBdr>
                    <w:top w:val="none" w:sz="0" w:space="0" w:color="auto"/>
                    <w:left w:val="none" w:sz="0" w:space="0" w:color="auto"/>
                    <w:bottom w:val="none" w:sz="0" w:space="0" w:color="auto"/>
                    <w:right w:val="none" w:sz="0" w:space="0" w:color="auto"/>
                  </w:divBdr>
                  <w:divsChild>
                    <w:div w:id="59856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883546">
      <w:bodyDiv w:val="1"/>
      <w:marLeft w:val="0"/>
      <w:marRight w:val="0"/>
      <w:marTop w:val="0"/>
      <w:marBottom w:val="0"/>
      <w:divBdr>
        <w:top w:val="none" w:sz="0" w:space="0" w:color="auto"/>
        <w:left w:val="none" w:sz="0" w:space="0" w:color="auto"/>
        <w:bottom w:val="none" w:sz="0" w:space="0" w:color="auto"/>
        <w:right w:val="none" w:sz="0" w:space="0" w:color="auto"/>
      </w:divBdr>
    </w:div>
    <w:div w:id="937131417">
      <w:bodyDiv w:val="1"/>
      <w:marLeft w:val="0"/>
      <w:marRight w:val="0"/>
      <w:marTop w:val="0"/>
      <w:marBottom w:val="0"/>
      <w:divBdr>
        <w:top w:val="none" w:sz="0" w:space="0" w:color="auto"/>
        <w:left w:val="none" w:sz="0" w:space="0" w:color="auto"/>
        <w:bottom w:val="none" w:sz="0" w:space="0" w:color="auto"/>
        <w:right w:val="none" w:sz="0" w:space="0" w:color="auto"/>
      </w:divBdr>
      <w:divsChild>
        <w:div w:id="1479148432">
          <w:marLeft w:val="0"/>
          <w:marRight w:val="0"/>
          <w:marTop w:val="0"/>
          <w:marBottom w:val="0"/>
          <w:divBdr>
            <w:top w:val="none" w:sz="0" w:space="0" w:color="auto"/>
            <w:left w:val="none" w:sz="0" w:space="0" w:color="auto"/>
            <w:bottom w:val="none" w:sz="0" w:space="0" w:color="auto"/>
            <w:right w:val="none" w:sz="0" w:space="0" w:color="auto"/>
          </w:divBdr>
          <w:divsChild>
            <w:div w:id="619916887">
              <w:marLeft w:val="0"/>
              <w:marRight w:val="0"/>
              <w:marTop w:val="0"/>
              <w:marBottom w:val="0"/>
              <w:divBdr>
                <w:top w:val="none" w:sz="0" w:space="0" w:color="auto"/>
                <w:left w:val="none" w:sz="0" w:space="0" w:color="auto"/>
                <w:bottom w:val="none" w:sz="0" w:space="0" w:color="auto"/>
                <w:right w:val="none" w:sz="0" w:space="0" w:color="auto"/>
              </w:divBdr>
              <w:divsChild>
                <w:div w:id="775251542">
                  <w:marLeft w:val="0"/>
                  <w:marRight w:val="0"/>
                  <w:marTop w:val="0"/>
                  <w:marBottom w:val="0"/>
                  <w:divBdr>
                    <w:top w:val="none" w:sz="0" w:space="0" w:color="auto"/>
                    <w:left w:val="none" w:sz="0" w:space="0" w:color="auto"/>
                    <w:bottom w:val="none" w:sz="0" w:space="0" w:color="auto"/>
                    <w:right w:val="none" w:sz="0" w:space="0" w:color="auto"/>
                  </w:divBdr>
                  <w:divsChild>
                    <w:div w:id="175716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844635">
      <w:bodyDiv w:val="1"/>
      <w:marLeft w:val="0"/>
      <w:marRight w:val="0"/>
      <w:marTop w:val="0"/>
      <w:marBottom w:val="0"/>
      <w:divBdr>
        <w:top w:val="none" w:sz="0" w:space="0" w:color="auto"/>
        <w:left w:val="none" w:sz="0" w:space="0" w:color="auto"/>
        <w:bottom w:val="none" w:sz="0" w:space="0" w:color="auto"/>
        <w:right w:val="none" w:sz="0" w:space="0" w:color="auto"/>
      </w:divBdr>
    </w:div>
    <w:div w:id="1266156862">
      <w:bodyDiv w:val="1"/>
      <w:marLeft w:val="0"/>
      <w:marRight w:val="0"/>
      <w:marTop w:val="0"/>
      <w:marBottom w:val="0"/>
      <w:divBdr>
        <w:top w:val="none" w:sz="0" w:space="0" w:color="auto"/>
        <w:left w:val="none" w:sz="0" w:space="0" w:color="auto"/>
        <w:bottom w:val="none" w:sz="0" w:space="0" w:color="auto"/>
        <w:right w:val="none" w:sz="0" w:space="0" w:color="auto"/>
      </w:divBdr>
    </w:div>
    <w:div w:id="1382286833">
      <w:bodyDiv w:val="1"/>
      <w:marLeft w:val="0"/>
      <w:marRight w:val="0"/>
      <w:marTop w:val="0"/>
      <w:marBottom w:val="0"/>
      <w:divBdr>
        <w:top w:val="none" w:sz="0" w:space="0" w:color="auto"/>
        <w:left w:val="none" w:sz="0" w:space="0" w:color="auto"/>
        <w:bottom w:val="none" w:sz="0" w:space="0" w:color="auto"/>
        <w:right w:val="none" w:sz="0" w:space="0" w:color="auto"/>
      </w:divBdr>
      <w:divsChild>
        <w:div w:id="125316321">
          <w:marLeft w:val="1267"/>
          <w:marRight w:val="0"/>
          <w:marTop w:val="0"/>
          <w:marBottom w:val="0"/>
          <w:divBdr>
            <w:top w:val="none" w:sz="0" w:space="0" w:color="auto"/>
            <w:left w:val="none" w:sz="0" w:space="0" w:color="auto"/>
            <w:bottom w:val="none" w:sz="0" w:space="0" w:color="auto"/>
            <w:right w:val="none" w:sz="0" w:space="0" w:color="auto"/>
          </w:divBdr>
        </w:div>
      </w:divsChild>
    </w:div>
    <w:div w:id="1394233795">
      <w:bodyDiv w:val="1"/>
      <w:marLeft w:val="0"/>
      <w:marRight w:val="0"/>
      <w:marTop w:val="0"/>
      <w:marBottom w:val="0"/>
      <w:divBdr>
        <w:top w:val="none" w:sz="0" w:space="0" w:color="auto"/>
        <w:left w:val="none" w:sz="0" w:space="0" w:color="auto"/>
        <w:bottom w:val="none" w:sz="0" w:space="0" w:color="auto"/>
        <w:right w:val="none" w:sz="0" w:space="0" w:color="auto"/>
      </w:divBdr>
    </w:div>
    <w:div w:id="1487473572">
      <w:bodyDiv w:val="1"/>
      <w:marLeft w:val="0"/>
      <w:marRight w:val="0"/>
      <w:marTop w:val="0"/>
      <w:marBottom w:val="0"/>
      <w:divBdr>
        <w:top w:val="none" w:sz="0" w:space="0" w:color="auto"/>
        <w:left w:val="none" w:sz="0" w:space="0" w:color="auto"/>
        <w:bottom w:val="none" w:sz="0" w:space="0" w:color="auto"/>
        <w:right w:val="none" w:sz="0" w:space="0" w:color="auto"/>
      </w:divBdr>
    </w:div>
    <w:div w:id="1517495535">
      <w:bodyDiv w:val="1"/>
      <w:marLeft w:val="0"/>
      <w:marRight w:val="0"/>
      <w:marTop w:val="0"/>
      <w:marBottom w:val="0"/>
      <w:divBdr>
        <w:top w:val="none" w:sz="0" w:space="0" w:color="auto"/>
        <w:left w:val="none" w:sz="0" w:space="0" w:color="auto"/>
        <w:bottom w:val="none" w:sz="0" w:space="0" w:color="auto"/>
        <w:right w:val="none" w:sz="0" w:space="0" w:color="auto"/>
      </w:divBdr>
    </w:div>
    <w:div w:id="1609464391">
      <w:bodyDiv w:val="1"/>
      <w:marLeft w:val="0"/>
      <w:marRight w:val="0"/>
      <w:marTop w:val="0"/>
      <w:marBottom w:val="0"/>
      <w:divBdr>
        <w:top w:val="none" w:sz="0" w:space="0" w:color="auto"/>
        <w:left w:val="none" w:sz="0" w:space="0" w:color="auto"/>
        <w:bottom w:val="none" w:sz="0" w:space="0" w:color="auto"/>
        <w:right w:val="none" w:sz="0" w:space="0" w:color="auto"/>
      </w:divBdr>
      <w:divsChild>
        <w:div w:id="200897033">
          <w:marLeft w:val="0"/>
          <w:marRight w:val="0"/>
          <w:marTop w:val="0"/>
          <w:marBottom w:val="0"/>
          <w:divBdr>
            <w:top w:val="none" w:sz="0" w:space="0" w:color="auto"/>
            <w:left w:val="none" w:sz="0" w:space="0" w:color="auto"/>
            <w:bottom w:val="none" w:sz="0" w:space="0" w:color="auto"/>
            <w:right w:val="none" w:sz="0" w:space="0" w:color="auto"/>
          </w:divBdr>
          <w:divsChild>
            <w:div w:id="315770141">
              <w:marLeft w:val="0"/>
              <w:marRight w:val="0"/>
              <w:marTop w:val="0"/>
              <w:marBottom w:val="0"/>
              <w:divBdr>
                <w:top w:val="none" w:sz="0" w:space="0" w:color="auto"/>
                <w:left w:val="none" w:sz="0" w:space="0" w:color="auto"/>
                <w:bottom w:val="none" w:sz="0" w:space="0" w:color="auto"/>
                <w:right w:val="none" w:sz="0" w:space="0" w:color="auto"/>
              </w:divBdr>
              <w:divsChild>
                <w:div w:id="407114407">
                  <w:marLeft w:val="0"/>
                  <w:marRight w:val="0"/>
                  <w:marTop w:val="0"/>
                  <w:marBottom w:val="0"/>
                  <w:divBdr>
                    <w:top w:val="none" w:sz="0" w:space="0" w:color="auto"/>
                    <w:left w:val="none" w:sz="0" w:space="0" w:color="auto"/>
                    <w:bottom w:val="none" w:sz="0" w:space="0" w:color="auto"/>
                    <w:right w:val="none" w:sz="0" w:space="0" w:color="auto"/>
                  </w:divBdr>
                  <w:divsChild>
                    <w:div w:id="34578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374322">
      <w:bodyDiv w:val="1"/>
      <w:marLeft w:val="0"/>
      <w:marRight w:val="0"/>
      <w:marTop w:val="0"/>
      <w:marBottom w:val="0"/>
      <w:divBdr>
        <w:top w:val="none" w:sz="0" w:space="0" w:color="auto"/>
        <w:left w:val="none" w:sz="0" w:space="0" w:color="auto"/>
        <w:bottom w:val="none" w:sz="0" w:space="0" w:color="auto"/>
        <w:right w:val="none" w:sz="0" w:space="0" w:color="auto"/>
      </w:divBdr>
    </w:div>
    <w:div w:id="2070837131">
      <w:bodyDiv w:val="1"/>
      <w:marLeft w:val="0"/>
      <w:marRight w:val="0"/>
      <w:marTop w:val="0"/>
      <w:marBottom w:val="0"/>
      <w:divBdr>
        <w:top w:val="none" w:sz="0" w:space="0" w:color="auto"/>
        <w:left w:val="none" w:sz="0" w:space="0" w:color="auto"/>
        <w:bottom w:val="none" w:sz="0" w:space="0" w:color="auto"/>
        <w:right w:val="none" w:sz="0" w:space="0" w:color="auto"/>
      </w:divBdr>
      <w:divsChild>
        <w:div w:id="37556131">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holas.turner@icr.ac.uk" TargetMode="Externa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5"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lasmamatch-icrctsu@ic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027C5-884E-459F-8225-8B630BFD1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8807</Words>
  <Characters>50201</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Laura Moretti</cp:lastModifiedBy>
  <cp:revision>2</cp:revision>
  <cp:lastPrinted>2020-01-13T14:36:00Z</cp:lastPrinted>
  <dcterms:created xsi:type="dcterms:W3CDTF">2020-09-30T09:41:00Z</dcterms:created>
  <dcterms:modified xsi:type="dcterms:W3CDTF">2020-09-30T09:41:00Z</dcterms:modified>
</cp:coreProperties>
</file>