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46D98" w14:textId="34878098" w:rsidR="000D35D6" w:rsidRPr="00625A76" w:rsidRDefault="00200730" w:rsidP="00F53928">
      <w:pPr>
        <w:pBdr>
          <w:bottom w:val="single" w:sz="12" w:space="10" w:color="auto"/>
        </w:pBdr>
        <w:rPr>
          <w:b/>
          <w:color w:val="000000" w:themeColor="text1"/>
          <w:sz w:val="36"/>
          <w:szCs w:val="36"/>
          <w:lang w:val="en-US"/>
        </w:rPr>
      </w:pPr>
      <w:r w:rsidRPr="00625A76">
        <w:rPr>
          <w:b/>
          <w:color w:val="000000" w:themeColor="text1"/>
          <w:sz w:val="36"/>
          <w:szCs w:val="36"/>
          <w:lang w:val="en-US"/>
        </w:rPr>
        <w:t>T</w:t>
      </w:r>
      <w:r w:rsidR="000D35D6" w:rsidRPr="00625A76">
        <w:rPr>
          <w:b/>
          <w:color w:val="000000" w:themeColor="text1"/>
          <w:sz w:val="36"/>
          <w:szCs w:val="36"/>
          <w:lang w:val="en-US"/>
        </w:rPr>
        <w:t>he</w:t>
      </w:r>
      <w:r w:rsidRPr="00625A76">
        <w:rPr>
          <w:b/>
          <w:color w:val="000000" w:themeColor="text1"/>
          <w:sz w:val="36"/>
          <w:szCs w:val="36"/>
          <w:lang w:val="en-US"/>
        </w:rPr>
        <w:t xml:space="preserve"> road map to safe and well-designed de-escalation trials of systemic adjuvant therapy for solid tumors</w:t>
      </w:r>
    </w:p>
    <w:p w14:paraId="21D34357" w14:textId="3A666E44" w:rsidR="006D211F" w:rsidRPr="00D733D1" w:rsidRDefault="006D211F">
      <w:pPr>
        <w:rPr>
          <w:bCs/>
          <w:color w:val="000000" w:themeColor="text1"/>
          <w:lang w:val="en-US"/>
        </w:rPr>
      </w:pPr>
      <w:r w:rsidRPr="00D733D1">
        <w:rPr>
          <w:bCs/>
          <w:color w:val="000000" w:themeColor="text1"/>
          <w:lang w:val="en-US"/>
        </w:rPr>
        <w:t>M</w:t>
      </w:r>
      <w:r w:rsidR="003A4385" w:rsidRPr="00D733D1">
        <w:rPr>
          <w:bCs/>
          <w:color w:val="000000" w:themeColor="text1"/>
          <w:lang w:val="en-US"/>
        </w:rPr>
        <w:t>artine</w:t>
      </w:r>
      <w:r w:rsidR="00870F63" w:rsidRPr="00D733D1">
        <w:rPr>
          <w:bCs/>
          <w:color w:val="000000" w:themeColor="text1"/>
          <w:lang w:val="en-US"/>
        </w:rPr>
        <w:t xml:space="preserve"> </w:t>
      </w:r>
      <w:r w:rsidR="00797193" w:rsidRPr="00D733D1">
        <w:rPr>
          <w:bCs/>
          <w:color w:val="000000" w:themeColor="text1"/>
          <w:lang w:val="en-US"/>
        </w:rPr>
        <w:t xml:space="preserve">J. </w:t>
      </w:r>
      <w:r w:rsidRPr="00D733D1">
        <w:rPr>
          <w:bCs/>
          <w:color w:val="000000" w:themeColor="text1"/>
          <w:lang w:val="en-US"/>
        </w:rPr>
        <w:t>Piccart</w:t>
      </w:r>
      <w:r w:rsidR="008C4ED5" w:rsidRPr="00D733D1">
        <w:rPr>
          <w:bCs/>
          <w:color w:val="000000" w:themeColor="text1"/>
          <w:vertAlign w:val="superscript"/>
          <w:lang w:val="en-US"/>
        </w:rPr>
        <w:t>1</w:t>
      </w:r>
      <w:r w:rsidRPr="00D733D1">
        <w:rPr>
          <w:bCs/>
          <w:color w:val="000000" w:themeColor="text1"/>
          <w:lang w:val="en-US"/>
        </w:rPr>
        <w:t>,</w:t>
      </w:r>
      <w:r w:rsidR="00B72975" w:rsidRPr="00D733D1">
        <w:rPr>
          <w:bCs/>
          <w:color w:val="000000" w:themeColor="text1"/>
          <w:lang w:val="en-US"/>
        </w:rPr>
        <w:t xml:space="preserve"> </w:t>
      </w:r>
      <w:r w:rsidR="009C7014" w:rsidRPr="00D733D1">
        <w:rPr>
          <w:bCs/>
          <w:color w:val="000000" w:themeColor="text1"/>
          <w:lang w:val="en-US"/>
        </w:rPr>
        <w:t>Florentine S. Hilbers</w:t>
      </w:r>
      <w:r w:rsidR="009C7014" w:rsidRPr="00D733D1">
        <w:rPr>
          <w:bCs/>
          <w:color w:val="000000" w:themeColor="text1"/>
          <w:vertAlign w:val="superscript"/>
          <w:lang w:val="en-US"/>
        </w:rPr>
        <w:t>2</w:t>
      </w:r>
      <w:r w:rsidR="009C7014" w:rsidRPr="00D733D1">
        <w:rPr>
          <w:bCs/>
          <w:color w:val="000000" w:themeColor="text1"/>
          <w:lang w:val="en-US"/>
        </w:rPr>
        <w:t xml:space="preserve">, </w:t>
      </w:r>
      <w:r w:rsidR="00B72975" w:rsidRPr="00D733D1">
        <w:rPr>
          <w:bCs/>
          <w:color w:val="000000" w:themeColor="text1"/>
          <w:lang w:val="en-US"/>
        </w:rPr>
        <w:t>J</w:t>
      </w:r>
      <w:r w:rsidR="003A4385" w:rsidRPr="00D733D1">
        <w:rPr>
          <w:bCs/>
          <w:color w:val="000000" w:themeColor="text1"/>
          <w:lang w:val="en-US"/>
        </w:rPr>
        <w:t xml:space="preserve">udith </w:t>
      </w:r>
      <w:r w:rsidR="00B72975" w:rsidRPr="00D733D1">
        <w:rPr>
          <w:bCs/>
          <w:color w:val="000000" w:themeColor="text1"/>
          <w:lang w:val="en-US"/>
        </w:rPr>
        <w:t>M. Bliss</w:t>
      </w:r>
      <w:r w:rsidR="00B63DB3" w:rsidRPr="00D733D1">
        <w:rPr>
          <w:bCs/>
          <w:color w:val="000000" w:themeColor="text1"/>
          <w:vertAlign w:val="superscript"/>
          <w:lang w:val="en-US"/>
        </w:rPr>
        <w:t>3</w:t>
      </w:r>
      <w:r w:rsidR="00B72975" w:rsidRPr="00D733D1">
        <w:rPr>
          <w:bCs/>
          <w:color w:val="000000" w:themeColor="text1"/>
          <w:lang w:val="en-US"/>
        </w:rPr>
        <w:t>,</w:t>
      </w:r>
      <w:r w:rsidR="001D5413" w:rsidRPr="00D733D1">
        <w:rPr>
          <w:bCs/>
          <w:color w:val="000000" w:themeColor="text1"/>
          <w:lang w:val="en-US"/>
        </w:rPr>
        <w:t xml:space="preserve"> </w:t>
      </w:r>
      <w:r w:rsidR="00B72975" w:rsidRPr="00D733D1">
        <w:rPr>
          <w:bCs/>
          <w:color w:val="000000" w:themeColor="text1"/>
          <w:lang w:val="en-US"/>
        </w:rPr>
        <w:t>C</w:t>
      </w:r>
      <w:r w:rsidR="003A4385" w:rsidRPr="00D733D1">
        <w:rPr>
          <w:bCs/>
          <w:color w:val="000000" w:themeColor="text1"/>
          <w:lang w:val="en-US"/>
        </w:rPr>
        <w:t>armela</w:t>
      </w:r>
      <w:r w:rsidR="00B72975" w:rsidRPr="00D733D1">
        <w:rPr>
          <w:bCs/>
          <w:color w:val="000000" w:themeColor="text1"/>
          <w:lang w:val="en-US"/>
        </w:rPr>
        <w:t xml:space="preserve"> Caballero</w:t>
      </w:r>
      <w:r w:rsidR="009C7014" w:rsidRPr="00D733D1">
        <w:rPr>
          <w:bCs/>
          <w:color w:val="000000" w:themeColor="text1"/>
          <w:vertAlign w:val="superscript"/>
          <w:lang w:val="en-US"/>
        </w:rPr>
        <w:t>2</w:t>
      </w:r>
      <w:r w:rsidR="00B72975" w:rsidRPr="00D733D1">
        <w:rPr>
          <w:bCs/>
          <w:color w:val="000000" w:themeColor="text1"/>
          <w:lang w:val="en-US"/>
        </w:rPr>
        <w:t>, E</w:t>
      </w:r>
      <w:r w:rsidR="003A4385" w:rsidRPr="00D733D1">
        <w:rPr>
          <w:bCs/>
          <w:color w:val="000000" w:themeColor="text1"/>
          <w:lang w:val="en-US"/>
        </w:rPr>
        <w:t>li</w:t>
      </w:r>
      <w:r w:rsidR="003D1C98" w:rsidRPr="00D733D1">
        <w:rPr>
          <w:bCs/>
          <w:color w:val="000000" w:themeColor="text1"/>
          <w:lang w:val="en-US"/>
        </w:rPr>
        <w:t>z</w:t>
      </w:r>
      <w:r w:rsidR="003A4385" w:rsidRPr="00D733D1">
        <w:rPr>
          <w:bCs/>
          <w:color w:val="000000" w:themeColor="text1"/>
          <w:lang w:val="en-US"/>
        </w:rPr>
        <w:t>abeth</w:t>
      </w:r>
      <w:r w:rsidR="00B72975" w:rsidRPr="00D733D1">
        <w:rPr>
          <w:bCs/>
          <w:color w:val="000000" w:themeColor="text1"/>
          <w:lang w:val="en-US"/>
        </w:rPr>
        <w:t xml:space="preserve"> </w:t>
      </w:r>
      <w:r w:rsidR="00797193" w:rsidRPr="00D733D1">
        <w:rPr>
          <w:bCs/>
          <w:color w:val="000000" w:themeColor="text1"/>
          <w:lang w:val="en-US"/>
        </w:rPr>
        <w:t xml:space="preserve">S. </w:t>
      </w:r>
      <w:r w:rsidR="00B72975" w:rsidRPr="00D733D1">
        <w:rPr>
          <w:bCs/>
          <w:color w:val="000000" w:themeColor="text1"/>
          <w:lang w:val="en-US"/>
        </w:rPr>
        <w:t>Frank</w:t>
      </w:r>
      <w:r w:rsidR="008C4ED5" w:rsidRPr="00D733D1">
        <w:rPr>
          <w:bCs/>
          <w:color w:val="000000" w:themeColor="text1"/>
          <w:vertAlign w:val="superscript"/>
          <w:lang w:val="en-US"/>
        </w:rPr>
        <w:t>4</w:t>
      </w:r>
      <w:r w:rsidR="00B72975" w:rsidRPr="00D733D1">
        <w:rPr>
          <w:bCs/>
          <w:color w:val="000000" w:themeColor="text1"/>
          <w:lang w:val="en-US"/>
        </w:rPr>
        <w:t xml:space="preserve">, </w:t>
      </w:r>
      <w:r w:rsidR="00D52E97" w:rsidRPr="00D733D1">
        <w:rPr>
          <w:bCs/>
          <w:color w:val="000000" w:themeColor="text1"/>
          <w:lang w:val="en-US"/>
        </w:rPr>
        <w:t>Patrick Renault</w:t>
      </w:r>
      <w:r w:rsidR="00D52E97" w:rsidRPr="00D733D1">
        <w:rPr>
          <w:bCs/>
          <w:color w:val="000000" w:themeColor="text1"/>
          <w:vertAlign w:val="superscript"/>
          <w:lang w:val="en-US"/>
        </w:rPr>
        <w:t>5</w:t>
      </w:r>
      <w:r w:rsidR="00D52E97" w:rsidRPr="00D733D1">
        <w:rPr>
          <w:bCs/>
          <w:color w:val="000000" w:themeColor="text1"/>
          <w:lang w:val="en-US"/>
        </w:rPr>
        <w:t xml:space="preserve">, </w:t>
      </w:r>
      <w:proofErr w:type="spellStart"/>
      <w:r w:rsidR="00B72975" w:rsidRPr="00D733D1">
        <w:rPr>
          <w:bCs/>
          <w:color w:val="000000" w:themeColor="text1"/>
          <w:lang w:val="en-US"/>
        </w:rPr>
        <w:t>R</w:t>
      </w:r>
      <w:r w:rsidR="003A4385" w:rsidRPr="00D733D1">
        <w:rPr>
          <w:bCs/>
          <w:color w:val="000000" w:themeColor="text1"/>
          <w:lang w:val="en-US"/>
        </w:rPr>
        <w:t>achida</w:t>
      </w:r>
      <w:proofErr w:type="spellEnd"/>
      <w:r w:rsidR="00B72975" w:rsidRPr="00D733D1">
        <w:rPr>
          <w:bCs/>
          <w:color w:val="000000" w:themeColor="text1"/>
          <w:lang w:val="en-US"/>
        </w:rPr>
        <w:t xml:space="preserve"> </w:t>
      </w:r>
      <w:proofErr w:type="spellStart"/>
      <w:r w:rsidR="00B72975" w:rsidRPr="00D733D1">
        <w:rPr>
          <w:bCs/>
          <w:color w:val="000000" w:themeColor="text1"/>
          <w:lang w:val="en-US"/>
        </w:rPr>
        <w:t>Na</w:t>
      </w:r>
      <w:r w:rsidR="00003056" w:rsidRPr="00D733D1">
        <w:rPr>
          <w:rFonts w:cstheme="minorHAnsi"/>
          <w:bCs/>
          <w:color w:val="000000" w:themeColor="text1"/>
          <w:lang w:val="en-US"/>
        </w:rPr>
        <w:t>ï</w:t>
      </w:r>
      <w:r w:rsidR="00B72975" w:rsidRPr="00D733D1">
        <w:rPr>
          <w:bCs/>
          <w:color w:val="000000" w:themeColor="text1"/>
          <w:lang w:val="en-US"/>
        </w:rPr>
        <w:t>t</w:t>
      </w:r>
      <w:proofErr w:type="spellEnd"/>
      <w:r w:rsidR="00003056" w:rsidRPr="00D733D1">
        <w:rPr>
          <w:bCs/>
          <w:color w:val="000000" w:themeColor="text1"/>
          <w:lang w:val="en-US"/>
        </w:rPr>
        <w:t xml:space="preserve"> Kaoudjt</w:t>
      </w:r>
      <w:r w:rsidR="00D52E97" w:rsidRPr="00D733D1">
        <w:rPr>
          <w:bCs/>
          <w:color w:val="000000" w:themeColor="text1"/>
          <w:vertAlign w:val="superscript"/>
          <w:lang w:val="en-US"/>
        </w:rPr>
        <w:t>6</w:t>
      </w:r>
      <w:r w:rsidR="00B72975" w:rsidRPr="00D733D1">
        <w:rPr>
          <w:bCs/>
          <w:color w:val="000000" w:themeColor="text1"/>
          <w:lang w:val="en-US"/>
        </w:rPr>
        <w:t>, E</w:t>
      </w:r>
      <w:r w:rsidR="003A4385" w:rsidRPr="00D733D1">
        <w:rPr>
          <w:bCs/>
          <w:color w:val="000000" w:themeColor="text1"/>
          <w:lang w:val="en-US"/>
        </w:rPr>
        <w:t>va</w:t>
      </w:r>
      <w:r w:rsidR="00B72975" w:rsidRPr="00D733D1">
        <w:rPr>
          <w:bCs/>
          <w:color w:val="000000" w:themeColor="text1"/>
          <w:lang w:val="en-US"/>
        </w:rPr>
        <w:t xml:space="preserve"> Schumacher</w:t>
      </w:r>
      <w:r w:rsidR="00D52E97" w:rsidRPr="00D733D1">
        <w:rPr>
          <w:bCs/>
          <w:color w:val="000000" w:themeColor="text1"/>
          <w:vertAlign w:val="superscript"/>
          <w:lang w:val="en-US"/>
        </w:rPr>
        <w:t>7</w:t>
      </w:r>
      <w:r w:rsidR="00B72975" w:rsidRPr="00D733D1">
        <w:rPr>
          <w:bCs/>
          <w:color w:val="000000" w:themeColor="text1"/>
          <w:lang w:val="en-US"/>
        </w:rPr>
        <w:t xml:space="preserve">, </w:t>
      </w:r>
      <w:r w:rsidR="00D23691" w:rsidRPr="00D733D1">
        <w:rPr>
          <w:bCs/>
          <w:color w:val="000000" w:themeColor="text1"/>
          <w:lang w:val="en-US"/>
        </w:rPr>
        <w:t xml:space="preserve">Patricia A. Spears </w:t>
      </w:r>
      <w:r w:rsidR="00D52E97" w:rsidRPr="00D733D1">
        <w:rPr>
          <w:bCs/>
          <w:color w:val="000000" w:themeColor="text1"/>
          <w:vertAlign w:val="superscript"/>
          <w:lang w:val="en-US"/>
        </w:rPr>
        <w:t>8</w:t>
      </w:r>
      <w:r w:rsidR="00B72975" w:rsidRPr="00D733D1">
        <w:rPr>
          <w:bCs/>
          <w:color w:val="000000" w:themeColor="text1"/>
          <w:lang w:val="en-US"/>
        </w:rPr>
        <w:t xml:space="preserve">, </w:t>
      </w:r>
      <w:r w:rsidR="00870F63" w:rsidRPr="00D733D1">
        <w:rPr>
          <w:bCs/>
          <w:color w:val="000000" w:themeColor="text1"/>
          <w:lang w:val="en-US"/>
        </w:rPr>
        <w:t>M</w:t>
      </w:r>
      <w:r w:rsidR="003A4385" w:rsidRPr="00D733D1">
        <w:rPr>
          <w:bCs/>
          <w:color w:val="000000" w:themeColor="text1"/>
          <w:lang w:val="en-US"/>
        </w:rPr>
        <w:t>eredith</w:t>
      </w:r>
      <w:r w:rsidR="00870F63" w:rsidRPr="00D733D1">
        <w:rPr>
          <w:bCs/>
          <w:color w:val="000000" w:themeColor="text1"/>
          <w:lang w:val="en-US"/>
        </w:rPr>
        <w:t xml:space="preserve"> </w:t>
      </w:r>
      <w:r w:rsidR="003D1C98" w:rsidRPr="00D733D1">
        <w:rPr>
          <w:bCs/>
          <w:color w:val="000000" w:themeColor="text1"/>
          <w:lang w:val="en-US"/>
        </w:rPr>
        <w:t xml:space="preserve">M. </w:t>
      </w:r>
      <w:r w:rsidR="00870F63" w:rsidRPr="00D733D1">
        <w:rPr>
          <w:bCs/>
          <w:color w:val="000000" w:themeColor="text1"/>
          <w:lang w:val="en-US"/>
        </w:rPr>
        <w:t>Regan</w:t>
      </w:r>
      <w:r w:rsidR="00D52E97" w:rsidRPr="00D733D1">
        <w:rPr>
          <w:bCs/>
          <w:color w:val="000000" w:themeColor="text1"/>
          <w:vertAlign w:val="superscript"/>
          <w:lang w:val="en-US"/>
        </w:rPr>
        <w:t>9</w:t>
      </w:r>
      <w:r w:rsidR="00870F63" w:rsidRPr="00D733D1">
        <w:rPr>
          <w:bCs/>
          <w:color w:val="000000" w:themeColor="text1"/>
          <w:lang w:val="en-US"/>
        </w:rPr>
        <w:t>,</w:t>
      </w:r>
      <w:r w:rsidR="005C1453" w:rsidRPr="00D733D1">
        <w:rPr>
          <w:bCs/>
          <w:color w:val="000000" w:themeColor="text1"/>
          <w:lang w:val="en-US"/>
        </w:rPr>
        <w:t xml:space="preserve"> </w:t>
      </w:r>
      <w:r w:rsidR="00B72975" w:rsidRPr="00D733D1">
        <w:rPr>
          <w:bCs/>
          <w:color w:val="000000" w:themeColor="text1"/>
          <w:lang w:val="en-US"/>
        </w:rPr>
        <w:t>R</w:t>
      </w:r>
      <w:r w:rsidR="003A4385" w:rsidRPr="00D733D1">
        <w:rPr>
          <w:bCs/>
          <w:color w:val="000000" w:themeColor="text1"/>
          <w:lang w:val="en-US"/>
        </w:rPr>
        <w:t>ichard</w:t>
      </w:r>
      <w:r w:rsidR="003D1C98" w:rsidRPr="00D733D1">
        <w:rPr>
          <w:bCs/>
          <w:color w:val="000000" w:themeColor="text1"/>
          <w:lang w:val="en-US"/>
        </w:rPr>
        <w:t xml:space="preserve"> D.</w:t>
      </w:r>
      <w:r w:rsidR="00B72975" w:rsidRPr="00D733D1">
        <w:rPr>
          <w:bCs/>
          <w:color w:val="000000" w:themeColor="text1"/>
          <w:lang w:val="en-US"/>
        </w:rPr>
        <w:t xml:space="preserve"> Gelber</w:t>
      </w:r>
      <w:r w:rsidR="00D52E97" w:rsidRPr="00D733D1">
        <w:rPr>
          <w:bCs/>
          <w:color w:val="000000" w:themeColor="text1"/>
          <w:vertAlign w:val="superscript"/>
          <w:lang w:val="en-US"/>
        </w:rPr>
        <w:t>10</w:t>
      </w:r>
      <w:r w:rsidR="00B72975" w:rsidRPr="00D733D1">
        <w:rPr>
          <w:bCs/>
          <w:color w:val="000000" w:themeColor="text1"/>
          <w:lang w:val="en-US"/>
        </w:rPr>
        <w:t xml:space="preserve">, </w:t>
      </w:r>
      <w:r w:rsidR="005C1453" w:rsidRPr="00D733D1">
        <w:rPr>
          <w:bCs/>
          <w:color w:val="000000" w:themeColor="text1"/>
          <w:lang w:val="en-US"/>
        </w:rPr>
        <w:t>N</w:t>
      </w:r>
      <w:r w:rsidR="003A4385" w:rsidRPr="00D733D1">
        <w:rPr>
          <w:bCs/>
          <w:color w:val="000000" w:themeColor="text1"/>
          <w:lang w:val="en-US"/>
        </w:rPr>
        <w:t>ancy</w:t>
      </w:r>
      <w:r w:rsidR="005C1453" w:rsidRPr="00D733D1">
        <w:rPr>
          <w:bCs/>
          <w:color w:val="000000" w:themeColor="text1"/>
          <w:lang w:val="en-US"/>
        </w:rPr>
        <w:t xml:space="preserve"> </w:t>
      </w:r>
      <w:r w:rsidR="003D1C98" w:rsidRPr="00D733D1">
        <w:rPr>
          <w:bCs/>
          <w:color w:val="000000" w:themeColor="text1"/>
          <w:lang w:val="en-US"/>
        </w:rPr>
        <w:t xml:space="preserve">E. </w:t>
      </w:r>
      <w:r w:rsidR="005C1453" w:rsidRPr="00D733D1">
        <w:rPr>
          <w:bCs/>
          <w:color w:val="000000" w:themeColor="text1"/>
          <w:lang w:val="en-US"/>
        </w:rPr>
        <w:t>Davidson</w:t>
      </w:r>
      <w:r w:rsidR="00D52E97" w:rsidRPr="00D733D1">
        <w:rPr>
          <w:bCs/>
          <w:color w:val="000000" w:themeColor="text1"/>
          <w:vertAlign w:val="superscript"/>
          <w:lang w:val="en-US"/>
        </w:rPr>
        <w:t>11</w:t>
      </w:r>
      <w:r w:rsidR="004C654E" w:rsidRPr="00D733D1">
        <w:rPr>
          <w:bCs/>
          <w:color w:val="000000" w:themeColor="text1"/>
          <w:vertAlign w:val="superscript"/>
          <w:lang w:val="en-US"/>
        </w:rPr>
        <w:t>,1</w:t>
      </w:r>
      <w:r w:rsidR="00D52E97" w:rsidRPr="00D733D1">
        <w:rPr>
          <w:bCs/>
          <w:color w:val="000000" w:themeColor="text1"/>
          <w:vertAlign w:val="superscript"/>
          <w:lang w:val="en-US"/>
        </w:rPr>
        <w:t>2</w:t>
      </w:r>
      <w:r w:rsidR="005C1453" w:rsidRPr="00D733D1">
        <w:rPr>
          <w:bCs/>
          <w:color w:val="000000" w:themeColor="text1"/>
          <w:lang w:val="en-US"/>
        </w:rPr>
        <w:t>,</w:t>
      </w:r>
      <w:r w:rsidR="00B72975" w:rsidRPr="00D733D1">
        <w:rPr>
          <w:bCs/>
          <w:color w:val="000000" w:themeColor="text1"/>
          <w:lang w:val="en-US"/>
        </w:rPr>
        <w:t xml:space="preserve"> L</w:t>
      </w:r>
      <w:r w:rsidR="003A4385" w:rsidRPr="00D733D1">
        <w:rPr>
          <w:bCs/>
          <w:color w:val="000000" w:themeColor="text1"/>
          <w:lang w:val="en-US"/>
        </w:rPr>
        <w:t>arry</w:t>
      </w:r>
      <w:r w:rsidR="00B72975" w:rsidRPr="00D733D1">
        <w:rPr>
          <w:bCs/>
          <w:color w:val="000000" w:themeColor="text1"/>
          <w:lang w:val="en-US"/>
        </w:rPr>
        <w:t xml:space="preserve"> Norton</w:t>
      </w:r>
      <w:r w:rsidR="008C4ED5" w:rsidRPr="00D733D1">
        <w:rPr>
          <w:bCs/>
          <w:color w:val="000000" w:themeColor="text1"/>
          <w:vertAlign w:val="superscript"/>
          <w:lang w:val="en-US"/>
        </w:rPr>
        <w:t>1</w:t>
      </w:r>
      <w:r w:rsidR="00D52E97" w:rsidRPr="00D733D1">
        <w:rPr>
          <w:bCs/>
          <w:color w:val="000000" w:themeColor="text1"/>
          <w:vertAlign w:val="superscript"/>
          <w:lang w:val="en-US"/>
        </w:rPr>
        <w:t>3</w:t>
      </w:r>
      <w:r w:rsidR="00B72975" w:rsidRPr="00D733D1">
        <w:rPr>
          <w:bCs/>
          <w:color w:val="000000" w:themeColor="text1"/>
          <w:lang w:val="en-US"/>
        </w:rPr>
        <w:t>,</w:t>
      </w:r>
      <w:r w:rsidR="00B82701" w:rsidRPr="00D733D1">
        <w:rPr>
          <w:bCs/>
          <w:color w:val="000000" w:themeColor="text1"/>
          <w:lang w:val="en-US"/>
        </w:rPr>
        <w:t xml:space="preserve"> E</w:t>
      </w:r>
      <w:r w:rsidR="003A4385" w:rsidRPr="00D733D1">
        <w:rPr>
          <w:bCs/>
          <w:color w:val="000000" w:themeColor="text1"/>
          <w:lang w:val="en-US"/>
        </w:rPr>
        <w:t>ric</w:t>
      </w:r>
      <w:r w:rsidR="00B82701" w:rsidRPr="00D733D1">
        <w:rPr>
          <w:bCs/>
          <w:color w:val="000000" w:themeColor="text1"/>
          <w:lang w:val="en-US"/>
        </w:rPr>
        <w:t xml:space="preserve"> </w:t>
      </w:r>
      <w:r w:rsidR="003D1C98" w:rsidRPr="00D733D1">
        <w:rPr>
          <w:bCs/>
          <w:color w:val="000000" w:themeColor="text1"/>
          <w:lang w:val="en-US"/>
        </w:rPr>
        <w:t xml:space="preserve">P. </w:t>
      </w:r>
      <w:r w:rsidR="00B82701" w:rsidRPr="00D733D1">
        <w:rPr>
          <w:bCs/>
          <w:color w:val="000000" w:themeColor="text1"/>
          <w:lang w:val="en-US"/>
        </w:rPr>
        <w:t>Winer</w:t>
      </w:r>
      <w:r w:rsidR="001614ED" w:rsidRPr="00D733D1">
        <w:rPr>
          <w:bCs/>
          <w:color w:val="000000" w:themeColor="text1"/>
          <w:vertAlign w:val="superscript"/>
          <w:lang w:val="en-US"/>
        </w:rPr>
        <w:t>4</w:t>
      </w:r>
      <w:r w:rsidR="00B82701" w:rsidRPr="00D733D1">
        <w:rPr>
          <w:bCs/>
          <w:color w:val="000000" w:themeColor="text1"/>
          <w:lang w:val="en-US"/>
        </w:rPr>
        <w:t xml:space="preserve">, </w:t>
      </w:r>
      <w:r w:rsidRPr="00D733D1">
        <w:rPr>
          <w:bCs/>
          <w:color w:val="000000" w:themeColor="text1"/>
          <w:lang w:val="en-US"/>
        </w:rPr>
        <w:t xml:space="preserve">On Behalf of the BIG-NABCG Collaboration </w:t>
      </w:r>
    </w:p>
    <w:p w14:paraId="18A6DD03" w14:textId="77777777" w:rsidR="00986763" w:rsidRPr="00D733D1" w:rsidRDefault="00986763">
      <w:pPr>
        <w:rPr>
          <w:bCs/>
          <w:color w:val="000000" w:themeColor="text1"/>
          <w:lang w:val="en-US"/>
        </w:rPr>
      </w:pPr>
    </w:p>
    <w:p w14:paraId="1DE7A6DF" w14:textId="170F1368" w:rsidR="00D51707" w:rsidRPr="00D733D1" w:rsidRDefault="008C4ED5" w:rsidP="00D51707">
      <w:pPr>
        <w:rPr>
          <w:rFonts w:cs="Arial"/>
          <w:color w:val="000000" w:themeColor="text1"/>
          <w:shd w:val="clear" w:color="auto" w:fill="FFFFFF"/>
          <w:lang w:val="en-US"/>
        </w:rPr>
      </w:pPr>
      <w:r w:rsidRPr="00D733D1">
        <w:rPr>
          <w:bCs/>
          <w:color w:val="000000" w:themeColor="text1"/>
          <w:vertAlign w:val="superscript"/>
          <w:lang w:val="en-US"/>
        </w:rPr>
        <w:t>1</w:t>
      </w:r>
      <w:r w:rsidRPr="00D733D1">
        <w:rPr>
          <w:bCs/>
          <w:color w:val="000000" w:themeColor="text1"/>
          <w:lang w:val="en-US"/>
        </w:rPr>
        <w:t xml:space="preserve"> </w:t>
      </w:r>
      <w:proofErr w:type="spellStart"/>
      <w:r w:rsidR="00D51707" w:rsidRPr="00D733D1">
        <w:rPr>
          <w:bCs/>
          <w:color w:val="000000" w:themeColor="text1"/>
          <w:lang w:val="en-US"/>
        </w:rPr>
        <w:t>I</w:t>
      </w:r>
      <w:r w:rsidR="00D51707" w:rsidRPr="00D733D1">
        <w:rPr>
          <w:rFonts w:cs="Arial"/>
          <w:color w:val="000000" w:themeColor="text1"/>
          <w:shd w:val="clear" w:color="auto" w:fill="FFFFFF"/>
          <w:lang w:val="en-US"/>
        </w:rPr>
        <w:t>nstitut</w:t>
      </w:r>
      <w:proofErr w:type="spellEnd"/>
      <w:r w:rsidR="00D51707" w:rsidRPr="00D733D1">
        <w:rPr>
          <w:rFonts w:cs="Arial"/>
          <w:color w:val="000000" w:themeColor="text1"/>
          <w:shd w:val="clear" w:color="auto" w:fill="FFFFFF"/>
          <w:lang w:val="en-US"/>
        </w:rPr>
        <w:t xml:space="preserve"> Jules Bordet, Department of Medicine, Brussels, Belgium</w:t>
      </w:r>
    </w:p>
    <w:p w14:paraId="6DB48C35" w14:textId="015FEE55" w:rsidR="00D51707" w:rsidRPr="00D733D1" w:rsidRDefault="009C7014" w:rsidP="00D51707">
      <w:pPr>
        <w:rPr>
          <w:rFonts w:cs="Arial"/>
          <w:color w:val="000000" w:themeColor="text1"/>
          <w:shd w:val="clear" w:color="auto" w:fill="FFFFFF"/>
          <w:lang w:val="en-US"/>
        </w:rPr>
      </w:pPr>
      <w:r w:rsidRPr="00D733D1">
        <w:rPr>
          <w:rFonts w:cs="Arial"/>
          <w:color w:val="000000" w:themeColor="text1"/>
          <w:shd w:val="clear" w:color="auto" w:fill="FFFFFF"/>
          <w:vertAlign w:val="superscript"/>
          <w:lang w:val="en-US"/>
        </w:rPr>
        <w:t>2</w:t>
      </w:r>
      <w:r w:rsidR="00D51707" w:rsidRPr="00D733D1">
        <w:rPr>
          <w:rFonts w:cs="Arial"/>
          <w:color w:val="000000" w:themeColor="text1"/>
          <w:shd w:val="clear" w:color="auto" w:fill="FFFFFF"/>
          <w:lang w:val="en-US"/>
        </w:rPr>
        <w:t>Breast International Group, Brussels, Belgium</w:t>
      </w:r>
    </w:p>
    <w:p w14:paraId="5846EE5F" w14:textId="77252549" w:rsidR="00B63DB3" w:rsidRPr="00D733D1" w:rsidRDefault="00B63DB3" w:rsidP="00D51707">
      <w:pPr>
        <w:rPr>
          <w:rFonts w:cs="Arial"/>
          <w:color w:val="000000" w:themeColor="text1"/>
          <w:shd w:val="clear" w:color="auto" w:fill="FFFFFF"/>
          <w:lang w:val="en-US"/>
        </w:rPr>
      </w:pPr>
      <w:r w:rsidRPr="00D733D1">
        <w:rPr>
          <w:rFonts w:cs="Arial"/>
          <w:color w:val="000000" w:themeColor="text1"/>
          <w:shd w:val="clear" w:color="auto" w:fill="FFFFFF"/>
          <w:vertAlign w:val="superscript"/>
          <w:lang w:val="en-US"/>
        </w:rPr>
        <w:t>3</w:t>
      </w:r>
      <w:r w:rsidRPr="00D733D1">
        <w:rPr>
          <w:rFonts w:cs="Arial"/>
          <w:color w:val="000000" w:themeColor="text1"/>
          <w:shd w:val="clear" w:color="auto" w:fill="FFFFFF"/>
          <w:lang w:val="en-US"/>
        </w:rPr>
        <w:t>The Institute of Cancer Research, Clinical Trials &amp; Statistics Unit (ICR-CTSU), London, UK</w:t>
      </w:r>
    </w:p>
    <w:p w14:paraId="1233D38E" w14:textId="6A0AFF11" w:rsidR="00373359" w:rsidRPr="00D733D1" w:rsidRDefault="008C4ED5" w:rsidP="00D51707">
      <w:pPr>
        <w:rPr>
          <w:rFonts w:cs="Arial"/>
          <w:color w:val="000000" w:themeColor="text1"/>
          <w:shd w:val="clear" w:color="auto" w:fill="FFFFFF"/>
          <w:lang w:val="en-US"/>
        </w:rPr>
      </w:pPr>
      <w:r w:rsidRPr="00D733D1">
        <w:rPr>
          <w:rFonts w:cs="Arial"/>
          <w:color w:val="000000" w:themeColor="text1"/>
          <w:shd w:val="clear" w:color="auto" w:fill="FFFFFF"/>
          <w:vertAlign w:val="superscript"/>
          <w:lang w:val="en-US"/>
        </w:rPr>
        <w:t xml:space="preserve">4 </w:t>
      </w:r>
      <w:r w:rsidR="001614ED" w:rsidRPr="00D733D1">
        <w:rPr>
          <w:bCs/>
          <w:color w:val="000000" w:themeColor="text1"/>
          <w:lang w:val="en-US"/>
        </w:rPr>
        <w:t>Dana Farber Cancer Institute, Department of Medical Oncology, Boston, USA</w:t>
      </w:r>
    </w:p>
    <w:p w14:paraId="1594D650" w14:textId="608F0741" w:rsidR="00D52E97" w:rsidRPr="00D733D1" w:rsidRDefault="00D52E97" w:rsidP="00D51707">
      <w:pPr>
        <w:rPr>
          <w:rFonts w:cs="Arial"/>
          <w:color w:val="000000" w:themeColor="text1"/>
          <w:shd w:val="clear" w:color="auto" w:fill="FFFFFF"/>
          <w:vertAlign w:val="superscript"/>
          <w:lang w:val="en-US"/>
        </w:rPr>
      </w:pPr>
      <w:r w:rsidRPr="00D733D1">
        <w:rPr>
          <w:rFonts w:cs="Arial"/>
          <w:color w:val="000000" w:themeColor="text1"/>
          <w:shd w:val="clear" w:color="auto" w:fill="FFFFFF"/>
          <w:vertAlign w:val="superscript"/>
          <w:lang w:val="en-US"/>
        </w:rPr>
        <w:t xml:space="preserve">5 </w:t>
      </w:r>
      <w:r w:rsidRPr="00D733D1">
        <w:rPr>
          <w:rFonts w:cs="Arial"/>
          <w:color w:val="000000" w:themeColor="text1"/>
          <w:shd w:val="clear" w:color="auto" w:fill="FFFFFF"/>
          <w:lang w:val="en-US"/>
        </w:rPr>
        <w:t xml:space="preserve">Patient </w:t>
      </w:r>
      <w:proofErr w:type="gramStart"/>
      <w:r w:rsidRPr="00D733D1">
        <w:rPr>
          <w:rFonts w:cs="Arial"/>
          <w:color w:val="000000" w:themeColor="text1"/>
          <w:shd w:val="clear" w:color="auto" w:fill="FFFFFF"/>
          <w:lang w:val="en-US"/>
        </w:rPr>
        <w:t>advocate</w:t>
      </w:r>
      <w:proofErr w:type="gramEnd"/>
      <w:r w:rsidRPr="00D733D1">
        <w:rPr>
          <w:rFonts w:cs="Arial"/>
          <w:color w:val="000000" w:themeColor="text1"/>
          <w:shd w:val="clear" w:color="auto" w:fill="FFFFFF"/>
          <w:lang w:val="en-US"/>
        </w:rPr>
        <w:t>, Belgium</w:t>
      </w:r>
    </w:p>
    <w:p w14:paraId="00C41438" w14:textId="4A85A0F7" w:rsidR="00F4659E" w:rsidRPr="00D733D1" w:rsidRDefault="00D52E97" w:rsidP="00D51707">
      <w:pPr>
        <w:rPr>
          <w:rFonts w:cs="Arial"/>
          <w:color w:val="000000" w:themeColor="text1"/>
          <w:shd w:val="clear" w:color="auto" w:fill="FFFFFF"/>
          <w:lang w:val="en-US"/>
        </w:rPr>
      </w:pPr>
      <w:r w:rsidRPr="00D733D1">
        <w:rPr>
          <w:rFonts w:cs="Arial"/>
          <w:color w:val="000000" w:themeColor="text1"/>
          <w:shd w:val="clear" w:color="auto" w:fill="FFFFFF"/>
          <w:vertAlign w:val="superscript"/>
          <w:lang w:val="en-US"/>
        </w:rPr>
        <w:t>6</w:t>
      </w:r>
      <w:r w:rsidR="008C4ED5" w:rsidRPr="00D733D1">
        <w:rPr>
          <w:rFonts w:cs="Arial"/>
          <w:color w:val="000000" w:themeColor="text1"/>
          <w:shd w:val="clear" w:color="auto" w:fill="FFFFFF"/>
          <w:lang w:val="en-US"/>
        </w:rPr>
        <w:t xml:space="preserve"> </w:t>
      </w:r>
      <w:r w:rsidR="00F4659E" w:rsidRPr="00D733D1">
        <w:rPr>
          <w:rFonts w:cs="Arial"/>
          <w:color w:val="000000" w:themeColor="text1"/>
          <w:shd w:val="clear" w:color="auto" w:fill="FFFFFF"/>
          <w:lang w:val="en-US"/>
        </w:rPr>
        <w:t xml:space="preserve">Patient </w:t>
      </w:r>
      <w:proofErr w:type="gramStart"/>
      <w:r w:rsidR="00F4659E" w:rsidRPr="00D733D1">
        <w:rPr>
          <w:rFonts w:cs="Arial"/>
          <w:color w:val="000000" w:themeColor="text1"/>
          <w:shd w:val="clear" w:color="auto" w:fill="FFFFFF"/>
          <w:lang w:val="en-US"/>
        </w:rPr>
        <w:t>advocate</w:t>
      </w:r>
      <w:proofErr w:type="gramEnd"/>
      <w:r w:rsidR="00D23691" w:rsidRPr="00D733D1">
        <w:rPr>
          <w:rFonts w:cs="Arial"/>
          <w:color w:val="000000" w:themeColor="text1"/>
          <w:shd w:val="clear" w:color="auto" w:fill="FFFFFF"/>
          <w:lang w:val="en-US"/>
        </w:rPr>
        <w:t>, France</w:t>
      </w:r>
    </w:p>
    <w:p w14:paraId="65266E3A" w14:textId="092A792C" w:rsidR="00373359" w:rsidRPr="00D733D1" w:rsidRDefault="00D52E97" w:rsidP="00D51707">
      <w:pPr>
        <w:rPr>
          <w:rFonts w:cs="Arial"/>
          <w:color w:val="000000" w:themeColor="text1"/>
          <w:shd w:val="clear" w:color="auto" w:fill="FFFFFF"/>
          <w:lang w:val="nl-NL"/>
        </w:rPr>
      </w:pPr>
      <w:r w:rsidRPr="00D733D1">
        <w:rPr>
          <w:rFonts w:cs="Arial"/>
          <w:color w:val="000000" w:themeColor="text1"/>
          <w:shd w:val="clear" w:color="auto" w:fill="FFFFFF"/>
          <w:vertAlign w:val="superscript"/>
          <w:lang w:val="nl-NL"/>
        </w:rPr>
        <w:t xml:space="preserve">7 </w:t>
      </w:r>
      <w:r w:rsidR="00373359" w:rsidRPr="00D733D1">
        <w:rPr>
          <w:rFonts w:cs="Arial"/>
          <w:color w:val="000000" w:themeColor="text1"/>
          <w:shd w:val="clear" w:color="auto" w:fill="FFFFFF"/>
          <w:lang w:val="nl-NL"/>
        </w:rPr>
        <w:t xml:space="preserve">Mamma Mia! Das </w:t>
      </w:r>
      <w:proofErr w:type="spellStart"/>
      <w:r w:rsidR="00373359" w:rsidRPr="00D733D1">
        <w:rPr>
          <w:rFonts w:cs="Arial"/>
          <w:color w:val="000000" w:themeColor="text1"/>
          <w:shd w:val="clear" w:color="auto" w:fill="FFFFFF"/>
          <w:lang w:val="nl-NL"/>
        </w:rPr>
        <w:t>Brustkrebsmagazin</w:t>
      </w:r>
      <w:proofErr w:type="spellEnd"/>
      <w:r w:rsidR="00373359" w:rsidRPr="00D733D1">
        <w:rPr>
          <w:rFonts w:cs="Arial"/>
          <w:color w:val="000000" w:themeColor="text1"/>
          <w:shd w:val="clear" w:color="auto" w:fill="FFFFFF"/>
          <w:lang w:val="nl-NL"/>
        </w:rPr>
        <w:t xml:space="preserve">, </w:t>
      </w:r>
      <w:proofErr w:type="spellStart"/>
      <w:r w:rsidR="00373359" w:rsidRPr="00D733D1">
        <w:rPr>
          <w:rFonts w:cs="Arial"/>
          <w:color w:val="000000" w:themeColor="text1"/>
          <w:shd w:val="clear" w:color="auto" w:fill="FFFFFF"/>
          <w:lang w:val="nl-NL"/>
        </w:rPr>
        <w:t>Kronberg</w:t>
      </w:r>
      <w:proofErr w:type="spellEnd"/>
      <w:r w:rsidR="00373359" w:rsidRPr="00D733D1">
        <w:rPr>
          <w:rFonts w:cs="Arial"/>
          <w:color w:val="000000" w:themeColor="text1"/>
          <w:shd w:val="clear" w:color="auto" w:fill="FFFFFF"/>
          <w:lang w:val="nl-NL"/>
        </w:rPr>
        <w:t>, Germany</w:t>
      </w:r>
    </w:p>
    <w:p w14:paraId="136526E7" w14:textId="5AA712BB" w:rsidR="00373359" w:rsidRPr="00D733D1" w:rsidRDefault="00D52E97" w:rsidP="00D51707">
      <w:pPr>
        <w:rPr>
          <w:rFonts w:cs="Arial"/>
          <w:color w:val="000000" w:themeColor="text1"/>
          <w:shd w:val="clear" w:color="auto" w:fill="FFFFFF"/>
          <w:lang w:val="en-US"/>
        </w:rPr>
      </w:pPr>
      <w:r w:rsidRPr="00D733D1">
        <w:rPr>
          <w:rFonts w:cs="Arial"/>
          <w:color w:val="000000" w:themeColor="text1"/>
          <w:shd w:val="clear" w:color="auto" w:fill="FFFFFF"/>
          <w:vertAlign w:val="superscript"/>
          <w:lang w:val="en-US"/>
        </w:rPr>
        <w:t>8</w:t>
      </w:r>
      <w:r w:rsidR="008C4ED5" w:rsidRPr="00D733D1">
        <w:rPr>
          <w:rFonts w:cs="Arial"/>
          <w:color w:val="000000" w:themeColor="text1"/>
          <w:shd w:val="clear" w:color="auto" w:fill="FFFFFF"/>
          <w:lang w:val="en-US"/>
        </w:rPr>
        <w:t xml:space="preserve"> </w:t>
      </w:r>
      <w:r w:rsidR="00373359" w:rsidRPr="00D733D1">
        <w:rPr>
          <w:rFonts w:cs="Arial"/>
          <w:color w:val="000000" w:themeColor="text1"/>
          <w:shd w:val="clear" w:color="auto" w:fill="FFFFFF"/>
          <w:lang w:val="en-US"/>
        </w:rPr>
        <w:t xml:space="preserve">UNC </w:t>
      </w:r>
      <w:proofErr w:type="spellStart"/>
      <w:r w:rsidR="00373359" w:rsidRPr="00D733D1">
        <w:rPr>
          <w:rFonts w:cs="Arial"/>
          <w:color w:val="000000" w:themeColor="text1"/>
          <w:shd w:val="clear" w:color="auto" w:fill="FFFFFF"/>
          <w:lang w:val="en-US"/>
        </w:rPr>
        <w:t>Lineberger</w:t>
      </w:r>
      <w:proofErr w:type="spellEnd"/>
      <w:r w:rsidR="00373359" w:rsidRPr="00D733D1">
        <w:rPr>
          <w:rFonts w:cs="Arial"/>
          <w:color w:val="000000" w:themeColor="text1"/>
          <w:shd w:val="clear" w:color="auto" w:fill="FFFFFF"/>
          <w:lang w:val="en-US"/>
        </w:rPr>
        <w:t xml:space="preserve"> Comprehensive Cancer Center,</w:t>
      </w:r>
      <w:r w:rsidR="00373359" w:rsidRPr="00D733D1">
        <w:rPr>
          <w:color w:val="000000" w:themeColor="text1"/>
          <w:lang w:val="en-US"/>
        </w:rPr>
        <w:t xml:space="preserve"> </w:t>
      </w:r>
      <w:r w:rsidR="00373359" w:rsidRPr="00D733D1">
        <w:rPr>
          <w:rFonts w:cs="Arial"/>
          <w:color w:val="000000" w:themeColor="text1"/>
          <w:shd w:val="clear" w:color="auto" w:fill="FFFFFF"/>
          <w:lang w:val="en-US"/>
        </w:rPr>
        <w:t xml:space="preserve">Chapel </w:t>
      </w:r>
      <w:proofErr w:type="spellStart"/>
      <w:proofErr w:type="gramStart"/>
      <w:r w:rsidR="00373359" w:rsidRPr="00D733D1">
        <w:rPr>
          <w:rFonts w:cs="Arial"/>
          <w:color w:val="000000" w:themeColor="text1"/>
          <w:shd w:val="clear" w:color="auto" w:fill="FFFFFF"/>
          <w:lang w:val="en-US"/>
        </w:rPr>
        <w:t>Hill,USA</w:t>
      </w:r>
      <w:proofErr w:type="spellEnd"/>
      <w:proofErr w:type="gramEnd"/>
    </w:p>
    <w:p w14:paraId="1BC887FD" w14:textId="013238F6" w:rsidR="00797193" w:rsidRPr="00D733D1" w:rsidRDefault="00D52E97">
      <w:pPr>
        <w:rPr>
          <w:bCs/>
          <w:color w:val="000000" w:themeColor="text1"/>
          <w:lang w:val="en-US"/>
        </w:rPr>
      </w:pPr>
      <w:r w:rsidRPr="00D733D1">
        <w:rPr>
          <w:bCs/>
          <w:color w:val="000000" w:themeColor="text1"/>
          <w:vertAlign w:val="superscript"/>
          <w:lang w:val="en-US"/>
        </w:rPr>
        <w:t>9</w:t>
      </w:r>
      <w:r w:rsidR="008C4ED5" w:rsidRPr="00D733D1">
        <w:rPr>
          <w:bCs/>
          <w:color w:val="000000" w:themeColor="text1"/>
          <w:vertAlign w:val="superscript"/>
          <w:lang w:val="en-US"/>
        </w:rPr>
        <w:t xml:space="preserve"> </w:t>
      </w:r>
      <w:r w:rsidR="00797193" w:rsidRPr="00D733D1">
        <w:rPr>
          <w:bCs/>
          <w:color w:val="000000" w:themeColor="text1"/>
          <w:lang w:val="en-US"/>
        </w:rPr>
        <w:t xml:space="preserve">International Breast Cancer Study Group Statistical Center, </w:t>
      </w:r>
      <w:r w:rsidR="00D23691" w:rsidRPr="00D733D1">
        <w:rPr>
          <w:bCs/>
          <w:color w:val="000000" w:themeColor="text1"/>
          <w:lang w:val="en-US"/>
        </w:rPr>
        <w:t>Department of Data Sciences</w:t>
      </w:r>
      <w:r w:rsidR="00797193" w:rsidRPr="00D733D1">
        <w:rPr>
          <w:bCs/>
          <w:color w:val="000000" w:themeColor="text1"/>
          <w:lang w:val="en-US"/>
        </w:rPr>
        <w:t>, Dana-Farber Cancer Institute, Harvard Medical School, Boston, USA</w:t>
      </w:r>
    </w:p>
    <w:p w14:paraId="55CD358D" w14:textId="6836A72D" w:rsidR="00797193" w:rsidRPr="00D733D1" w:rsidRDefault="00D52E97">
      <w:pPr>
        <w:rPr>
          <w:bCs/>
          <w:color w:val="000000" w:themeColor="text1"/>
          <w:lang w:val="en-US"/>
        </w:rPr>
      </w:pPr>
      <w:r w:rsidRPr="00D733D1">
        <w:rPr>
          <w:bCs/>
          <w:color w:val="000000" w:themeColor="text1"/>
          <w:vertAlign w:val="superscript"/>
          <w:lang w:val="en-US"/>
        </w:rPr>
        <w:t xml:space="preserve">10 </w:t>
      </w:r>
      <w:r w:rsidR="00797193" w:rsidRPr="00D733D1">
        <w:rPr>
          <w:bCs/>
          <w:color w:val="000000" w:themeColor="text1"/>
          <w:lang w:val="en-US"/>
        </w:rPr>
        <w:t xml:space="preserve">International Breast Cancer Study Group Statistical Center, </w:t>
      </w:r>
      <w:r w:rsidR="004C654E" w:rsidRPr="00D733D1">
        <w:rPr>
          <w:bCs/>
          <w:color w:val="000000" w:themeColor="text1"/>
          <w:lang w:val="en-US"/>
        </w:rPr>
        <w:t>Department of Data Sciences</w:t>
      </w:r>
      <w:r w:rsidR="00797193" w:rsidRPr="00D733D1">
        <w:rPr>
          <w:bCs/>
          <w:color w:val="000000" w:themeColor="text1"/>
          <w:lang w:val="en-US"/>
        </w:rPr>
        <w:t>, Dana-Farber Cancer Institute, Harvard Medical School, Harvard T.H. Chan School of Public Health and Frontier Science and Technology Research Foundation, Boston, USA</w:t>
      </w:r>
    </w:p>
    <w:p w14:paraId="23EDD426" w14:textId="746BCA00" w:rsidR="004C654E" w:rsidRPr="00D733D1" w:rsidRDefault="008C4ED5">
      <w:pPr>
        <w:rPr>
          <w:bCs/>
          <w:color w:val="000000" w:themeColor="text1"/>
          <w:lang w:val="en-US"/>
        </w:rPr>
      </w:pPr>
      <w:r w:rsidRPr="00D733D1">
        <w:rPr>
          <w:bCs/>
          <w:color w:val="000000" w:themeColor="text1"/>
          <w:vertAlign w:val="superscript"/>
          <w:lang w:val="en-US"/>
        </w:rPr>
        <w:t>1</w:t>
      </w:r>
      <w:r w:rsidR="00D52E97" w:rsidRPr="00D733D1">
        <w:rPr>
          <w:bCs/>
          <w:color w:val="000000" w:themeColor="text1"/>
          <w:vertAlign w:val="superscript"/>
          <w:lang w:val="en-US"/>
        </w:rPr>
        <w:t>1</w:t>
      </w:r>
      <w:r w:rsidRPr="00D733D1">
        <w:rPr>
          <w:bCs/>
          <w:color w:val="000000" w:themeColor="text1"/>
          <w:lang w:val="en-US"/>
        </w:rPr>
        <w:t xml:space="preserve"> </w:t>
      </w:r>
      <w:r w:rsidR="004C654E" w:rsidRPr="00D733D1">
        <w:rPr>
          <w:bCs/>
          <w:color w:val="000000" w:themeColor="text1"/>
          <w:lang w:val="en-US"/>
        </w:rPr>
        <w:t>Fred Hutchinson Cancer Research Center, Seattle, USA</w:t>
      </w:r>
    </w:p>
    <w:p w14:paraId="3B0B386C" w14:textId="0D55304D" w:rsidR="00797193" w:rsidRPr="00D733D1" w:rsidRDefault="004C654E">
      <w:pPr>
        <w:rPr>
          <w:bCs/>
          <w:color w:val="000000" w:themeColor="text1"/>
          <w:lang w:val="en-US"/>
        </w:rPr>
      </w:pPr>
      <w:r w:rsidRPr="00D733D1">
        <w:rPr>
          <w:bCs/>
          <w:color w:val="000000" w:themeColor="text1"/>
          <w:vertAlign w:val="superscript"/>
          <w:lang w:val="en-US"/>
        </w:rPr>
        <w:t>1</w:t>
      </w:r>
      <w:r w:rsidR="00D52E97" w:rsidRPr="00D733D1">
        <w:rPr>
          <w:bCs/>
          <w:color w:val="000000" w:themeColor="text1"/>
          <w:vertAlign w:val="superscript"/>
          <w:lang w:val="en-US"/>
        </w:rPr>
        <w:t>2</w:t>
      </w:r>
      <w:r w:rsidRPr="00D733D1">
        <w:rPr>
          <w:bCs/>
          <w:color w:val="000000" w:themeColor="text1"/>
          <w:lang w:val="en-US"/>
        </w:rPr>
        <w:t xml:space="preserve"> University of Washington</w:t>
      </w:r>
      <w:r w:rsidR="00797193" w:rsidRPr="00D733D1">
        <w:rPr>
          <w:bCs/>
          <w:color w:val="000000" w:themeColor="text1"/>
          <w:lang w:val="en-US"/>
        </w:rPr>
        <w:t>, Seattle, USA</w:t>
      </w:r>
    </w:p>
    <w:p w14:paraId="47B1DCC6" w14:textId="690C0CC3" w:rsidR="00797193" w:rsidRPr="00D733D1" w:rsidRDefault="008C4ED5">
      <w:pPr>
        <w:rPr>
          <w:bCs/>
          <w:color w:val="000000" w:themeColor="text1"/>
          <w:lang w:val="en-US"/>
        </w:rPr>
      </w:pPr>
      <w:r w:rsidRPr="00D733D1">
        <w:rPr>
          <w:bCs/>
          <w:color w:val="000000" w:themeColor="text1"/>
          <w:vertAlign w:val="superscript"/>
          <w:lang w:val="en-US"/>
        </w:rPr>
        <w:t>1</w:t>
      </w:r>
      <w:r w:rsidR="00D52E97" w:rsidRPr="00D733D1">
        <w:rPr>
          <w:bCs/>
          <w:color w:val="000000" w:themeColor="text1"/>
          <w:vertAlign w:val="superscript"/>
          <w:lang w:val="en-US"/>
        </w:rPr>
        <w:t>3</w:t>
      </w:r>
      <w:r w:rsidRPr="00D733D1">
        <w:rPr>
          <w:bCs/>
          <w:color w:val="000000" w:themeColor="text1"/>
          <w:lang w:val="en-US"/>
        </w:rPr>
        <w:t xml:space="preserve"> </w:t>
      </w:r>
      <w:r w:rsidR="00797193" w:rsidRPr="00D733D1">
        <w:rPr>
          <w:bCs/>
          <w:color w:val="000000" w:themeColor="text1"/>
          <w:lang w:val="en-US"/>
        </w:rPr>
        <w:t xml:space="preserve">Memorial Sloan Kettering Cancer Center, </w:t>
      </w:r>
      <w:r w:rsidRPr="00D733D1">
        <w:rPr>
          <w:bCs/>
          <w:color w:val="000000" w:themeColor="text1"/>
          <w:lang w:val="en-US"/>
        </w:rPr>
        <w:t xml:space="preserve">Department of Medicine, </w:t>
      </w:r>
      <w:r w:rsidR="00797193" w:rsidRPr="00D733D1">
        <w:rPr>
          <w:bCs/>
          <w:color w:val="000000" w:themeColor="text1"/>
          <w:lang w:val="en-US"/>
        </w:rPr>
        <w:t>New York, NY</w:t>
      </w:r>
    </w:p>
    <w:p w14:paraId="13536C7F" w14:textId="77777777" w:rsidR="005268A2" w:rsidRPr="00625A76" w:rsidRDefault="005268A2">
      <w:pPr>
        <w:rPr>
          <w:bCs/>
          <w:color w:val="000000" w:themeColor="text1"/>
          <w:sz w:val="28"/>
          <w:szCs w:val="28"/>
          <w:lang w:val="en-US"/>
        </w:rPr>
      </w:pPr>
    </w:p>
    <w:p w14:paraId="4FE4E41D" w14:textId="59A66433" w:rsidR="005268A2" w:rsidRPr="00D733D1" w:rsidRDefault="005268A2">
      <w:pPr>
        <w:rPr>
          <w:b/>
          <w:color w:val="000000" w:themeColor="text1"/>
          <w:lang w:val="en-US"/>
        </w:rPr>
      </w:pPr>
      <w:r w:rsidRPr="00D733D1">
        <w:rPr>
          <w:b/>
          <w:color w:val="000000" w:themeColor="text1"/>
          <w:lang w:val="en-US"/>
        </w:rPr>
        <w:t>Funding</w:t>
      </w:r>
    </w:p>
    <w:p w14:paraId="5F5EEBEA" w14:textId="6954DA69" w:rsidR="005268A2" w:rsidRPr="00D733D1" w:rsidRDefault="005268A2">
      <w:pPr>
        <w:rPr>
          <w:bCs/>
          <w:color w:val="000000" w:themeColor="text1"/>
          <w:lang w:val="en-US"/>
        </w:rPr>
      </w:pPr>
      <w:r w:rsidRPr="00D733D1">
        <w:rPr>
          <w:bCs/>
          <w:color w:val="000000" w:themeColor="text1"/>
          <w:lang w:val="en-US"/>
        </w:rPr>
        <w:t xml:space="preserve">This work was funded by the </w:t>
      </w:r>
      <w:r w:rsidR="00A478CA" w:rsidRPr="00D733D1">
        <w:rPr>
          <w:bCs/>
          <w:color w:val="000000" w:themeColor="text1"/>
          <w:lang w:val="en-US"/>
        </w:rPr>
        <w:t>B</w:t>
      </w:r>
      <w:r w:rsidRPr="00D733D1">
        <w:rPr>
          <w:bCs/>
          <w:color w:val="000000" w:themeColor="text1"/>
          <w:lang w:val="en-US"/>
        </w:rPr>
        <w:t xml:space="preserve">reast </w:t>
      </w:r>
      <w:r w:rsidR="00A478CA" w:rsidRPr="00D733D1">
        <w:rPr>
          <w:bCs/>
          <w:color w:val="000000" w:themeColor="text1"/>
          <w:lang w:val="en-US"/>
        </w:rPr>
        <w:t>C</w:t>
      </w:r>
      <w:r w:rsidRPr="00D733D1">
        <w:rPr>
          <w:bCs/>
          <w:color w:val="000000" w:themeColor="text1"/>
          <w:lang w:val="en-US"/>
        </w:rPr>
        <w:t xml:space="preserve">ancer </w:t>
      </w:r>
      <w:r w:rsidR="00A478CA" w:rsidRPr="00D733D1">
        <w:rPr>
          <w:bCs/>
          <w:color w:val="000000" w:themeColor="text1"/>
          <w:lang w:val="en-US"/>
        </w:rPr>
        <w:t>R</w:t>
      </w:r>
      <w:r w:rsidRPr="00D733D1">
        <w:rPr>
          <w:bCs/>
          <w:color w:val="000000" w:themeColor="text1"/>
          <w:lang w:val="en-US"/>
        </w:rPr>
        <w:t xml:space="preserve">esearch </w:t>
      </w:r>
      <w:r w:rsidR="00A478CA" w:rsidRPr="00D733D1">
        <w:rPr>
          <w:bCs/>
          <w:color w:val="000000" w:themeColor="text1"/>
          <w:lang w:val="en-US"/>
        </w:rPr>
        <w:t>F</w:t>
      </w:r>
      <w:r w:rsidRPr="00D733D1">
        <w:rPr>
          <w:bCs/>
          <w:color w:val="000000" w:themeColor="text1"/>
          <w:lang w:val="en-US"/>
        </w:rPr>
        <w:t>oundation (BCRF).</w:t>
      </w:r>
    </w:p>
    <w:p w14:paraId="4335FF86" w14:textId="77777777" w:rsidR="005268A2" w:rsidRPr="00D733D1" w:rsidRDefault="005268A2">
      <w:pPr>
        <w:rPr>
          <w:bCs/>
          <w:color w:val="000000" w:themeColor="text1"/>
          <w:lang w:val="en-US"/>
        </w:rPr>
      </w:pPr>
    </w:p>
    <w:p w14:paraId="616F24B6" w14:textId="4EACD204" w:rsidR="005268A2" w:rsidRPr="00D733D1" w:rsidRDefault="005268A2">
      <w:pPr>
        <w:rPr>
          <w:b/>
          <w:color w:val="000000" w:themeColor="text1"/>
          <w:lang w:val="en-US"/>
        </w:rPr>
      </w:pPr>
      <w:r w:rsidRPr="00D733D1">
        <w:rPr>
          <w:b/>
          <w:color w:val="000000" w:themeColor="text1"/>
          <w:lang w:val="en-US"/>
        </w:rPr>
        <w:t>Running head:</w:t>
      </w:r>
    </w:p>
    <w:p w14:paraId="47A59DAC" w14:textId="34B3764B" w:rsidR="005268A2" w:rsidRPr="00D733D1" w:rsidRDefault="005268A2">
      <w:pPr>
        <w:rPr>
          <w:bCs/>
          <w:color w:val="000000" w:themeColor="text1"/>
          <w:lang w:val="en-US"/>
        </w:rPr>
      </w:pPr>
      <w:r w:rsidRPr="00D733D1">
        <w:rPr>
          <w:bCs/>
          <w:color w:val="000000" w:themeColor="text1"/>
          <w:lang w:val="en-US"/>
        </w:rPr>
        <w:t>Design of de-escalation trials of systemic adjuvant therapy</w:t>
      </w:r>
    </w:p>
    <w:p w14:paraId="7B6BCC45" w14:textId="77777777" w:rsidR="005268A2" w:rsidRPr="00D733D1" w:rsidRDefault="005268A2">
      <w:pPr>
        <w:rPr>
          <w:bCs/>
          <w:color w:val="000000" w:themeColor="text1"/>
          <w:lang w:val="en-US"/>
        </w:rPr>
      </w:pPr>
    </w:p>
    <w:p w14:paraId="3401CC5D" w14:textId="0F3A6FEF" w:rsidR="005268A2" w:rsidRPr="00D733D1" w:rsidRDefault="005268A2">
      <w:pPr>
        <w:rPr>
          <w:b/>
          <w:color w:val="000000" w:themeColor="text1"/>
          <w:lang w:val="en-US"/>
        </w:rPr>
      </w:pPr>
      <w:r w:rsidRPr="00D733D1">
        <w:rPr>
          <w:b/>
          <w:color w:val="000000" w:themeColor="text1"/>
          <w:lang w:val="en-US"/>
        </w:rPr>
        <w:t xml:space="preserve">Corresponding author: </w:t>
      </w:r>
    </w:p>
    <w:p w14:paraId="5A7E08EF" w14:textId="50C9D0EA" w:rsidR="005268A2" w:rsidRPr="00D733D1" w:rsidRDefault="00F53928" w:rsidP="005268A2">
      <w:pPr>
        <w:rPr>
          <w:bCs/>
          <w:color w:val="000000" w:themeColor="text1"/>
          <w:lang w:val="en-US"/>
        </w:rPr>
      </w:pPr>
      <w:r w:rsidRPr="00D733D1">
        <w:rPr>
          <w:bCs/>
          <w:color w:val="000000" w:themeColor="text1"/>
          <w:lang w:val="en-US"/>
        </w:rPr>
        <w:t xml:space="preserve">Prof. </w:t>
      </w:r>
      <w:r w:rsidR="005268A2" w:rsidRPr="00D733D1">
        <w:rPr>
          <w:bCs/>
          <w:color w:val="000000" w:themeColor="text1"/>
          <w:lang w:val="en-US"/>
        </w:rPr>
        <w:t>Ma</w:t>
      </w:r>
      <w:r w:rsidRPr="00D733D1">
        <w:rPr>
          <w:bCs/>
          <w:color w:val="000000" w:themeColor="text1"/>
          <w:lang w:val="en-US"/>
        </w:rPr>
        <w:t>r</w:t>
      </w:r>
      <w:r w:rsidR="005268A2" w:rsidRPr="00D733D1">
        <w:rPr>
          <w:bCs/>
          <w:color w:val="000000" w:themeColor="text1"/>
          <w:lang w:val="en-US"/>
        </w:rPr>
        <w:t xml:space="preserve">tine Piccart, </w:t>
      </w:r>
      <w:proofErr w:type="spellStart"/>
      <w:r w:rsidR="005268A2" w:rsidRPr="00D733D1">
        <w:rPr>
          <w:bCs/>
          <w:color w:val="000000" w:themeColor="text1"/>
          <w:lang w:val="en-US"/>
        </w:rPr>
        <w:t>I</w:t>
      </w:r>
      <w:r w:rsidR="005268A2" w:rsidRPr="00D733D1">
        <w:rPr>
          <w:rFonts w:cs="Arial"/>
          <w:color w:val="000000" w:themeColor="text1"/>
          <w:shd w:val="clear" w:color="auto" w:fill="FFFFFF"/>
          <w:lang w:val="en-US"/>
        </w:rPr>
        <w:t>nstitut</w:t>
      </w:r>
      <w:proofErr w:type="spellEnd"/>
      <w:r w:rsidR="005268A2" w:rsidRPr="00D733D1">
        <w:rPr>
          <w:rFonts w:cs="Arial"/>
          <w:color w:val="000000" w:themeColor="text1"/>
          <w:shd w:val="clear" w:color="auto" w:fill="FFFFFF"/>
          <w:lang w:val="en-US"/>
        </w:rPr>
        <w:t xml:space="preserve"> Jules Bordet, Department of Medicine, </w:t>
      </w:r>
    </w:p>
    <w:p w14:paraId="1BC4AEC3" w14:textId="69607659" w:rsidR="005268A2" w:rsidRPr="00D733D1" w:rsidRDefault="005268A2" w:rsidP="005268A2">
      <w:pPr>
        <w:rPr>
          <w:rFonts w:cs="Arial"/>
          <w:color w:val="000000" w:themeColor="text1"/>
          <w:shd w:val="clear" w:color="auto" w:fill="FFFFFF"/>
          <w:lang w:val="nl-NL"/>
        </w:rPr>
      </w:pPr>
      <w:r w:rsidRPr="00D733D1">
        <w:rPr>
          <w:rFonts w:cs="Arial"/>
          <w:color w:val="000000" w:themeColor="text1"/>
          <w:shd w:val="clear" w:color="auto" w:fill="FFFFFF"/>
          <w:lang w:val="nl-NL"/>
        </w:rPr>
        <w:t xml:space="preserve">Boulevard de Waterloo 125, B-1000 Brussels, Belgium. </w:t>
      </w:r>
    </w:p>
    <w:p w14:paraId="5804769C" w14:textId="77777777" w:rsidR="005268A2" w:rsidRPr="00D733D1" w:rsidRDefault="005268A2" w:rsidP="005268A2">
      <w:pPr>
        <w:rPr>
          <w:rFonts w:cs="Arial"/>
          <w:color w:val="000000" w:themeColor="text1"/>
          <w:shd w:val="clear" w:color="auto" w:fill="FFFFFF"/>
          <w:lang w:val="en-US"/>
        </w:rPr>
      </w:pPr>
      <w:r w:rsidRPr="00D733D1">
        <w:rPr>
          <w:rFonts w:cs="Arial"/>
          <w:color w:val="000000" w:themeColor="text1"/>
          <w:shd w:val="clear" w:color="auto" w:fill="FFFFFF"/>
          <w:lang w:val="en-US"/>
        </w:rPr>
        <w:t xml:space="preserve">Phone: 32-2-541-3206; </w:t>
      </w:r>
    </w:p>
    <w:p w14:paraId="474AED71" w14:textId="4275D950" w:rsidR="005268A2" w:rsidRPr="00D733D1" w:rsidRDefault="005268A2" w:rsidP="005268A2">
      <w:pPr>
        <w:rPr>
          <w:color w:val="000000" w:themeColor="text1"/>
          <w:lang w:val="en-US"/>
        </w:rPr>
      </w:pPr>
      <w:r w:rsidRPr="00D733D1">
        <w:rPr>
          <w:rFonts w:cs="Arial"/>
          <w:color w:val="000000" w:themeColor="text1"/>
          <w:shd w:val="clear" w:color="auto" w:fill="FFFFFF"/>
          <w:lang w:val="en-US"/>
        </w:rPr>
        <w:t>E-mail: </w:t>
      </w:r>
      <w:hyperlink r:id="rId8" w:history="1">
        <w:r w:rsidRPr="00D733D1">
          <w:rPr>
            <w:rStyle w:val="Hyperlink"/>
            <w:rFonts w:cs="Arial"/>
            <w:color w:val="000000" w:themeColor="text1"/>
            <w:bdr w:val="none" w:sz="0" w:space="0" w:color="auto" w:frame="1"/>
            <w:shd w:val="clear" w:color="auto" w:fill="FFFFFF"/>
            <w:lang w:val="en-US"/>
          </w:rPr>
          <w:t>martine.piccart@bordet.be</w:t>
        </w:r>
      </w:hyperlink>
    </w:p>
    <w:p w14:paraId="084F39EB" w14:textId="2083E39E" w:rsidR="005268A2" w:rsidRPr="00D733D1" w:rsidRDefault="005268A2">
      <w:pPr>
        <w:rPr>
          <w:bCs/>
          <w:color w:val="000000" w:themeColor="text1"/>
          <w:sz w:val="24"/>
          <w:szCs w:val="24"/>
          <w:lang w:val="en-US"/>
        </w:rPr>
      </w:pPr>
    </w:p>
    <w:p w14:paraId="5458AD2E" w14:textId="77777777" w:rsidR="00D733D1" w:rsidRPr="00D733D1" w:rsidRDefault="00D733D1">
      <w:pPr>
        <w:rPr>
          <w:b/>
          <w:color w:val="000000" w:themeColor="text1"/>
          <w:sz w:val="24"/>
          <w:szCs w:val="24"/>
          <w:lang w:val="en-US"/>
        </w:rPr>
      </w:pPr>
      <w:r w:rsidRPr="00D733D1">
        <w:rPr>
          <w:b/>
          <w:color w:val="000000" w:themeColor="text1"/>
          <w:sz w:val="24"/>
          <w:szCs w:val="24"/>
          <w:lang w:val="en-US"/>
        </w:rPr>
        <w:t>Context Summar</w:t>
      </w:r>
      <w:r w:rsidRPr="00D733D1">
        <w:rPr>
          <w:b/>
          <w:color w:val="000000" w:themeColor="text1"/>
          <w:sz w:val="24"/>
          <w:szCs w:val="24"/>
          <w:lang w:val="en-US"/>
        </w:rPr>
        <w:t>y</w:t>
      </w:r>
    </w:p>
    <w:p w14:paraId="3E381E70" w14:textId="65CCF0C6" w:rsidR="00D733D1" w:rsidRDefault="00D733D1" w:rsidP="00D733D1">
      <w:pPr>
        <w:rPr>
          <w:color w:val="000000" w:themeColor="text1"/>
          <w:sz w:val="28"/>
          <w:szCs w:val="28"/>
          <w:lang w:val="en-US"/>
        </w:rPr>
      </w:pPr>
      <w:r w:rsidRPr="00D733D1">
        <w:rPr>
          <w:bCs/>
          <w:i/>
          <w:iCs/>
          <w:color w:val="000000" w:themeColor="text1"/>
          <w:sz w:val="24"/>
          <w:szCs w:val="24"/>
          <w:lang w:val="en-US"/>
        </w:rPr>
        <w:t>Key objective:</w:t>
      </w:r>
      <w:r w:rsidRPr="00D733D1">
        <w:rPr>
          <w:bCs/>
          <w:color w:val="000000" w:themeColor="text1"/>
          <w:sz w:val="24"/>
          <w:szCs w:val="24"/>
          <w:lang w:val="en-US"/>
        </w:rPr>
        <w:t xml:space="preserve"> </w:t>
      </w:r>
      <w:r w:rsidRPr="00D733D1">
        <w:rPr>
          <w:color w:val="000000" w:themeColor="text1"/>
          <w:sz w:val="24"/>
          <w:szCs w:val="24"/>
          <w:lang w:val="en-US"/>
        </w:rPr>
        <w:t>While the scientific community and society at large welcome de-escalation of systemic adjuvant therapy in selected cancer patients in view of quality of life and health economics benefits, more attention should be paid to rigorous de-escalation trial design</w:t>
      </w:r>
      <w:r>
        <w:rPr>
          <w:color w:val="000000" w:themeColor="text1"/>
          <w:sz w:val="24"/>
          <w:szCs w:val="24"/>
          <w:lang w:val="en-US"/>
        </w:rPr>
        <w:t>.</w:t>
      </w:r>
    </w:p>
    <w:p w14:paraId="35485BEF" w14:textId="195DCAC1" w:rsidR="00D733D1" w:rsidRPr="00D733D1" w:rsidRDefault="00D733D1" w:rsidP="00D733D1">
      <w:pPr>
        <w:rPr>
          <w:bCs/>
          <w:color w:val="000000" w:themeColor="text1"/>
          <w:sz w:val="24"/>
          <w:szCs w:val="24"/>
          <w:lang w:val="en-US"/>
        </w:rPr>
      </w:pPr>
      <w:r w:rsidRPr="00D733D1">
        <w:rPr>
          <w:bCs/>
          <w:i/>
          <w:iCs/>
          <w:color w:val="000000" w:themeColor="text1"/>
          <w:sz w:val="24"/>
          <w:szCs w:val="24"/>
          <w:lang w:val="en-US"/>
        </w:rPr>
        <w:t>Knowledge generated:</w:t>
      </w:r>
      <w:r w:rsidRPr="00D733D1">
        <w:rPr>
          <w:bCs/>
          <w:color w:val="000000" w:themeColor="text1"/>
          <w:sz w:val="24"/>
          <w:szCs w:val="24"/>
          <w:lang w:val="en-US"/>
        </w:rPr>
        <w:t xml:space="preserve"> A review of de-escalation trials in the last few years highlighted a number of weaknesses which can effectively be addressed in the future. The BIG-NABCG Collaboration developed a roadmap for improving the design and implementation of de-escalation trials guided by patients’ insights, with recommendations on how to minimize treatment non-adherence, heterogeneity of results and risks of undertreatment, and support the selection of RFI, RFS and DMFS as meaningful endpoints.</w:t>
      </w:r>
    </w:p>
    <w:p w14:paraId="7D9336C9" w14:textId="7B4121A7" w:rsidR="005268A2" w:rsidRPr="00D733D1" w:rsidRDefault="00D733D1" w:rsidP="00D733D1">
      <w:pPr>
        <w:rPr>
          <w:color w:val="000000" w:themeColor="text1"/>
          <w:sz w:val="28"/>
          <w:szCs w:val="28"/>
          <w:lang w:val="en-US"/>
        </w:rPr>
      </w:pPr>
      <w:r w:rsidRPr="00D733D1">
        <w:rPr>
          <w:bCs/>
          <w:i/>
          <w:iCs/>
          <w:color w:val="000000" w:themeColor="text1"/>
          <w:sz w:val="24"/>
          <w:szCs w:val="24"/>
          <w:lang w:val="en-US"/>
        </w:rPr>
        <w:t>Relevance:</w:t>
      </w:r>
      <w:r w:rsidRPr="00D733D1">
        <w:rPr>
          <w:bCs/>
          <w:color w:val="000000" w:themeColor="text1"/>
          <w:sz w:val="24"/>
          <w:szCs w:val="24"/>
          <w:lang w:val="en-US"/>
        </w:rPr>
        <w:t xml:space="preserve"> </w:t>
      </w:r>
      <w:r>
        <w:rPr>
          <w:bCs/>
          <w:color w:val="000000" w:themeColor="text1"/>
          <w:sz w:val="24"/>
          <w:szCs w:val="24"/>
          <w:lang w:val="en-US"/>
        </w:rPr>
        <w:t xml:space="preserve">This roadmap can help </w:t>
      </w:r>
      <w:r>
        <w:rPr>
          <w:color w:val="000000" w:themeColor="text1"/>
          <w:sz w:val="24"/>
          <w:szCs w:val="24"/>
          <w:lang w:val="en-US"/>
        </w:rPr>
        <w:t>investigators conduct de-escalation trials with</w:t>
      </w:r>
      <w:r w:rsidRPr="00D733D1">
        <w:rPr>
          <w:color w:val="000000" w:themeColor="text1"/>
          <w:sz w:val="24"/>
          <w:szCs w:val="24"/>
          <w:lang w:val="en-US"/>
        </w:rPr>
        <w:t xml:space="preserve"> robust, practice-changing, and truly patient-centered results. </w:t>
      </w:r>
      <w:r w:rsidR="005268A2" w:rsidRPr="00D733D1">
        <w:rPr>
          <w:bCs/>
          <w:color w:val="000000" w:themeColor="text1"/>
          <w:sz w:val="24"/>
          <w:szCs w:val="24"/>
          <w:lang w:val="en-US"/>
        </w:rPr>
        <w:br w:type="page"/>
      </w:r>
    </w:p>
    <w:p w14:paraId="2CE90249" w14:textId="394740F1" w:rsidR="00E35DBC" w:rsidRPr="00625A76" w:rsidRDefault="00E35DBC" w:rsidP="00E35DBC">
      <w:pPr>
        <w:pBdr>
          <w:top w:val="single" w:sz="4" w:space="1" w:color="auto"/>
          <w:left w:val="single" w:sz="4" w:space="4" w:color="auto"/>
          <w:bottom w:val="single" w:sz="4" w:space="1" w:color="auto"/>
          <w:right w:val="single" w:sz="4" w:space="4" w:color="auto"/>
        </w:pBdr>
        <w:rPr>
          <w:b/>
          <w:color w:val="000000" w:themeColor="text1"/>
          <w:sz w:val="32"/>
          <w:szCs w:val="32"/>
          <w:lang w:val="en-US"/>
        </w:rPr>
      </w:pPr>
      <w:r w:rsidRPr="00625A76">
        <w:rPr>
          <w:b/>
          <w:color w:val="000000" w:themeColor="text1"/>
          <w:sz w:val="32"/>
          <w:szCs w:val="32"/>
          <w:lang w:val="en-US"/>
        </w:rPr>
        <w:lastRenderedPageBreak/>
        <w:t>Abstract</w:t>
      </w:r>
    </w:p>
    <w:p w14:paraId="78210EE8" w14:textId="77777777" w:rsidR="009B4B71" w:rsidRPr="00625A76" w:rsidRDefault="009B4B71" w:rsidP="00F53928">
      <w:pPr>
        <w:jc w:val="both"/>
        <w:rPr>
          <w:color w:val="000000" w:themeColor="text1"/>
          <w:sz w:val="28"/>
          <w:szCs w:val="28"/>
          <w:lang w:val="en-US"/>
        </w:rPr>
      </w:pPr>
    </w:p>
    <w:p w14:paraId="37E07CB3" w14:textId="4E62309B" w:rsidR="00E35DBC" w:rsidRPr="00625A76" w:rsidRDefault="00F53928" w:rsidP="00F53928">
      <w:pPr>
        <w:jc w:val="both"/>
        <w:rPr>
          <w:color w:val="000000" w:themeColor="text1"/>
          <w:sz w:val="28"/>
          <w:szCs w:val="28"/>
          <w:lang w:val="en-US"/>
        </w:rPr>
      </w:pPr>
      <w:r w:rsidRPr="00625A76">
        <w:rPr>
          <w:color w:val="000000" w:themeColor="text1"/>
          <w:sz w:val="28"/>
          <w:szCs w:val="28"/>
          <w:lang w:val="en-US"/>
        </w:rPr>
        <w:t xml:space="preserve">An </w:t>
      </w:r>
      <w:r w:rsidR="003923FD" w:rsidRPr="00625A76">
        <w:rPr>
          <w:color w:val="000000" w:themeColor="text1"/>
          <w:sz w:val="28"/>
          <w:szCs w:val="28"/>
          <w:lang w:val="en-US"/>
        </w:rPr>
        <w:t>important challenge</w:t>
      </w:r>
      <w:r w:rsidR="00B72975" w:rsidRPr="00625A76">
        <w:rPr>
          <w:color w:val="000000" w:themeColor="text1"/>
          <w:sz w:val="28"/>
          <w:szCs w:val="28"/>
          <w:lang w:val="en-US"/>
        </w:rPr>
        <w:t xml:space="preserve"> in the field of cancer</w:t>
      </w:r>
      <w:r w:rsidR="00C13D06" w:rsidRPr="00625A76">
        <w:rPr>
          <w:color w:val="000000" w:themeColor="text1"/>
          <w:sz w:val="28"/>
          <w:szCs w:val="28"/>
          <w:lang w:val="en-US"/>
        </w:rPr>
        <w:t xml:space="preserve"> is </w:t>
      </w:r>
      <w:r w:rsidR="00EC68DB" w:rsidRPr="00625A76">
        <w:rPr>
          <w:color w:val="000000" w:themeColor="text1"/>
          <w:sz w:val="28"/>
          <w:szCs w:val="28"/>
          <w:lang w:val="en-US"/>
        </w:rPr>
        <w:t xml:space="preserve">finding the balance between delivering effective </w:t>
      </w:r>
      <w:r w:rsidR="00986763" w:rsidRPr="00625A76">
        <w:rPr>
          <w:color w:val="000000" w:themeColor="text1"/>
          <w:sz w:val="28"/>
          <w:szCs w:val="28"/>
          <w:lang w:val="en-US"/>
        </w:rPr>
        <w:t>treatments</w:t>
      </w:r>
      <w:r w:rsidR="002F3AF2" w:rsidRPr="00625A76">
        <w:rPr>
          <w:color w:val="000000" w:themeColor="text1"/>
          <w:sz w:val="28"/>
          <w:szCs w:val="28"/>
          <w:lang w:val="en-US"/>
        </w:rPr>
        <w:t>, while avoiding</w:t>
      </w:r>
      <w:r w:rsidR="00EC68DB" w:rsidRPr="00625A76">
        <w:rPr>
          <w:color w:val="000000" w:themeColor="text1"/>
          <w:sz w:val="28"/>
          <w:szCs w:val="28"/>
          <w:lang w:val="en-US"/>
        </w:rPr>
        <w:t xml:space="preserve"> side effects </w:t>
      </w:r>
      <w:r w:rsidR="00986763" w:rsidRPr="00625A76">
        <w:rPr>
          <w:color w:val="000000" w:themeColor="text1"/>
          <w:sz w:val="28"/>
          <w:szCs w:val="28"/>
          <w:lang w:val="en-US"/>
        </w:rPr>
        <w:t>and</w:t>
      </w:r>
      <w:r w:rsidR="00EC68DB" w:rsidRPr="00625A76">
        <w:rPr>
          <w:color w:val="000000" w:themeColor="text1"/>
          <w:sz w:val="28"/>
          <w:szCs w:val="28"/>
          <w:lang w:val="en-US"/>
        </w:rPr>
        <w:t xml:space="preserve"> </w:t>
      </w:r>
      <w:r w:rsidR="00986763" w:rsidRPr="00625A76">
        <w:rPr>
          <w:color w:val="000000" w:themeColor="text1"/>
          <w:sz w:val="28"/>
          <w:szCs w:val="28"/>
          <w:lang w:val="en-US"/>
        </w:rPr>
        <w:t xml:space="preserve">financial toxicity caused by innovative yet </w:t>
      </w:r>
      <w:r w:rsidR="00C13D06" w:rsidRPr="00625A76">
        <w:rPr>
          <w:color w:val="000000" w:themeColor="text1"/>
          <w:sz w:val="28"/>
          <w:szCs w:val="28"/>
          <w:lang w:val="en-US"/>
        </w:rPr>
        <w:t xml:space="preserve">expensive drugs. </w:t>
      </w:r>
      <w:r w:rsidR="003E61AC" w:rsidRPr="00625A76">
        <w:rPr>
          <w:color w:val="000000" w:themeColor="text1"/>
          <w:sz w:val="28"/>
          <w:szCs w:val="28"/>
          <w:lang w:val="en-US"/>
        </w:rPr>
        <w:t>T</w:t>
      </w:r>
      <w:r w:rsidR="00BD6EB5" w:rsidRPr="00625A76">
        <w:rPr>
          <w:color w:val="000000" w:themeColor="text1"/>
          <w:sz w:val="28"/>
          <w:szCs w:val="28"/>
          <w:lang w:val="en-US"/>
        </w:rPr>
        <w:t>o address this,</w:t>
      </w:r>
      <w:r w:rsidR="003E61AC" w:rsidRPr="00625A76">
        <w:rPr>
          <w:color w:val="000000" w:themeColor="text1"/>
          <w:sz w:val="28"/>
          <w:szCs w:val="28"/>
          <w:lang w:val="en-US"/>
        </w:rPr>
        <w:t xml:space="preserve"> several </w:t>
      </w:r>
      <w:r w:rsidR="002F3AF2" w:rsidRPr="00625A76">
        <w:rPr>
          <w:color w:val="000000" w:themeColor="text1"/>
          <w:sz w:val="28"/>
          <w:szCs w:val="28"/>
          <w:lang w:val="en-US"/>
        </w:rPr>
        <w:t xml:space="preserve">treatment </w:t>
      </w:r>
      <w:proofErr w:type="gramStart"/>
      <w:r w:rsidR="003E61AC" w:rsidRPr="00625A76">
        <w:rPr>
          <w:color w:val="000000" w:themeColor="text1"/>
          <w:sz w:val="28"/>
          <w:szCs w:val="28"/>
          <w:lang w:val="en-US"/>
        </w:rPr>
        <w:t>de-escalat</w:t>
      </w:r>
      <w:r w:rsidR="003923FD" w:rsidRPr="00625A76">
        <w:rPr>
          <w:color w:val="000000" w:themeColor="text1"/>
          <w:sz w:val="28"/>
          <w:szCs w:val="28"/>
          <w:lang w:val="en-US"/>
        </w:rPr>
        <w:t>ion</w:t>
      </w:r>
      <w:proofErr w:type="gramEnd"/>
      <w:r w:rsidR="003923FD" w:rsidRPr="00625A76">
        <w:rPr>
          <w:color w:val="000000" w:themeColor="text1"/>
          <w:sz w:val="28"/>
          <w:szCs w:val="28"/>
          <w:lang w:val="en-US"/>
        </w:rPr>
        <w:t xml:space="preserve"> trials</w:t>
      </w:r>
      <w:r w:rsidR="003E61AC" w:rsidRPr="00625A76">
        <w:rPr>
          <w:color w:val="000000" w:themeColor="text1"/>
          <w:sz w:val="28"/>
          <w:szCs w:val="28"/>
          <w:lang w:val="en-US"/>
        </w:rPr>
        <w:t xml:space="preserve"> </w:t>
      </w:r>
      <w:r w:rsidR="003923FD" w:rsidRPr="00625A76">
        <w:rPr>
          <w:color w:val="000000" w:themeColor="text1"/>
          <w:sz w:val="28"/>
          <w:szCs w:val="28"/>
          <w:lang w:val="en-US"/>
        </w:rPr>
        <w:t>have been conducted</w:t>
      </w:r>
      <w:r w:rsidR="00BD6EB5" w:rsidRPr="00625A76">
        <w:rPr>
          <w:color w:val="000000" w:themeColor="text1"/>
          <w:sz w:val="28"/>
          <w:szCs w:val="28"/>
          <w:lang w:val="en-US"/>
        </w:rPr>
        <w:t xml:space="preserve"> in the past</w:t>
      </w:r>
      <w:r w:rsidR="00FD41FD" w:rsidRPr="00625A76">
        <w:rPr>
          <w:color w:val="000000" w:themeColor="text1"/>
          <w:sz w:val="28"/>
          <w:szCs w:val="28"/>
          <w:lang w:val="en-US"/>
        </w:rPr>
        <w:t xml:space="preserve"> but </w:t>
      </w:r>
      <w:r w:rsidR="00BD6EB5" w:rsidRPr="00625A76">
        <w:rPr>
          <w:color w:val="000000" w:themeColor="text1"/>
          <w:sz w:val="28"/>
          <w:szCs w:val="28"/>
          <w:lang w:val="en-US"/>
        </w:rPr>
        <w:t xml:space="preserve">only </w:t>
      </w:r>
      <w:r w:rsidR="00822B17" w:rsidRPr="00625A76">
        <w:rPr>
          <w:color w:val="000000" w:themeColor="text1"/>
          <w:sz w:val="28"/>
          <w:szCs w:val="28"/>
          <w:lang w:val="en-US"/>
        </w:rPr>
        <w:t xml:space="preserve">a </w:t>
      </w:r>
      <w:r w:rsidR="003923FD" w:rsidRPr="00625A76">
        <w:rPr>
          <w:color w:val="000000" w:themeColor="text1"/>
          <w:sz w:val="28"/>
          <w:szCs w:val="28"/>
          <w:lang w:val="en-US"/>
        </w:rPr>
        <w:t>few</w:t>
      </w:r>
      <w:r w:rsidR="00FD41FD" w:rsidRPr="00625A76">
        <w:rPr>
          <w:color w:val="000000" w:themeColor="text1"/>
          <w:sz w:val="28"/>
          <w:szCs w:val="28"/>
          <w:lang w:val="en-US"/>
        </w:rPr>
        <w:t xml:space="preserve"> of these </w:t>
      </w:r>
      <w:r w:rsidR="00986763" w:rsidRPr="00625A76">
        <w:rPr>
          <w:color w:val="000000" w:themeColor="text1"/>
          <w:sz w:val="28"/>
          <w:szCs w:val="28"/>
          <w:lang w:val="en-US"/>
        </w:rPr>
        <w:t xml:space="preserve">have </w:t>
      </w:r>
      <w:r w:rsidR="00FD41FD" w:rsidRPr="00625A76">
        <w:rPr>
          <w:color w:val="000000" w:themeColor="text1"/>
          <w:sz w:val="28"/>
          <w:szCs w:val="28"/>
          <w:lang w:val="en-US"/>
        </w:rPr>
        <w:t>prov</w:t>
      </w:r>
      <w:r w:rsidR="002F3AF2" w:rsidRPr="00625A76">
        <w:rPr>
          <w:color w:val="000000" w:themeColor="text1"/>
          <w:sz w:val="28"/>
          <w:szCs w:val="28"/>
          <w:lang w:val="en-US"/>
        </w:rPr>
        <w:t>ided clear answers</w:t>
      </w:r>
      <w:r w:rsidR="00BD6EB5" w:rsidRPr="00625A76">
        <w:rPr>
          <w:color w:val="000000" w:themeColor="text1"/>
          <w:sz w:val="28"/>
          <w:szCs w:val="28"/>
          <w:lang w:val="en-US"/>
        </w:rPr>
        <w:t xml:space="preserve">. </w:t>
      </w:r>
      <w:r w:rsidR="004107E3" w:rsidRPr="00625A76">
        <w:rPr>
          <w:color w:val="000000" w:themeColor="text1"/>
          <w:sz w:val="28"/>
          <w:szCs w:val="28"/>
          <w:lang w:val="en-US"/>
        </w:rPr>
        <w:t xml:space="preserve">A few of them </w:t>
      </w:r>
      <w:r w:rsidR="00BD6EB5" w:rsidRPr="00625A76">
        <w:rPr>
          <w:color w:val="000000" w:themeColor="text1"/>
          <w:sz w:val="28"/>
          <w:szCs w:val="28"/>
          <w:lang w:val="en-US"/>
        </w:rPr>
        <w:t xml:space="preserve">suffered from poor accrual or had study design flaws that </w:t>
      </w:r>
      <w:r w:rsidR="00B72975" w:rsidRPr="00625A76">
        <w:rPr>
          <w:color w:val="000000" w:themeColor="text1"/>
          <w:sz w:val="28"/>
          <w:szCs w:val="28"/>
          <w:lang w:val="en-US"/>
        </w:rPr>
        <w:t>led</w:t>
      </w:r>
      <w:r w:rsidR="00BD6EB5" w:rsidRPr="00625A76">
        <w:rPr>
          <w:color w:val="000000" w:themeColor="text1"/>
          <w:sz w:val="28"/>
          <w:szCs w:val="28"/>
          <w:lang w:val="en-US"/>
        </w:rPr>
        <w:t xml:space="preserve"> to conflicting results.</w:t>
      </w:r>
      <w:r w:rsidR="003923FD" w:rsidRPr="00625A76">
        <w:rPr>
          <w:color w:val="000000" w:themeColor="text1"/>
          <w:sz w:val="28"/>
          <w:szCs w:val="28"/>
          <w:lang w:val="en-US"/>
        </w:rPr>
        <w:t xml:space="preserve"> </w:t>
      </w:r>
      <w:r w:rsidR="003E61AC" w:rsidRPr="00625A76">
        <w:rPr>
          <w:color w:val="000000" w:themeColor="text1"/>
          <w:sz w:val="28"/>
          <w:szCs w:val="28"/>
          <w:lang w:val="en-US"/>
        </w:rPr>
        <w:t>Members of the</w:t>
      </w:r>
      <w:r w:rsidR="00E35DBC" w:rsidRPr="00625A76">
        <w:rPr>
          <w:color w:val="000000" w:themeColor="text1"/>
          <w:sz w:val="28"/>
          <w:szCs w:val="28"/>
          <w:lang w:val="en-US"/>
        </w:rPr>
        <w:t xml:space="preserve"> </w:t>
      </w:r>
      <w:r w:rsidR="00B72975" w:rsidRPr="00625A76">
        <w:rPr>
          <w:color w:val="000000" w:themeColor="text1"/>
          <w:sz w:val="28"/>
          <w:szCs w:val="28"/>
          <w:lang w:val="en-US"/>
        </w:rPr>
        <w:t>Breast International Group (BIG) and North American Breast Cancer Group (NABCG)</w:t>
      </w:r>
      <w:r w:rsidR="00E35DBC" w:rsidRPr="00625A76">
        <w:rPr>
          <w:color w:val="000000" w:themeColor="text1"/>
          <w:sz w:val="28"/>
          <w:szCs w:val="28"/>
          <w:lang w:val="en-US"/>
        </w:rPr>
        <w:t xml:space="preserve"> </w:t>
      </w:r>
      <w:r w:rsidR="004107E3" w:rsidRPr="00625A76">
        <w:rPr>
          <w:color w:val="000000" w:themeColor="text1"/>
          <w:sz w:val="28"/>
          <w:szCs w:val="28"/>
          <w:lang w:val="en-US"/>
        </w:rPr>
        <w:t>believe that</w:t>
      </w:r>
      <w:r w:rsidR="00986763" w:rsidRPr="00625A76">
        <w:rPr>
          <w:color w:val="000000" w:themeColor="text1"/>
          <w:sz w:val="28"/>
          <w:szCs w:val="28"/>
          <w:lang w:val="en-US"/>
        </w:rPr>
        <w:t xml:space="preserve"> the</w:t>
      </w:r>
      <w:r w:rsidR="004107E3" w:rsidRPr="00625A76">
        <w:rPr>
          <w:color w:val="000000" w:themeColor="text1"/>
          <w:sz w:val="28"/>
          <w:szCs w:val="28"/>
          <w:lang w:val="en-US"/>
        </w:rPr>
        <w:t xml:space="preserve"> way forward would be to understand the lessons from these trials and listen more carefully to what truly matters to our patients. We </w:t>
      </w:r>
      <w:r w:rsidR="003E61AC" w:rsidRPr="00625A76">
        <w:rPr>
          <w:color w:val="000000" w:themeColor="text1"/>
          <w:sz w:val="28"/>
          <w:szCs w:val="28"/>
          <w:lang w:val="en-US"/>
        </w:rPr>
        <w:t xml:space="preserve">reviewed </w:t>
      </w:r>
      <w:r w:rsidR="004107E3" w:rsidRPr="00625A76">
        <w:rPr>
          <w:color w:val="000000" w:themeColor="text1"/>
          <w:sz w:val="28"/>
          <w:szCs w:val="28"/>
          <w:lang w:val="en-US"/>
        </w:rPr>
        <w:t xml:space="preserve">several adjuvant </w:t>
      </w:r>
      <w:r w:rsidR="003E61AC" w:rsidRPr="00625A76">
        <w:rPr>
          <w:color w:val="000000" w:themeColor="text1"/>
          <w:sz w:val="28"/>
          <w:szCs w:val="28"/>
          <w:lang w:val="en-US"/>
        </w:rPr>
        <w:t>trials</w:t>
      </w:r>
      <w:r w:rsidR="004107E3" w:rsidRPr="00625A76">
        <w:rPr>
          <w:color w:val="000000" w:themeColor="text1"/>
          <w:sz w:val="28"/>
          <w:szCs w:val="28"/>
          <w:lang w:val="en-US"/>
        </w:rPr>
        <w:t xml:space="preserve"> from different cancer types</w:t>
      </w:r>
      <w:r w:rsidR="00BD6EB5" w:rsidRPr="00625A76">
        <w:rPr>
          <w:color w:val="000000" w:themeColor="text1"/>
          <w:sz w:val="28"/>
          <w:szCs w:val="28"/>
          <w:lang w:val="en-US"/>
        </w:rPr>
        <w:t xml:space="preserve"> </w:t>
      </w:r>
      <w:r w:rsidR="004107E3" w:rsidRPr="00625A76">
        <w:rPr>
          <w:color w:val="000000" w:themeColor="text1"/>
          <w:sz w:val="28"/>
          <w:szCs w:val="28"/>
          <w:lang w:val="en-US"/>
        </w:rPr>
        <w:t>and developed</w:t>
      </w:r>
      <w:r w:rsidR="00E35DBC" w:rsidRPr="00625A76">
        <w:rPr>
          <w:color w:val="000000" w:themeColor="text1"/>
          <w:sz w:val="28"/>
          <w:szCs w:val="28"/>
          <w:lang w:val="en-US"/>
        </w:rPr>
        <w:t xml:space="preserve"> a roadmap for improving the design and implementation of </w:t>
      </w:r>
      <w:r w:rsidR="004107E3" w:rsidRPr="00625A76">
        <w:rPr>
          <w:color w:val="000000" w:themeColor="text1"/>
          <w:sz w:val="28"/>
          <w:szCs w:val="28"/>
          <w:lang w:val="en-US"/>
        </w:rPr>
        <w:t xml:space="preserve">future </w:t>
      </w:r>
      <w:r w:rsidR="00E35DBC" w:rsidRPr="00625A76">
        <w:rPr>
          <w:color w:val="000000" w:themeColor="text1"/>
          <w:sz w:val="28"/>
          <w:szCs w:val="28"/>
          <w:lang w:val="en-US"/>
        </w:rPr>
        <w:t>de-escalation trials</w:t>
      </w:r>
      <w:r w:rsidR="003E61AC" w:rsidRPr="00625A76">
        <w:rPr>
          <w:color w:val="000000" w:themeColor="text1"/>
          <w:sz w:val="28"/>
          <w:szCs w:val="28"/>
          <w:lang w:val="en-US"/>
        </w:rPr>
        <w:t xml:space="preserve">. This incorporates </w:t>
      </w:r>
      <w:r w:rsidR="00E35DBC" w:rsidRPr="00625A76">
        <w:rPr>
          <w:color w:val="000000" w:themeColor="text1"/>
          <w:sz w:val="28"/>
          <w:szCs w:val="28"/>
          <w:lang w:val="en-US"/>
        </w:rPr>
        <w:t>insights</w:t>
      </w:r>
      <w:r w:rsidR="00137A83" w:rsidRPr="00625A76">
        <w:rPr>
          <w:color w:val="000000" w:themeColor="text1"/>
          <w:sz w:val="28"/>
          <w:szCs w:val="28"/>
          <w:lang w:val="en-US"/>
        </w:rPr>
        <w:t xml:space="preserve"> from patients</w:t>
      </w:r>
      <w:r w:rsidR="003E61AC" w:rsidRPr="00625A76">
        <w:rPr>
          <w:color w:val="000000" w:themeColor="text1"/>
          <w:sz w:val="28"/>
          <w:szCs w:val="28"/>
          <w:lang w:val="en-US"/>
        </w:rPr>
        <w:t xml:space="preserve"> obtained through focused group discussions across the </w:t>
      </w:r>
      <w:r w:rsidR="004107E3" w:rsidRPr="00625A76">
        <w:rPr>
          <w:color w:val="000000" w:themeColor="text1"/>
          <w:sz w:val="28"/>
          <w:szCs w:val="28"/>
          <w:lang w:val="en-US"/>
        </w:rPr>
        <w:t>BIG-NABCG</w:t>
      </w:r>
      <w:r w:rsidR="003E61AC" w:rsidRPr="00625A76">
        <w:rPr>
          <w:color w:val="000000" w:themeColor="text1"/>
          <w:sz w:val="28"/>
          <w:szCs w:val="28"/>
          <w:lang w:val="en-US"/>
        </w:rPr>
        <w:t xml:space="preserve"> networks. </w:t>
      </w:r>
      <w:r w:rsidR="00FD41FD" w:rsidRPr="00625A76">
        <w:rPr>
          <w:color w:val="000000" w:themeColor="text1"/>
          <w:sz w:val="28"/>
          <w:szCs w:val="28"/>
          <w:lang w:val="en-US"/>
        </w:rPr>
        <w:t>C</w:t>
      </w:r>
      <w:r w:rsidR="00137A83" w:rsidRPr="00625A76">
        <w:rPr>
          <w:color w:val="000000" w:themeColor="text1"/>
          <w:sz w:val="28"/>
          <w:szCs w:val="28"/>
          <w:lang w:val="en-US"/>
        </w:rPr>
        <w:t>onsiderations</w:t>
      </w:r>
      <w:r w:rsidR="00FD41FD" w:rsidRPr="00625A76">
        <w:rPr>
          <w:color w:val="000000" w:themeColor="text1"/>
          <w:sz w:val="28"/>
          <w:szCs w:val="28"/>
          <w:lang w:val="en-US"/>
        </w:rPr>
        <w:t xml:space="preserve"> for</w:t>
      </w:r>
      <w:r w:rsidR="003E61AC" w:rsidRPr="00625A76">
        <w:rPr>
          <w:color w:val="000000" w:themeColor="text1"/>
          <w:sz w:val="28"/>
          <w:szCs w:val="28"/>
          <w:lang w:val="en-US"/>
        </w:rPr>
        <w:t xml:space="preserve"> </w:t>
      </w:r>
      <w:r w:rsidR="00FD41FD" w:rsidRPr="00625A76">
        <w:rPr>
          <w:color w:val="000000" w:themeColor="text1"/>
          <w:sz w:val="28"/>
          <w:szCs w:val="28"/>
          <w:lang w:val="en-US"/>
        </w:rPr>
        <w:t xml:space="preserve">the development of de-escalation trials for systemic adjuvant treatment including </w:t>
      </w:r>
      <w:r w:rsidR="003E61AC" w:rsidRPr="00625A76">
        <w:rPr>
          <w:color w:val="000000" w:themeColor="text1"/>
          <w:sz w:val="28"/>
          <w:szCs w:val="28"/>
          <w:lang w:val="en-US"/>
        </w:rPr>
        <w:t>non-inferiority trial</w:t>
      </w:r>
      <w:r w:rsidR="00FD41FD" w:rsidRPr="00625A76">
        <w:rPr>
          <w:color w:val="000000" w:themeColor="text1"/>
          <w:sz w:val="28"/>
          <w:szCs w:val="28"/>
          <w:lang w:val="en-US"/>
        </w:rPr>
        <w:t xml:space="preserve"> design</w:t>
      </w:r>
      <w:r w:rsidR="003E61AC" w:rsidRPr="00625A76">
        <w:rPr>
          <w:color w:val="000000" w:themeColor="text1"/>
          <w:sz w:val="28"/>
          <w:szCs w:val="28"/>
          <w:lang w:val="en-US"/>
        </w:rPr>
        <w:t xml:space="preserve">, choice of endpoints and </w:t>
      </w:r>
      <w:r w:rsidR="00FD41FD" w:rsidRPr="00625A76">
        <w:rPr>
          <w:color w:val="000000" w:themeColor="text1"/>
          <w:sz w:val="28"/>
          <w:szCs w:val="28"/>
          <w:lang w:val="en-US"/>
        </w:rPr>
        <w:t>prioritization of</w:t>
      </w:r>
      <w:r w:rsidR="003E61AC" w:rsidRPr="00625A76">
        <w:rPr>
          <w:color w:val="000000" w:themeColor="text1"/>
          <w:sz w:val="28"/>
          <w:szCs w:val="28"/>
          <w:lang w:val="en-US"/>
        </w:rPr>
        <w:t xml:space="preserve"> patient’s perspectives </w:t>
      </w:r>
      <w:r w:rsidR="00FD41FD" w:rsidRPr="00625A76">
        <w:rPr>
          <w:color w:val="000000" w:themeColor="text1"/>
          <w:sz w:val="28"/>
          <w:szCs w:val="28"/>
          <w:lang w:val="en-US"/>
        </w:rPr>
        <w:t>are presented in this consensus</w:t>
      </w:r>
      <w:r w:rsidR="00B72975" w:rsidRPr="00625A76">
        <w:rPr>
          <w:color w:val="000000" w:themeColor="text1"/>
          <w:sz w:val="28"/>
          <w:szCs w:val="28"/>
          <w:lang w:val="en-US"/>
        </w:rPr>
        <w:t xml:space="preserve"> paper</w:t>
      </w:r>
      <w:r w:rsidR="00FD41FD" w:rsidRPr="00625A76">
        <w:rPr>
          <w:color w:val="000000" w:themeColor="text1"/>
          <w:sz w:val="28"/>
          <w:szCs w:val="28"/>
          <w:lang w:val="en-US"/>
        </w:rPr>
        <w:t>.</w:t>
      </w:r>
    </w:p>
    <w:p w14:paraId="2FF3895A" w14:textId="77777777" w:rsidR="00E35DBC" w:rsidRPr="00625A76" w:rsidRDefault="00E35DBC">
      <w:pPr>
        <w:rPr>
          <w:bCs/>
          <w:color w:val="000000" w:themeColor="text1"/>
          <w:sz w:val="24"/>
          <w:szCs w:val="24"/>
          <w:lang w:val="en-US"/>
        </w:rPr>
      </w:pPr>
    </w:p>
    <w:p w14:paraId="719E380B" w14:textId="7682C6E0" w:rsidR="008A5A01" w:rsidRPr="00625A76" w:rsidRDefault="008A5A01" w:rsidP="00BD6A01">
      <w:pPr>
        <w:pBdr>
          <w:top w:val="single" w:sz="4" w:space="1" w:color="auto"/>
          <w:left w:val="single" w:sz="4" w:space="4" w:color="auto"/>
          <w:bottom w:val="single" w:sz="4" w:space="1" w:color="auto"/>
          <w:right w:val="single" w:sz="4" w:space="4" w:color="auto"/>
        </w:pBdr>
        <w:rPr>
          <w:color w:val="000000" w:themeColor="text1"/>
          <w:sz w:val="28"/>
          <w:szCs w:val="28"/>
          <w:lang w:val="en-US"/>
        </w:rPr>
      </w:pPr>
      <w:r w:rsidRPr="00625A76">
        <w:rPr>
          <w:b/>
          <w:color w:val="000000" w:themeColor="text1"/>
          <w:sz w:val="32"/>
          <w:szCs w:val="32"/>
          <w:lang w:val="en-US"/>
        </w:rPr>
        <w:t>Introduction</w:t>
      </w:r>
    </w:p>
    <w:p w14:paraId="0D9F1EA6" w14:textId="77777777" w:rsidR="009B4B71" w:rsidRPr="00625A76" w:rsidRDefault="009B4B71" w:rsidP="00EF4539">
      <w:pPr>
        <w:jc w:val="both"/>
        <w:rPr>
          <w:color w:val="000000" w:themeColor="text1"/>
          <w:sz w:val="28"/>
          <w:szCs w:val="28"/>
          <w:lang w:val="en-US"/>
        </w:rPr>
      </w:pPr>
    </w:p>
    <w:p w14:paraId="5DD8FD86" w14:textId="22CA6AE7" w:rsidR="00C514FE" w:rsidRPr="00625A76" w:rsidRDefault="00FA2AF0" w:rsidP="00EF4539">
      <w:pPr>
        <w:jc w:val="both"/>
        <w:rPr>
          <w:color w:val="000000" w:themeColor="text1"/>
          <w:sz w:val="28"/>
          <w:szCs w:val="28"/>
          <w:lang w:val="en-US"/>
        </w:rPr>
      </w:pPr>
      <w:r w:rsidRPr="00625A76">
        <w:rPr>
          <w:color w:val="000000" w:themeColor="text1"/>
          <w:sz w:val="28"/>
          <w:szCs w:val="28"/>
          <w:lang w:val="en-US"/>
        </w:rPr>
        <w:t>Progress</w:t>
      </w:r>
      <w:r w:rsidR="000D35D6" w:rsidRPr="00625A76">
        <w:rPr>
          <w:color w:val="000000" w:themeColor="text1"/>
          <w:sz w:val="28"/>
          <w:szCs w:val="28"/>
          <w:lang w:val="en-US"/>
        </w:rPr>
        <w:t xml:space="preserve"> against micro</w:t>
      </w:r>
      <w:r w:rsidR="00C514FE" w:rsidRPr="00625A76">
        <w:rPr>
          <w:color w:val="000000" w:themeColor="text1"/>
          <w:sz w:val="28"/>
          <w:szCs w:val="28"/>
          <w:lang w:val="en-US"/>
        </w:rPr>
        <w:t>-</w:t>
      </w:r>
      <w:r w:rsidR="000D35D6" w:rsidRPr="00625A76">
        <w:rPr>
          <w:color w:val="000000" w:themeColor="text1"/>
          <w:sz w:val="28"/>
          <w:szCs w:val="28"/>
          <w:lang w:val="en-US"/>
        </w:rPr>
        <w:t>metastases in diseases like breast or colorectal</w:t>
      </w:r>
      <w:r w:rsidR="00C514FE" w:rsidRPr="00625A76">
        <w:rPr>
          <w:color w:val="000000" w:themeColor="text1"/>
          <w:sz w:val="28"/>
          <w:szCs w:val="28"/>
          <w:lang w:val="en-US"/>
        </w:rPr>
        <w:t xml:space="preserve"> cancer </w:t>
      </w:r>
      <w:r w:rsidRPr="00625A76">
        <w:rPr>
          <w:color w:val="000000" w:themeColor="text1"/>
          <w:sz w:val="28"/>
          <w:szCs w:val="28"/>
          <w:lang w:val="en-US"/>
        </w:rPr>
        <w:t>ref</w:t>
      </w:r>
      <w:r w:rsidR="008C3791" w:rsidRPr="00625A76">
        <w:rPr>
          <w:color w:val="000000" w:themeColor="text1"/>
          <w:sz w:val="28"/>
          <w:szCs w:val="28"/>
          <w:lang w:val="en-US"/>
        </w:rPr>
        <w:t>l</w:t>
      </w:r>
      <w:r w:rsidRPr="00625A76">
        <w:rPr>
          <w:color w:val="000000" w:themeColor="text1"/>
          <w:sz w:val="28"/>
          <w:szCs w:val="28"/>
          <w:lang w:val="en-US"/>
        </w:rPr>
        <w:t>ects</w:t>
      </w:r>
      <w:r w:rsidR="00C514FE" w:rsidRPr="00625A76">
        <w:rPr>
          <w:color w:val="000000" w:themeColor="text1"/>
          <w:sz w:val="28"/>
          <w:szCs w:val="28"/>
          <w:lang w:val="en-US"/>
        </w:rPr>
        <w:t xml:space="preserve"> the introduction of effective cytotoxic agents</w:t>
      </w:r>
      <w:r w:rsidR="00FF545F" w:rsidRPr="00625A76">
        <w:rPr>
          <w:color w:val="000000" w:themeColor="text1"/>
          <w:sz w:val="28"/>
          <w:szCs w:val="28"/>
          <w:lang w:val="en-US"/>
        </w:rPr>
        <w:t xml:space="preserve"> and targeted drugs</w:t>
      </w:r>
      <w:r w:rsidR="00C514FE" w:rsidRPr="00625A76">
        <w:rPr>
          <w:color w:val="000000" w:themeColor="text1"/>
          <w:sz w:val="28"/>
          <w:szCs w:val="28"/>
          <w:lang w:val="en-US"/>
        </w:rPr>
        <w:t>, given in sequence or in combination. Large, prospective, randomized clinical trials have been instrumental to this progress, which translate</w:t>
      </w:r>
      <w:r w:rsidR="00FE0CD1" w:rsidRPr="00625A76">
        <w:rPr>
          <w:color w:val="000000" w:themeColor="text1"/>
          <w:sz w:val="28"/>
          <w:szCs w:val="28"/>
          <w:lang w:val="en-US"/>
        </w:rPr>
        <w:t>s</w:t>
      </w:r>
      <w:r w:rsidR="00C514FE" w:rsidRPr="00625A76">
        <w:rPr>
          <w:color w:val="000000" w:themeColor="text1"/>
          <w:sz w:val="28"/>
          <w:szCs w:val="28"/>
          <w:lang w:val="en-US"/>
        </w:rPr>
        <w:t xml:space="preserve"> </w:t>
      </w:r>
      <w:r w:rsidR="00D05E9A" w:rsidRPr="00625A76">
        <w:rPr>
          <w:color w:val="000000" w:themeColor="text1"/>
          <w:sz w:val="28"/>
          <w:szCs w:val="28"/>
          <w:lang w:val="en-US"/>
        </w:rPr>
        <w:t>to</w:t>
      </w:r>
      <w:r w:rsidR="00C514FE" w:rsidRPr="00625A76">
        <w:rPr>
          <w:color w:val="000000" w:themeColor="text1"/>
          <w:sz w:val="28"/>
          <w:szCs w:val="28"/>
          <w:lang w:val="en-US"/>
        </w:rPr>
        <w:t xml:space="preserve"> </w:t>
      </w:r>
      <w:r w:rsidR="00200730" w:rsidRPr="00625A76">
        <w:rPr>
          <w:color w:val="000000" w:themeColor="text1"/>
          <w:sz w:val="28"/>
          <w:szCs w:val="28"/>
          <w:lang w:val="en-US"/>
        </w:rPr>
        <w:t>5</w:t>
      </w:r>
      <w:r w:rsidR="00BB3CA1" w:rsidRPr="00625A76">
        <w:rPr>
          <w:color w:val="000000" w:themeColor="text1"/>
          <w:sz w:val="28"/>
          <w:szCs w:val="28"/>
          <w:lang w:val="en-US"/>
        </w:rPr>
        <w:t>-</w:t>
      </w:r>
      <w:r w:rsidR="00C514FE" w:rsidRPr="00625A76">
        <w:rPr>
          <w:color w:val="000000" w:themeColor="text1"/>
          <w:sz w:val="28"/>
          <w:szCs w:val="28"/>
          <w:lang w:val="en-US"/>
        </w:rPr>
        <w:t>year survival rates in excess of 90</w:t>
      </w:r>
      <w:r w:rsidR="007E1300" w:rsidRPr="00625A76">
        <w:rPr>
          <w:color w:val="000000" w:themeColor="text1"/>
          <w:sz w:val="28"/>
          <w:szCs w:val="28"/>
          <w:lang w:val="en-US"/>
        </w:rPr>
        <w:t>%</w:t>
      </w:r>
      <w:r w:rsidR="00C514FE" w:rsidRPr="00625A76">
        <w:rPr>
          <w:color w:val="000000" w:themeColor="text1"/>
          <w:sz w:val="28"/>
          <w:szCs w:val="28"/>
          <w:lang w:val="en-US"/>
        </w:rPr>
        <w:t xml:space="preserve"> for </w:t>
      </w:r>
      <w:r w:rsidR="00133EAE" w:rsidRPr="00625A76">
        <w:rPr>
          <w:color w:val="000000" w:themeColor="text1"/>
          <w:sz w:val="28"/>
          <w:szCs w:val="28"/>
          <w:lang w:val="en-US"/>
        </w:rPr>
        <w:t>many patients</w:t>
      </w:r>
      <w:r w:rsidR="00C514FE" w:rsidRPr="00625A76">
        <w:rPr>
          <w:color w:val="000000" w:themeColor="text1"/>
          <w:sz w:val="28"/>
          <w:szCs w:val="28"/>
          <w:lang w:val="en-US"/>
        </w:rPr>
        <w:t xml:space="preserve">, </w:t>
      </w:r>
      <w:r w:rsidR="00BD6A01" w:rsidRPr="00625A76">
        <w:rPr>
          <w:color w:val="000000" w:themeColor="text1"/>
          <w:sz w:val="28"/>
          <w:szCs w:val="28"/>
          <w:lang w:val="en-US"/>
        </w:rPr>
        <w:t xml:space="preserve">such as </w:t>
      </w:r>
      <w:r w:rsidR="00133EAE" w:rsidRPr="00625A76">
        <w:rPr>
          <w:color w:val="000000" w:themeColor="text1"/>
          <w:sz w:val="28"/>
          <w:szCs w:val="28"/>
          <w:lang w:val="en-US"/>
        </w:rPr>
        <w:t>those with</w:t>
      </w:r>
      <w:r w:rsidR="00C514FE" w:rsidRPr="00625A76">
        <w:rPr>
          <w:color w:val="000000" w:themeColor="text1"/>
          <w:sz w:val="28"/>
          <w:szCs w:val="28"/>
          <w:lang w:val="en-US"/>
        </w:rPr>
        <w:t xml:space="preserve"> HER2</w:t>
      </w:r>
      <w:r w:rsidR="00C253C7" w:rsidRPr="00625A76">
        <w:rPr>
          <w:color w:val="000000" w:themeColor="text1"/>
          <w:sz w:val="28"/>
          <w:szCs w:val="28"/>
          <w:lang w:val="en-US"/>
        </w:rPr>
        <w:t>-</w:t>
      </w:r>
      <w:r w:rsidR="00C514FE" w:rsidRPr="00625A76">
        <w:rPr>
          <w:color w:val="000000" w:themeColor="text1"/>
          <w:sz w:val="28"/>
          <w:szCs w:val="28"/>
          <w:lang w:val="en-US"/>
        </w:rPr>
        <w:t xml:space="preserve">positive breast cancer. Earlier diagnosis and improved loco-regional treatment modalities – e.g. surgery with or without radiotherapy – </w:t>
      </w:r>
      <w:r w:rsidR="00FE0CD1" w:rsidRPr="00625A76">
        <w:rPr>
          <w:color w:val="000000" w:themeColor="text1"/>
          <w:sz w:val="28"/>
          <w:szCs w:val="28"/>
          <w:lang w:val="en-US"/>
        </w:rPr>
        <w:t xml:space="preserve">have also been pivotal in the </w:t>
      </w:r>
      <w:r w:rsidR="00C514FE" w:rsidRPr="00625A76">
        <w:rPr>
          <w:color w:val="000000" w:themeColor="text1"/>
          <w:sz w:val="28"/>
          <w:szCs w:val="28"/>
          <w:lang w:val="en-US"/>
        </w:rPr>
        <w:t>“race for cur</w:t>
      </w:r>
      <w:r w:rsidR="00FF545F" w:rsidRPr="00625A76">
        <w:rPr>
          <w:color w:val="000000" w:themeColor="text1"/>
          <w:sz w:val="28"/>
          <w:szCs w:val="28"/>
          <w:lang w:val="en-US"/>
        </w:rPr>
        <w:t>ing cancer</w:t>
      </w:r>
      <w:r w:rsidR="00C514FE" w:rsidRPr="00625A76">
        <w:rPr>
          <w:color w:val="000000" w:themeColor="text1"/>
          <w:sz w:val="28"/>
          <w:szCs w:val="28"/>
          <w:lang w:val="en-US"/>
        </w:rPr>
        <w:t>”.</w:t>
      </w:r>
    </w:p>
    <w:p w14:paraId="6882DD83" w14:textId="6E7ABA5E" w:rsidR="00C514FE" w:rsidRPr="00625A76" w:rsidRDefault="00C514FE" w:rsidP="00EF4539">
      <w:pPr>
        <w:jc w:val="both"/>
        <w:rPr>
          <w:color w:val="000000" w:themeColor="text1"/>
          <w:sz w:val="28"/>
          <w:szCs w:val="28"/>
          <w:lang w:val="en-US"/>
        </w:rPr>
      </w:pPr>
      <w:r w:rsidRPr="00625A76">
        <w:rPr>
          <w:color w:val="000000" w:themeColor="text1"/>
          <w:sz w:val="28"/>
          <w:szCs w:val="28"/>
          <w:lang w:val="en-US"/>
        </w:rPr>
        <w:t xml:space="preserve">While oncologists are proud of </w:t>
      </w:r>
      <w:r w:rsidR="00FA2AF0" w:rsidRPr="00625A76">
        <w:rPr>
          <w:color w:val="000000" w:themeColor="text1"/>
          <w:sz w:val="28"/>
          <w:szCs w:val="28"/>
          <w:lang w:val="en-US"/>
        </w:rPr>
        <w:t>the high rates of cure as a result of systemic therapy trials</w:t>
      </w:r>
      <w:r w:rsidRPr="00625A76">
        <w:rPr>
          <w:color w:val="000000" w:themeColor="text1"/>
          <w:sz w:val="28"/>
          <w:szCs w:val="28"/>
          <w:lang w:val="en-US"/>
        </w:rPr>
        <w:t>, they have become aware of its limitations</w:t>
      </w:r>
      <w:r w:rsidR="00BB3CA1" w:rsidRPr="00625A76">
        <w:rPr>
          <w:color w:val="000000" w:themeColor="text1"/>
          <w:sz w:val="28"/>
          <w:szCs w:val="28"/>
          <w:lang w:val="en-US"/>
        </w:rPr>
        <w:t>:</w:t>
      </w:r>
      <w:r w:rsidRPr="00625A76">
        <w:rPr>
          <w:color w:val="000000" w:themeColor="text1"/>
          <w:sz w:val="28"/>
          <w:szCs w:val="28"/>
          <w:lang w:val="en-US"/>
        </w:rPr>
        <w:t xml:space="preserve"> overtreatment of patients already cured by loco-regional therapy, </w:t>
      </w:r>
      <w:r w:rsidR="00AB1907" w:rsidRPr="00625A76">
        <w:rPr>
          <w:color w:val="000000" w:themeColor="text1"/>
          <w:sz w:val="28"/>
          <w:szCs w:val="28"/>
          <w:lang w:val="en-US"/>
        </w:rPr>
        <w:t xml:space="preserve">short-term toxicities, </w:t>
      </w:r>
      <w:r w:rsidRPr="00625A76">
        <w:rPr>
          <w:color w:val="000000" w:themeColor="text1"/>
          <w:sz w:val="28"/>
          <w:szCs w:val="28"/>
          <w:lang w:val="en-US"/>
        </w:rPr>
        <w:t xml:space="preserve">emergence of chronic, long-term and sometimes life-threatening side effects and financial toxicity. Following the example of pediatric oncologists, who have been pioneers in careful treatment de-escalation for highly curable </w:t>
      </w:r>
      <w:r w:rsidR="00D05E9A" w:rsidRPr="00625A76">
        <w:rPr>
          <w:color w:val="000000" w:themeColor="text1"/>
          <w:sz w:val="28"/>
          <w:szCs w:val="28"/>
          <w:lang w:val="en-US"/>
        </w:rPr>
        <w:t>childhood</w:t>
      </w:r>
      <w:r w:rsidR="001B6055" w:rsidRPr="00625A76">
        <w:rPr>
          <w:color w:val="000000" w:themeColor="text1"/>
          <w:sz w:val="28"/>
          <w:szCs w:val="28"/>
          <w:lang w:val="en-US"/>
        </w:rPr>
        <w:t xml:space="preserve"> </w:t>
      </w:r>
      <w:r w:rsidRPr="00625A76">
        <w:rPr>
          <w:color w:val="000000" w:themeColor="text1"/>
          <w:sz w:val="28"/>
          <w:szCs w:val="28"/>
          <w:lang w:val="en-US"/>
        </w:rPr>
        <w:t>malignancies</w:t>
      </w:r>
      <w:r w:rsidR="001B6055" w:rsidRPr="00625A76">
        <w:rPr>
          <w:color w:val="000000" w:themeColor="text1"/>
          <w:sz w:val="28"/>
          <w:szCs w:val="28"/>
          <w:lang w:val="en-US"/>
        </w:rPr>
        <w:fldChar w:fldCharType="begin" w:fldLock="1"/>
      </w:r>
      <w:r w:rsidR="00D66EF0" w:rsidRPr="00625A76">
        <w:rPr>
          <w:color w:val="000000" w:themeColor="text1"/>
          <w:sz w:val="28"/>
          <w:szCs w:val="28"/>
          <w:lang w:val="en-US"/>
        </w:rPr>
        <w:instrText>ADDIN CSL_CITATION {"citationItems":[{"id":"ITEM-1","itemData":{"DOI":"10.1200/JCO.19.00919","ISSN":"1527-7755","PMID":"31386611","abstract":"PURPOSE The primary objective of the Children's Oncology Group study ANBL0531 (ClinicalTrials.gov identifier: NCT00499616) was to reduce therapy for subsets of patients with intermediate-risk neuroblastoma using a biology- and response-based algorithm to assign treatment duration while maintaining a 3-year overall survival (OS) of 95% or more for the entire cohort. PATIENTS AND METHODS Children younger than age 12 years with intermediate-risk stage 2A/2B or stage 3 tumors with favorable histology; infants younger than age 365 days with stage 3, 4 or 4S disease; and toddlers from 365 to younger than 547 days with favorable histology, hyperdiploid stage 4, or unfavorable histology stage 3 tumors were eligible. Patients with MYCN-amplified tumors were excluded. Patients were assigned to initially receive two (group 2), four (group 3), or eight (group 4) cycles of chemotherapy with or without surgery on the basis of prognostic markers, including allelic status of chromosomes 1p and 11q; ultimate duration of therapy was determined by overall response. RESULTS Between 2007 and 2011, 404 evaluable patients were enrolled. Compared with legacy Children's Oncology Group studies, subsets of patients had a reduction in treatment. The 3-year event-free survival and OS rates were 83.2% (95% CI, 79.4% to 87.0%) and 94.9% (95% CI, 92.7% to 97.2%), respectively. Infants with stage 4 tumors with favorable biology (n = 61) had superior 3-year event-free survival compared with patients with one or more unfavorable biologic features (n = 47; 86.9% [95% CI, 78.3% to 95.4%] v 66.8% [95% CI, 53.1% to 80.6%]; P = .02), with a trend toward OS advantage (95.0% [95% CI, 89.5% to 100%] v 86.7% [95% CI, 76.6% to 96.7%], respectively; P = .08). OS for patients with localized disease was 100%. CONCLUSION Excellent survival was achieved with this treatment algorithm, with reduction of therapy for subsets of patients. More-effective treatment strategies still are needed for infants with unfavorable biology stage 4 disease.","author":[{"dropping-particle":"","family":"Twist","given":"Clare J","non-dropping-particle":"","parse-names":false,"suffix":""},{"dropping-particle":"Lou","family":"Schmidt","given":"Mary","non-dropping-particle":"","parse-names":false,"suffix":""},{"dropping-particle":"","family":"Naranjo","given":"Arlene","non-dropping-particle":"","parse-names":false,"suffix":""},{"dropping-particle":"","family":"London","given":"Wendy B","non-dropping-particle":"","parse-names":false,"suffix":""},{"dropping-particle":"","family":"Tenney","given":"Sheena C","non-dropping-particle":"","parse-names":false,"suffix":""},{"dropping-particle":"","family":"Marachelian","given":"Araz","non-dropping-particle":"","parse-names":false,"suffix":""},{"dropping-particle":"","family":"Shimada","given":"Hiroyuki","non-dropping-particle":"","parse-names":false,"suffix":""},{"dropping-particle":"","family":"Collins","given":"Margaret H","non-dropping-particle":"","parse-names":false,"suffix":""},{"dropping-particle":"","family":"Esiashvili","given":"Natia","non-dropping-particle":"","parse-names":false,"suffix":""},{"dropping-particle":"","family":"Adkins","given":"E Stanton","non-dropping-particle":"","parse-names":false,"suffix":""},{"dropping-particle":"","family":"Mattei","given":"Peter","non-dropping-particle":"","parse-names":false,"suffix":""},{"dropping-particle":"","family":"Handler","given":"Michael","non-dropping-particle":"","parse-names":false,"suffix":""},{"dropping-particle":"","family":"Katzenstein","given":"Howard","non-dropping-particle":"","parse-names":false,"suffix":""},{"dropping-particle":"","family":"Attiyeh","given":"Edward","non-dropping-particle":"","parse-names":false,"suffix":""},{"dropping-particle":"","family":"Hogarty","given":"Michael D","non-dropping-particle":"","parse-names":false,"suffix":""},{"dropping-particle":"","family":"Gastier-Foster","given":"Julie","non-dropping-particle":"","parse-names":false,"suffix":""},{"dropping-particle":"","family":"Wagner","given":"Elizabeth","non-dropping-particle":"","parse-names":false,"suffix":""},{"dropping-particle":"","family":"Matthay","given":"Katherine K","non-dropping-particle":"","parse-names":false,"suffix":""},{"dropping-particle":"","family":"Park","given":"Julie R","non-dropping-particle":"","parse-names":false,"suffix":""},{"dropping-particle":"","family":"Maris","given":"John M","non-dropping-particle":"","parse-names":false,"suffix":""},{"dropping-particle":"","family":"Cohn","given":"Susan L","non-dropping-particle":"","parse-names":false,"suffix":""}],"container-title":"Journal of clinical oncology : official journal of the American Society of Clinical Oncology","id":"ITEM-1","issue":"34","issued":{"date-parts":[["2019","12","1"]]},"page":"3243-3255","title":"Maintaining Outstanding Outcomes Using Response- and Biology-Based Therapy for Intermediate-Risk Neuroblastoma: A Report From the Children's Oncology Group Study ANBL0531.","type":"article-journal","volume":"37"},"uris":["http://www.mendeley.com/documents/?uuid=75ccfd93-da7e-3b06-81f1-849823ca29c1"]},{"id":"ITEM-2","itemData":{"DOI":"10.1007/s00441-018-2821-2","ISSN":"14320878","abstract":"Neuroblastoma is the most common extra-cranial solid tumor of childhood and the most common in the first year of life. It is a unique malignancy in that infants often present with either localized or metastatic disease that can spontaneously regress without intervention while older children can succumb to the disease after months to years of arduous therapy. Given this wide range of outcomes, the International Neuroblastoma Risk Group was created to stratify patients based on presenting characteristics and tumor biology in order to guide intensity of treatment strategies. The goal has been to decrease therapy for low-risk patients to avoid long-term complications while augmenting and targeting therapies for high-risk patients to improve overall survival. The international risk stratification depends on age, stage, histology, MYCN gene amplification status, tumor cell ploidy and segmental chromosomal abnormalities. Treatment for asymptomatic low-risk patients with an estimated survival of &gt; 98% is often observation or surgical resection alone, whereas intermediate-risk patients with an estimated survival of &gt; 90% require moderate doses of response-adjusted chemotherapy along with resection. High-risk patients undergo multiple cycles of combination chemotherapy before surgery, followed by consolidation with myeloablative autologous hematopoietic stem cell transplantation and local radiation and finally immunotherapy with differentiation therapy as maintenance phase. With this approach, outcome for patients with neuroblastoma has improved, as the field continues to expand efforts in more targeted therapies for high-risk patients.","author":[{"dropping-particle":"","family":"Tolbert","given":"Vanessa P.","non-dropping-particle":"","parse-names":false,"suffix":""},{"dropping-particle":"","family":"Matthay","given":"Katherine K.","non-dropping-particle":"","parse-names":false,"suffix":""}],"container-title":"Cell and Tissue Research","id":"ITEM-2","issue":"2","issued":{"date-parts":[["2018","5","1"]]},"page":"195-209","publisher":"Springer Verlag","title":"Neuroblastoma: clinical and biological approach to risk stratification and treatment","type":"article","volume":"372"},"uris":["http://www.mendeley.com/documents/?uuid=d043a8d7-6d46-3da6-98c0-b0cb3b45be9c"]}],"mendeley":{"formattedCitation":"&lt;sup&gt;1,2&lt;/sup&gt;","plainTextFormattedCitation":"1,2","previouslyFormattedCitation":"&lt;sup&gt;1,2&lt;/sup&gt;"},"properties":{"noteIndex":0},"schema":"https://github.com/citation-style-language/schema/raw/master/csl-citation.json"}</w:instrText>
      </w:r>
      <w:r w:rsidR="001B6055" w:rsidRPr="00625A76">
        <w:rPr>
          <w:color w:val="000000" w:themeColor="text1"/>
          <w:sz w:val="28"/>
          <w:szCs w:val="28"/>
          <w:lang w:val="en-US"/>
        </w:rPr>
        <w:fldChar w:fldCharType="separate"/>
      </w:r>
      <w:r w:rsidR="001B6055" w:rsidRPr="00625A76">
        <w:rPr>
          <w:noProof/>
          <w:color w:val="000000" w:themeColor="text1"/>
          <w:sz w:val="28"/>
          <w:szCs w:val="28"/>
          <w:vertAlign w:val="superscript"/>
          <w:lang w:val="en-US"/>
        </w:rPr>
        <w:t>1,2</w:t>
      </w:r>
      <w:r w:rsidR="001B6055" w:rsidRPr="00625A76">
        <w:rPr>
          <w:color w:val="000000" w:themeColor="text1"/>
          <w:sz w:val="28"/>
          <w:szCs w:val="28"/>
          <w:lang w:val="en-US"/>
        </w:rPr>
        <w:fldChar w:fldCharType="end"/>
      </w:r>
      <w:r w:rsidRPr="00625A76">
        <w:rPr>
          <w:color w:val="000000" w:themeColor="text1"/>
          <w:sz w:val="28"/>
          <w:szCs w:val="28"/>
          <w:lang w:val="en-US"/>
        </w:rPr>
        <w:t>, oncologists treating adult tumors</w:t>
      </w:r>
      <w:r w:rsidR="00C253C7" w:rsidRPr="00625A76">
        <w:rPr>
          <w:color w:val="000000" w:themeColor="text1"/>
          <w:sz w:val="28"/>
          <w:szCs w:val="28"/>
          <w:lang w:val="en-US"/>
        </w:rPr>
        <w:t xml:space="preserve">, </w:t>
      </w:r>
      <w:r w:rsidRPr="00625A76">
        <w:rPr>
          <w:color w:val="000000" w:themeColor="text1"/>
          <w:sz w:val="28"/>
          <w:szCs w:val="28"/>
          <w:lang w:val="en-US"/>
        </w:rPr>
        <w:t>in particular breast cancer</w:t>
      </w:r>
      <w:r w:rsidR="00C253C7" w:rsidRPr="00625A76">
        <w:rPr>
          <w:color w:val="000000" w:themeColor="text1"/>
          <w:sz w:val="28"/>
          <w:szCs w:val="28"/>
          <w:lang w:val="en-US"/>
        </w:rPr>
        <w:t xml:space="preserve">, </w:t>
      </w:r>
      <w:r w:rsidRPr="00625A76">
        <w:rPr>
          <w:color w:val="000000" w:themeColor="text1"/>
          <w:sz w:val="28"/>
          <w:szCs w:val="28"/>
          <w:lang w:val="en-US"/>
        </w:rPr>
        <w:t>are no</w:t>
      </w:r>
      <w:r w:rsidR="001B6055" w:rsidRPr="00625A76">
        <w:rPr>
          <w:color w:val="000000" w:themeColor="text1"/>
          <w:sz w:val="28"/>
          <w:szCs w:val="28"/>
          <w:lang w:val="en-US"/>
        </w:rPr>
        <w:t>w</w:t>
      </w:r>
      <w:r w:rsidRPr="00625A76">
        <w:rPr>
          <w:color w:val="000000" w:themeColor="text1"/>
          <w:sz w:val="28"/>
          <w:szCs w:val="28"/>
          <w:lang w:val="en-US"/>
        </w:rPr>
        <w:t xml:space="preserve"> explor</w:t>
      </w:r>
      <w:r w:rsidR="001B6055" w:rsidRPr="00625A76">
        <w:rPr>
          <w:color w:val="000000" w:themeColor="text1"/>
          <w:sz w:val="28"/>
          <w:szCs w:val="28"/>
          <w:lang w:val="en-US"/>
        </w:rPr>
        <w:t>ing</w:t>
      </w:r>
      <w:r w:rsidRPr="00625A76">
        <w:rPr>
          <w:color w:val="000000" w:themeColor="text1"/>
          <w:sz w:val="28"/>
          <w:szCs w:val="28"/>
          <w:lang w:val="en-US"/>
        </w:rPr>
        <w:t xml:space="preserve"> </w:t>
      </w:r>
      <w:r w:rsidR="001B6055" w:rsidRPr="00625A76">
        <w:rPr>
          <w:color w:val="000000" w:themeColor="text1"/>
          <w:sz w:val="28"/>
          <w:szCs w:val="28"/>
          <w:lang w:val="en-US"/>
        </w:rPr>
        <w:t>safer</w:t>
      </w:r>
      <w:r w:rsidRPr="00625A76">
        <w:rPr>
          <w:color w:val="000000" w:themeColor="text1"/>
          <w:sz w:val="28"/>
          <w:szCs w:val="28"/>
          <w:lang w:val="en-US"/>
        </w:rPr>
        <w:t xml:space="preserve"> or</w:t>
      </w:r>
      <w:r w:rsidR="00FE0CD1" w:rsidRPr="00625A76">
        <w:rPr>
          <w:color w:val="000000" w:themeColor="text1"/>
          <w:sz w:val="28"/>
          <w:szCs w:val="28"/>
          <w:lang w:val="en-US"/>
        </w:rPr>
        <w:t xml:space="preserve"> shorter</w:t>
      </w:r>
      <w:r w:rsidRPr="00625A76">
        <w:rPr>
          <w:color w:val="000000" w:themeColor="text1"/>
          <w:sz w:val="28"/>
          <w:szCs w:val="28"/>
          <w:lang w:val="en-US"/>
        </w:rPr>
        <w:t xml:space="preserve"> drug regimens with the hope of </w:t>
      </w:r>
      <w:r w:rsidR="00FA2AF0" w:rsidRPr="00625A76">
        <w:rPr>
          <w:color w:val="000000" w:themeColor="text1"/>
          <w:sz w:val="28"/>
          <w:szCs w:val="28"/>
          <w:lang w:val="en-US"/>
        </w:rPr>
        <w:t xml:space="preserve">little or </w:t>
      </w:r>
      <w:r w:rsidR="00D05E9A" w:rsidRPr="00625A76">
        <w:rPr>
          <w:color w:val="000000" w:themeColor="text1"/>
          <w:sz w:val="28"/>
          <w:szCs w:val="28"/>
          <w:lang w:val="en-US"/>
        </w:rPr>
        <w:t xml:space="preserve">no </w:t>
      </w:r>
      <w:r w:rsidRPr="00625A76">
        <w:rPr>
          <w:color w:val="000000" w:themeColor="text1"/>
          <w:sz w:val="28"/>
          <w:szCs w:val="28"/>
          <w:lang w:val="en-US"/>
        </w:rPr>
        <w:t xml:space="preserve">loss in rates of long term survival </w:t>
      </w:r>
      <w:r w:rsidR="001B6055" w:rsidRPr="00625A76">
        <w:rPr>
          <w:color w:val="000000" w:themeColor="text1"/>
          <w:sz w:val="28"/>
          <w:szCs w:val="28"/>
          <w:lang w:val="en-US"/>
        </w:rPr>
        <w:t>with</w:t>
      </w:r>
      <w:r w:rsidRPr="00625A76">
        <w:rPr>
          <w:color w:val="000000" w:themeColor="text1"/>
          <w:sz w:val="28"/>
          <w:szCs w:val="28"/>
          <w:lang w:val="en-US"/>
        </w:rPr>
        <w:t xml:space="preserve"> gains </w:t>
      </w:r>
      <w:r w:rsidR="00B72975" w:rsidRPr="00625A76">
        <w:rPr>
          <w:color w:val="000000" w:themeColor="text1"/>
          <w:sz w:val="28"/>
          <w:szCs w:val="28"/>
          <w:lang w:val="en-US"/>
        </w:rPr>
        <w:t>i</w:t>
      </w:r>
      <w:r w:rsidRPr="00625A76">
        <w:rPr>
          <w:color w:val="000000" w:themeColor="text1"/>
          <w:sz w:val="28"/>
          <w:szCs w:val="28"/>
          <w:lang w:val="en-US"/>
        </w:rPr>
        <w:t>n quality of life.</w:t>
      </w:r>
    </w:p>
    <w:p w14:paraId="58E90C8D" w14:textId="3AD2BC7E" w:rsidR="00BC4513" w:rsidRPr="00625A76" w:rsidRDefault="00D76BC4" w:rsidP="00EF4539">
      <w:pPr>
        <w:jc w:val="both"/>
        <w:rPr>
          <w:color w:val="000000" w:themeColor="text1"/>
          <w:sz w:val="28"/>
          <w:szCs w:val="28"/>
          <w:lang w:val="en-US"/>
        </w:rPr>
      </w:pPr>
      <w:r w:rsidRPr="00625A76">
        <w:rPr>
          <w:color w:val="000000" w:themeColor="text1"/>
          <w:sz w:val="28"/>
          <w:szCs w:val="28"/>
          <w:lang w:val="en-US"/>
        </w:rPr>
        <w:t xml:space="preserve">The rapid growth in the </w:t>
      </w:r>
      <w:r w:rsidR="00C514FE" w:rsidRPr="00625A76">
        <w:rPr>
          <w:color w:val="000000" w:themeColor="text1"/>
          <w:sz w:val="28"/>
          <w:szCs w:val="28"/>
          <w:lang w:val="en-US"/>
        </w:rPr>
        <w:t>number of drug de-escalation trials in the early disease setting ha</w:t>
      </w:r>
      <w:r w:rsidRPr="00625A76">
        <w:rPr>
          <w:color w:val="000000" w:themeColor="text1"/>
          <w:sz w:val="28"/>
          <w:szCs w:val="28"/>
          <w:lang w:val="en-US"/>
        </w:rPr>
        <w:t>s</w:t>
      </w:r>
      <w:r w:rsidR="00C514FE" w:rsidRPr="00625A76">
        <w:rPr>
          <w:color w:val="000000" w:themeColor="text1"/>
          <w:sz w:val="28"/>
          <w:szCs w:val="28"/>
          <w:lang w:val="en-US"/>
        </w:rPr>
        <w:t xml:space="preserve"> not </w:t>
      </w:r>
      <w:r w:rsidR="007E1300" w:rsidRPr="00625A76">
        <w:rPr>
          <w:color w:val="000000" w:themeColor="text1"/>
          <w:sz w:val="28"/>
          <w:szCs w:val="28"/>
          <w:lang w:val="en-US"/>
        </w:rPr>
        <w:t xml:space="preserve">always </w:t>
      </w:r>
      <w:r w:rsidR="00C514FE" w:rsidRPr="00625A76">
        <w:rPr>
          <w:color w:val="000000" w:themeColor="text1"/>
          <w:sz w:val="28"/>
          <w:szCs w:val="28"/>
          <w:lang w:val="en-US"/>
        </w:rPr>
        <w:t xml:space="preserve">been accompanied by in depth consultation with patients, </w:t>
      </w:r>
      <w:r w:rsidR="007E1300" w:rsidRPr="00625A76">
        <w:rPr>
          <w:color w:val="000000" w:themeColor="text1"/>
          <w:sz w:val="28"/>
          <w:szCs w:val="28"/>
          <w:lang w:val="en-US"/>
        </w:rPr>
        <w:lastRenderedPageBreak/>
        <w:t xml:space="preserve">or </w:t>
      </w:r>
      <w:r w:rsidR="00C514FE" w:rsidRPr="00625A76">
        <w:rPr>
          <w:color w:val="000000" w:themeColor="text1"/>
          <w:sz w:val="28"/>
          <w:szCs w:val="28"/>
          <w:lang w:val="en-US"/>
        </w:rPr>
        <w:t>statisticians</w:t>
      </w:r>
      <w:r w:rsidR="009C7C53" w:rsidRPr="00625A76">
        <w:rPr>
          <w:color w:val="000000" w:themeColor="text1"/>
          <w:sz w:val="28"/>
          <w:szCs w:val="28"/>
          <w:lang w:val="en-US"/>
        </w:rPr>
        <w:t>. As a consequence, trial results have often been left with</w:t>
      </w:r>
      <w:r w:rsidR="00BC4513" w:rsidRPr="00625A76">
        <w:rPr>
          <w:color w:val="000000" w:themeColor="text1"/>
          <w:sz w:val="28"/>
          <w:szCs w:val="28"/>
          <w:lang w:val="en-US"/>
        </w:rPr>
        <w:t xml:space="preserve"> a </w:t>
      </w:r>
      <w:r w:rsidR="009F34DB" w:rsidRPr="00625A76">
        <w:rPr>
          <w:color w:val="000000" w:themeColor="text1"/>
          <w:sz w:val="28"/>
          <w:szCs w:val="28"/>
          <w:lang w:val="en-US"/>
        </w:rPr>
        <w:t>worrisome</w:t>
      </w:r>
      <w:r w:rsidR="00BC4513" w:rsidRPr="00625A76">
        <w:rPr>
          <w:color w:val="000000" w:themeColor="text1"/>
          <w:sz w:val="28"/>
          <w:szCs w:val="28"/>
          <w:lang w:val="en-US"/>
        </w:rPr>
        <w:t xml:space="preserve"> heterogeneity in designs and hypotheses.</w:t>
      </w:r>
      <w:r w:rsidR="009C7C53" w:rsidRPr="00625A76">
        <w:rPr>
          <w:color w:val="000000" w:themeColor="text1"/>
          <w:sz w:val="28"/>
          <w:szCs w:val="28"/>
          <w:lang w:val="en-US"/>
        </w:rPr>
        <w:t xml:space="preserve"> </w:t>
      </w:r>
      <w:r w:rsidR="00BC4513" w:rsidRPr="00625A76">
        <w:rPr>
          <w:color w:val="000000" w:themeColor="text1"/>
          <w:sz w:val="28"/>
          <w:szCs w:val="28"/>
          <w:lang w:val="en-US"/>
        </w:rPr>
        <w:t xml:space="preserve">Another </w:t>
      </w:r>
      <w:r w:rsidR="001B6055" w:rsidRPr="00625A76">
        <w:rPr>
          <w:color w:val="000000" w:themeColor="text1"/>
          <w:sz w:val="28"/>
          <w:szCs w:val="28"/>
          <w:lang w:val="en-US"/>
        </w:rPr>
        <w:t>concern is</w:t>
      </w:r>
      <w:r w:rsidR="00BC4513" w:rsidRPr="00625A76">
        <w:rPr>
          <w:color w:val="000000" w:themeColor="text1"/>
          <w:sz w:val="28"/>
          <w:szCs w:val="28"/>
          <w:lang w:val="en-US"/>
        </w:rPr>
        <w:t xml:space="preserve"> </w:t>
      </w:r>
      <w:r w:rsidR="001B6055" w:rsidRPr="00625A76">
        <w:rPr>
          <w:color w:val="000000" w:themeColor="text1"/>
          <w:sz w:val="28"/>
          <w:szCs w:val="28"/>
          <w:lang w:val="en-US"/>
        </w:rPr>
        <w:t>the</w:t>
      </w:r>
      <w:r w:rsidR="00BC4513" w:rsidRPr="00625A76">
        <w:rPr>
          <w:color w:val="000000" w:themeColor="text1"/>
          <w:sz w:val="28"/>
          <w:szCs w:val="28"/>
          <w:lang w:val="en-US"/>
        </w:rPr>
        <w:t xml:space="preserve"> under-funding of some of these trials – given the lack of interest f</w:t>
      </w:r>
      <w:r w:rsidR="001B6055" w:rsidRPr="00625A76">
        <w:rPr>
          <w:color w:val="000000" w:themeColor="text1"/>
          <w:sz w:val="28"/>
          <w:szCs w:val="28"/>
          <w:lang w:val="en-US"/>
        </w:rPr>
        <w:t>rom</w:t>
      </w:r>
      <w:r w:rsidR="00BC4513" w:rsidRPr="00625A76">
        <w:rPr>
          <w:color w:val="000000" w:themeColor="text1"/>
          <w:sz w:val="28"/>
          <w:szCs w:val="28"/>
          <w:lang w:val="en-US"/>
        </w:rPr>
        <w:t xml:space="preserve"> the pharmaceutical industry – leading to in</w:t>
      </w:r>
      <w:r w:rsidR="00D755F6" w:rsidRPr="00625A76">
        <w:rPr>
          <w:color w:val="000000" w:themeColor="text1"/>
          <w:sz w:val="28"/>
          <w:szCs w:val="28"/>
          <w:lang w:val="en-US"/>
        </w:rPr>
        <w:t>adequate</w:t>
      </w:r>
      <w:r w:rsidR="00BC4513" w:rsidRPr="00625A76">
        <w:rPr>
          <w:color w:val="000000" w:themeColor="text1"/>
          <w:sz w:val="28"/>
          <w:szCs w:val="28"/>
          <w:lang w:val="en-US"/>
        </w:rPr>
        <w:t xml:space="preserve"> sample sizes and, consequently, </w:t>
      </w:r>
      <w:r w:rsidR="00BB3CA1" w:rsidRPr="00625A76">
        <w:rPr>
          <w:color w:val="000000" w:themeColor="text1"/>
          <w:sz w:val="28"/>
          <w:szCs w:val="28"/>
          <w:lang w:val="en-US"/>
        </w:rPr>
        <w:t>insufficient</w:t>
      </w:r>
      <w:r w:rsidR="00BC4513" w:rsidRPr="00625A76">
        <w:rPr>
          <w:color w:val="000000" w:themeColor="text1"/>
          <w:sz w:val="28"/>
          <w:szCs w:val="28"/>
          <w:lang w:val="en-US"/>
        </w:rPr>
        <w:t xml:space="preserve"> statistical power for a “robust” practice-changing result.</w:t>
      </w:r>
    </w:p>
    <w:p w14:paraId="7F93697E" w14:textId="1D98C22B" w:rsidR="00BC4513" w:rsidRPr="00625A76" w:rsidRDefault="00BC4513" w:rsidP="00BD6A01">
      <w:pPr>
        <w:jc w:val="both"/>
        <w:rPr>
          <w:color w:val="000000" w:themeColor="text1"/>
          <w:sz w:val="28"/>
          <w:szCs w:val="28"/>
          <w:lang w:val="en-US"/>
        </w:rPr>
      </w:pPr>
      <w:r w:rsidRPr="00625A76">
        <w:rPr>
          <w:color w:val="000000" w:themeColor="text1"/>
          <w:sz w:val="28"/>
          <w:szCs w:val="28"/>
          <w:lang w:val="en-US"/>
        </w:rPr>
        <w:t>For all th</w:t>
      </w:r>
      <w:r w:rsidR="007E1300" w:rsidRPr="00625A76">
        <w:rPr>
          <w:color w:val="000000" w:themeColor="text1"/>
          <w:sz w:val="28"/>
          <w:szCs w:val="28"/>
          <w:lang w:val="en-US"/>
        </w:rPr>
        <w:t>ese</w:t>
      </w:r>
      <w:r w:rsidRPr="00625A76">
        <w:rPr>
          <w:color w:val="000000" w:themeColor="text1"/>
          <w:sz w:val="28"/>
          <w:szCs w:val="28"/>
          <w:lang w:val="en-US"/>
        </w:rPr>
        <w:t xml:space="preserve"> reasons, </w:t>
      </w:r>
      <w:r w:rsidR="006776DB" w:rsidRPr="00625A76">
        <w:rPr>
          <w:color w:val="000000" w:themeColor="text1"/>
          <w:sz w:val="28"/>
          <w:szCs w:val="28"/>
          <w:lang w:val="en-US"/>
        </w:rPr>
        <w:t>academic investigators and experts in clinical trial design</w:t>
      </w:r>
      <w:r w:rsidRPr="00625A76">
        <w:rPr>
          <w:color w:val="000000" w:themeColor="text1"/>
          <w:sz w:val="28"/>
          <w:szCs w:val="28"/>
          <w:lang w:val="en-US"/>
        </w:rPr>
        <w:t xml:space="preserve"> from </w:t>
      </w:r>
      <w:r w:rsidR="00200032" w:rsidRPr="00625A76">
        <w:rPr>
          <w:color w:val="000000" w:themeColor="text1"/>
          <w:sz w:val="28"/>
          <w:szCs w:val="28"/>
          <w:lang w:val="en-US"/>
        </w:rPr>
        <w:t xml:space="preserve">BIG and </w:t>
      </w:r>
      <w:r w:rsidR="001B6055" w:rsidRPr="00625A76">
        <w:rPr>
          <w:color w:val="000000" w:themeColor="text1"/>
          <w:sz w:val="28"/>
          <w:szCs w:val="28"/>
          <w:lang w:val="en-US"/>
        </w:rPr>
        <w:t>NABCG</w:t>
      </w:r>
      <w:r w:rsidR="00200032" w:rsidRPr="00625A76">
        <w:rPr>
          <w:color w:val="000000" w:themeColor="text1"/>
          <w:sz w:val="28"/>
          <w:szCs w:val="28"/>
          <w:lang w:val="en-US"/>
        </w:rPr>
        <w:t xml:space="preserve"> </w:t>
      </w:r>
      <w:r w:rsidR="007E1300" w:rsidRPr="00625A76">
        <w:rPr>
          <w:color w:val="000000" w:themeColor="text1"/>
          <w:sz w:val="28"/>
          <w:szCs w:val="28"/>
          <w:lang w:val="en-US"/>
        </w:rPr>
        <w:t>w</w:t>
      </w:r>
      <w:r w:rsidR="00200032" w:rsidRPr="00625A76">
        <w:rPr>
          <w:color w:val="000000" w:themeColor="text1"/>
          <w:sz w:val="28"/>
          <w:szCs w:val="28"/>
          <w:lang w:val="en-US"/>
        </w:rPr>
        <w:t>hich</w:t>
      </w:r>
      <w:r w:rsidR="007E1300" w:rsidRPr="00625A76">
        <w:rPr>
          <w:color w:val="000000" w:themeColor="text1"/>
          <w:sz w:val="28"/>
          <w:szCs w:val="28"/>
          <w:lang w:val="en-US"/>
        </w:rPr>
        <w:t xml:space="preserve"> have been collaborating for more than a decad</w:t>
      </w:r>
      <w:r w:rsidR="00CB0D75" w:rsidRPr="00625A76">
        <w:rPr>
          <w:color w:val="000000" w:themeColor="text1"/>
          <w:sz w:val="28"/>
          <w:szCs w:val="28"/>
          <w:lang w:val="en-US"/>
        </w:rPr>
        <w:t xml:space="preserve">e </w:t>
      </w:r>
      <w:r w:rsidR="00236ECC" w:rsidRPr="00625A76">
        <w:rPr>
          <w:color w:val="000000" w:themeColor="text1"/>
          <w:sz w:val="28"/>
          <w:szCs w:val="28"/>
          <w:lang w:val="en-US"/>
        </w:rPr>
        <w:t>came together to develop</w:t>
      </w:r>
      <w:r w:rsidR="00236ECC" w:rsidRPr="00625A76" w:rsidDel="00236ECC">
        <w:rPr>
          <w:color w:val="000000" w:themeColor="text1"/>
          <w:sz w:val="28"/>
          <w:szCs w:val="28"/>
          <w:lang w:val="en-US"/>
        </w:rPr>
        <w:t xml:space="preserve"> </w:t>
      </w:r>
      <w:r w:rsidR="00CB0D75" w:rsidRPr="00625A76">
        <w:rPr>
          <w:color w:val="000000" w:themeColor="text1"/>
          <w:sz w:val="28"/>
          <w:szCs w:val="28"/>
          <w:lang w:val="en-US"/>
        </w:rPr>
        <w:t>a consensus</w:t>
      </w:r>
      <w:r w:rsidRPr="00625A76">
        <w:rPr>
          <w:color w:val="000000" w:themeColor="text1"/>
          <w:sz w:val="28"/>
          <w:szCs w:val="28"/>
          <w:lang w:val="en-US"/>
        </w:rPr>
        <w:t xml:space="preserve"> to 1) </w:t>
      </w:r>
      <w:r w:rsidR="00CB0D75" w:rsidRPr="00625A76">
        <w:rPr>
          <w:color w:val="000000" w:themeColor="text1"/>
          <w:sz w:val="28"/>
          <w:szCs w:val="28"/>
          <w:lang w:val="en-US"/>
        </w:rPr>
        <w:t xml:space="preserve">highlight </w:t>
      </w:r>
      <w:r w:rsidRPr="00625A76">
        <w:rPr>
          <w:color w:val="000000" w:themeColor="text1"/>
          <w:sz w:val="28"/>
          <w:szCs w:val="28"/>
          <w:lang w:val="en-US"/>
        </w:rPr>
        <w:t>le</w:t>
      </w:r>
      <w:r w:rsidR="00CB0D75" w:rsidRPr="00625A76">
        <w:rPr>
          <w:color w:val="000000" w:themeColor="text1"/>
          <w:sz w:val="28"/>
          <w:szCs w:val="28"/>
          <w:lang w:val="en-US"/>
        </w:rPr>
        <w:t>ssons from important trials on de-escalation</w:t>
      </w:r>
      <w:r w:rsidRPr="00625A76">
        <w:rPr>
          <w:color w:val="000000" w:themeColor="text1"/>
          <w:sz w:val="28"/>
          <w:szCs w:val="28"/>
          <w:lang w:val="en-US"/>
        </w:rPr>
        <w:t xml:space="preserve"> 2) build a road map for future drug de-escalation </w:t>
      </w:r>
      <w:r w:rsidR="00236ECC" w:rsidRPr="00625A76">
        <w:rPr>
          <w:color w:val="000000" w:themeColor="text1"/>
          <w:sz w:val="28"/>
          <w:szCs w:val="28"/>
          <w:lang w:val="en-US"/>
        </w:rPr>
        <w:t xml:space="preserve">studies </w:t>
      </w:r>
      <w:r w:rsidR="00083C5D" w:rsidRPr="00625A76">
        <w:rPr>
          <w:color w:val="000000" w:themeColor="text1"/>
          <w:sz w:val="28"/>
          <w:szCs w:val="28"/>
          <w:lang w:val="en-US"/>
        </w:rPr>
        <w:t xml:space="preserve">in the curative setting </w:t>
      </w:r>
      <w:r w:rsidR="00CB0D75" w:rsidRPr="00625A76">
        <w:rPr>
          <w:color w:val="000000" w:themeColor="text1"/>
          <w:sz w:val="28"/>
          <w:szCs w:val="28"/>
          <w:lang w:val="en-US"/>
        </w:rPr>
        <w:t xml:space="preserve">incorporating insights from our </w:t>
      </w:r>
      <w:r w:rsidR="00083C5D" w:rsidRPr="00625A76">
        <w:rPr>
          <w:color w:val="000000" w:themeColor="text1"/>
          <w:sz w:val="28"/>
          <w:szCs w:val="28"/>
          <w:lang w:val="en-US"/>
        </w:rPr>
        <w:t>patients</w:t>
      </w:r>
      <w:r w:rsidR="00CB0D75" w:rsidRPr="00625A76">
        <w:rPr>
          <w:color w:val="000000" w:themeColor="text1"/>
          <w:sz w:val="28"/>
          <w:szCs w:val="28"/>
          <w:lang w:val="en-US"/>
        </w:rPr>
        <w:t xml:space="preserve"> and expert statisticians</w:t>
      </w:r>
      <w:r w:rsidR="00083C5D" w:rsidRPr="00625A76">
        <w:rPr>
          <w:color w:val="000000" w:themeColor="text1"/>
          <w:sz w:val="28"/>
          <w:szCs w:val="28"/>
          <w:lang w:val="en-US"/>
        </w:rPr>
        <w:t>.</w:t>
      </w:r>
    </w:p>
    <w:p w14:paraId="0464798B" w14:textId="77777777" w:rsidR="00BC4513" w:rsidRPr="00625A76" w:rsidRDefault="00BC4513" w:rsidP="000D35D6">
      <w:pPr>
        <w:rPr>
          <w:color w:val="000000" w:themeColor="text1"/>
          <w:sz w:val="28"/>
          <w:szCs w:val="28"/>
          <w:lang w:val="en-US"/>
        </w:rPr>
      </w:pPr>
    </w:p>
    <w:p w14:paraId="1D9780CC" w14:textId="1BFEE825" w:rsidR="00BC4513" w:rsidRPr="00625A76" w:rsidRDefault="00BC4513" w:rsidP="00971496">
      <w:pPr>
        <w:pBdr>
          <w:top w:val="single" w:sz="4" w:space="1" w:color="auto"/>
          <w:left w:val="single" w:sz="4" w:space="4" w:color="auto"/>
          <w:bottom w:val="single" w:sz="4" w:space="1" w:color="auto"/>
          <w:right w:val="single" w:sz="4" w:space="4" w:color="auto"/>
        </w:pBdr>
        <w:rPr>
          <w:b/>
          <w:color w:val="000000" w:themeColor="text1"/>
          <w:sz w:val="32"/>
          <w:szCs w:val="32"/>
          <w:lang w:val="en-US"/>
        </w:rPr>
      </w:pPr>
      <w:r w:rsidRPr="00625A76">
        <w:rPr>
          <w:b/>
          <w:color w:val="000000" w:themeColor="text1"/>
          <w:sz w:val="32"/>
          <w:szCs w:val="32"/>
          <w:lang w:val="en-US"/>
        </w:rPr>
        <w:t>Lessons from past drug de-escalation trials in the adjuvant setting</w:t>
      </w:r>
    </w:p>
    <w:p w14:paraId="2826EDDB" w14:textId="77777777" w:rsidR="00D66EF0" w:rsidRPr="00625A76" w:rsidRDefault="00D66EF0" w:rsidP="000D35D6">
      <w:pPr>
        <w:rPr>
          <w:b/>
          <w:color w:val="000000" w:themeColor="text1"/>
          <w:sz w:val="32"/>
          <w:szCs w:val="32"/>
          <w:u w:val="single"/>
          <w:lang w:val="en-US"/>
        </w:rPr>
      </w:pPr>
    </w:p>
    <w:p w14:paraId="7BD799CC" w14:textId="77777777" w:rsidR="00BC4513" w:rsidRPr="00625A76" w:rsidRDefault="00BC4513" w:rsidP="000D35D6">
      <w:pPr>
        <w:rPr>
          <w:b/>
          <w:color w:val="000000" w:themeColor="text1"/>
          <w:sz w:val="32"/>
          <w:szCs w:val="32"/>
          <w:u w:val="single"/>
          <w:lang w:val="en-US"/>
        </w:rPr>
      </w:pPr>
      <w:r w:rsidRPr="00625A76">
        <w:rPr>
          <w:b/>
          <w:color w:val="000000" w:themeColor="text1"/>
          <w:sz w:val="32"/>
          <w:szCs w:val="32"/>
          <w:u w:val="single"/>
          <w:lang w:val="en-US"/>
        </w:rPr>
        <w:t>Shortening the duration of adjuvant systemic therapy</w:t>
      </w:r>
    </w:p>
    <w:p w14:paraId="19342ECF" w14:textId="5F4D432D" w:rsidR="00BC4513" w:rsidRPr="00625A76" w:rsidRDefault="00BC4513" w:rsidP="00BD6A01">
      <w:pPr>
        <w:jc w:val="both"/>
        <w:rPr>
          <w:color w:val="000000" w:themeColor="text1"/>
          <w:sz w:val="28"/>
          <w:szCs w:val="28"/>
          <w:lang w:val="en-US"/>
        </w:rPr>
      </w:pPr>
      <w:r w:rsidRPr="00625A76">
        <w:rPr>
          <w:color w:val="000000" w:themeColor="text1"/>
          <w:sz w:val="28"/>
          <w:szCs w:val="28"/>
          <w:lang w:val="en-US"/>
        </w:rPr>
        <w:t>Two</w:t>
      </w:r>
      <w:r w:rsidR="00EB7C5C" w:rsidRPr="00625A76">
        <w:rPr>
          <w:color w:val="000000" w:themeColor="text1"/>
          <w:sz w:val="28"/>
          <w:szCs w:val="28"/>
          <w:lang w:val="en-US"/>
        </w:rPr>
        <w:t xml:space="preserve"> large efforts in the field of breast and colon cancer illustrate the lessons from studies that aimed to de-escalate the duration of adjuvant systemic therapy (</w:t>
      </w:r>
      <w:r w:rsidRPr="00625A76">
        <w:rPr>
          <w:color w:val="000000" w:themeColor="text1"/>
          <w:sz w:val="28"/>
          <w:szCs w:val="28"/>
          <w:lang w:val="en-US"/>
        </w:rPr>
        <w:t>summarized in table 1</w:t>
      </w:r>
      <w:r w:rsidR="00EB7C5C" w:rsidRPr="00625A76">
        <w:rPr>
          <w:color w:val="000000" w:themeColor="text1"/>
          <w:sz w:val="28"/>
          <w:szCs w:val="28"/>
          <w:lang w:val="en-US"/>
        </w:rPr>
        <w:t>)</w:t>
      </w:r>
      <w:r w:rsidR="00D50BBA" w:rsidRPr="00625A76">
        <w:rPr>
          <w:color w:val="000000" w:themeColor="text1"/>
          <w:sz w:val="28"/>
          <w:szCs w:val="28"/>
          <w:lang w:val="en-US"/>
        </w:rPr>
        <w:t>.</w:t>
      </w:r>
    </w:p>
    <w:p w14:paraId="1901B7A0" w14:textId="089C9ED7" w:rsidR="00BD548F" w:rsidRPr="00625A76" w:rsidRDefault="00BC4513" w:rsidP="00BD6A01">
      <w:pPr>
        <w:jc w:val="both"/>
        <w:rPr>
          <w:color w:val="000000" w:themeColor="text1"/>
          <w:sz w:val="28"/>
          <w:szCs w:val="28"/>
          <w:lang w:val="en-US"/>
        </w:rPr>
      </w:pPr>
      <w:r w:rsidRPr="00625A76">
        <w:rPr>
          <w:color w:val="000000" w:themeColor="text1"/>
          <w:sz w:val="28"/>
          <w:szCs w:val="28"/>
          <w:lang w:val="en-US"/>
        </w:rPr>
        <w:t>In colo</w:t>
      </w:r>
      <w:r w:rsidR="00D84545" w:rsidRPr="00625A76">
        <w:rPr>
          <w:color w:val="000000" w:themeColor="text1"/>
          <w:sz w:val="28"/>
          <w:szCs w:val="28"/>
          <w:lang w:val="en-US"/>
        </w:rPr>
        <w:t>n</w:t>
      </w:r>
      <w:r w:rsidRPr="00625A76">
        <w:rPr>
          <w:color w:val="000000" w:themeColor="text1"/>
          <w:sz w:val="28"/>
          <w:szCs w:val="28"/>
          <w:lang w:val="en-US"/>
        </w:rPr>
        <w:t xml:space="preserve"> cancer</w:t>
      </w:r>
      <w:r w:rsidR="00971496" w:rsidRPr="00625A76">
        <w:rPr>
          <w:color w:val="000000" w:themeColor="text1"/>
          <w:sz w:val="28"/>
          <w:szCs w:val="28"/>
          <w:lang w:val="en-US"/>
        </w:rPr>
        <w:t xml:space="preserve">, oxaliplatin </w:t>
      </w:r>
      <w:r w:rsidR="00974486" w:rsidRPr="00625A76">
        <w:rPr>
          <w:color w:val="000000" w:themeColor="text1"/>
          <w:sz w:val="28"/>
          <w:szCs w:val="28"/>
          <w:lang w:val="en-US"/>
        </w:rPr>
        <w:t xml:space="preserve">combined with </w:t>
      </w:r>
      <w:r w:rsidR="00971496" w:rsidRPr="00625A76">
        <w:rPr>
          <w:color w:val="000000" w:themeColor="text1"/>
          <w:sz w:val="28"/>
          <w:szCs w:val="28"/>
          <w:lang w:val="en-US"/>
        </w:rPr>
        <w:t>5</w:t>
      </w:r>
      <w:r w:rsidR="00EB7C5C" w:rsidRPr="00625A76">
        <w:rPr>
          <w:color w:val="000000" w:themeColor="text1"/>
          <w:sz w:val="28"/>
          <w:szCs w:val="28"/>
          <w:lang w:val="en-US"/>
        </w:rPr>
        <w:t>-</w:t>
      </w:r>
      <w:r w:rsidR="00971496" w:rsidRPr="00625A76">
        <w:rPr>
          <w:color w:val="000000" w:themeColor="text1"/>
          <w:sz w:val="28"/>
          <w:szCs w:val="28"/>
          <w:lang w:val="en-US"/>
        </w:rPr>
        <w:t>fluorouracil</w:t>
      </w:r>
      <w:r w:rsidR="00974486" w:rsidRPr="00625A76">
        <w:rPr>
          <w:color w:val="000000" w:themeColor="text1"/>
          <w:sz w:val="28"/>
          <w:szCs w:val="28"/>
          <w:lang w:val="en-US"/>
        </w:rPr>
        <w:t xml:space="preserve"> or </w:t>
      </w:r>
      <w:r w:rsidR="00971496" w:rsidRPr="00625A76">
        <w:rPr>
          <w:color w:val="000000" w:themeColor="text1"/>
          <w:sz w:val="28"/>
          <w:szCs w:val="28"/>
          <w:lang w:val="en-US"/>
        </w:rPr>
        <w:t xml:space="preserve">capecitabine </w:t>
      </w:r>
      <w:r w:rsidR="00974486" w:rsidRPr="00625A76">
        <w:rPr>
          <w:color w:val="000000" w:themeColor="text1"/>
          <w:sz w:val="28"/>
          <w:szCs w:val="28"/>
          <w:lang w:val="en-US"/>
        </w:rPr>
        <w:t xml:space="preserve">is a </w:t>
      </w:r>
      <w:r w:rsidR="00D84545" w:rsidRPr="00625A76">
        <w:rPr>
          <w:color w:val="000000" w:themeColor="text1"/>
          <w:sz w:val="28"/>
          <w:szCs w:val="28"/>
          <w:lang w:val="en-US"/>
        </w:rPr>
        <w:t xml:space="preserve">standard adjuvant chemotherapy in patients with stage III </w:t>
      </w:r>
      <w:r w:rsidR="00B46389">
        <w:rPr>
          <w:color w:val="000000" w:themeColor="text1"/>
          <w:sz w:val="28"/>
          <w:szCs w:val="28"/>
          <w:lang w:val="en-US"/>
        </w:rPr>
        <w:t>disease</w:t>
      </w:r>
      <w:r w:rsidR="00DB6E04" w:rsidRPr="00625A76">
        <w:rPr>
          <w:color w:val="000000" w:themeColor="text1"/>
          <w:sz w:val="28"/>
          <w:szCs w:val="28"/>
          <w:lang w:val="en-US"/>
        </w:rPr>
        <w:fldChar w:fldCharType="begin" w:fldLock="1"/>
      </w:r>
      <w:r w:rsidR="00D66EF0" w:rsidRPr="00625A76">
        <w:rPr>
          <w:color w:val="000000" w:themeColor="text1"/>
          <w:sz w:val="28"/>
          <w:szCs w:val="28"/>
          <w:lang w:val="en-US"/>
        </w:rPr>
        <w:instrText>ADDIN CSL_CITATION {"citationItems":[{"id":"ITEM-1","itemData":{"DOI":"10.1200/JCO.2008.20.6771","ISSN":"0732183X","abstract":"Purpose: Three-year disease-free survival (DFS) was significantly improved in patients who had undergone resection with curative intent for stage II or III colon cancer who received bolus plus continuousinfusion fluorouracil plus leucovorin (LV5FU2) with the addition of oxaliplatin (FOLFOX4). Final results of the study, including 6-year overall survival (OS) and 5-year updated DFS, are reported. Patients and Methods: A total of 2,246 patients were randomly assigned to receive LV5FU2 or FOLFOX4 for 6 months. The primary end point was DFS. Secondary end points were OS and safety. Results: Five-year DFS rates were 73.3% and 67.4% in the FOLFOX4 and LV5FU2 groups, respectively (hazard ratio [HR] = 0.80; 95% CI, 0.68 to 0.93; P = .003). Six-year OS rates were 78.5% and 76.0% in the FOLFOX4 and LV5FU2 groups, respectively (HR = 0.84; 95% CI, 0.71 to 1.00; P = .046); corresponding 6-year OS rates for patients with stage III disease were 72.9% and 68.7%, respectively (HR = 0.80; 95% CI, 0.65 to 0.97; P = .023). No difference in OS was seen in the stage II population. The incidence of second noncolorectal cancers was 5.5% and 6.1% in the FOLFOX4 and LV5FU2 groups, respectively. Among patients receiving oxaliplatin, the frequency of grade 3 peripheral sensory neuropathy was 1.3% 12 months after treatment and 0.7% at 48 months. Conclusion: Adding oxaliplatin to LV5FU2 significantly improved 5-year DFS and 6-year OS in the adjuvant treatment of stage II or III colon cancer and should be considered after surgery for patients with stage III disease. ? 2009 by American Society of Clinical Oncology.","author":[{"dropping-particle":"","family":"André","given":"Thierry","non-dropping-particle":"","parse-names":false,"suffix":""},{"dropping-particle":"","family":"Boni","given":"Corrado","non-dropping-particle":"","parse-names":false,"suffix":""},{"dropping-particle":"","family":"Navarro","given":"Matilde","non-dropping-particle":"","parse-names":false,"suffix":""},{"dropping-particle":"","family":"Tabernero","given":"Josep","non-dropping-particle":"","parse-names":false,"suffix":""},{"dropping-particle":"","family":"Hickish","given":"Tamas","non-dropping-particle":"","parse-names":false,"suffix":""},{"dropping-particle":"","family":"Topham","given":"Clare","non-dropping-particle":"","parse-names":false,"suffix":""},{"dropping-particle":"","family":"Bonetti","given":"Andrea","non-dropping-particle":"","parse-names":false,"suffix":""},{"dropping-particle":"","family":"Clingan","given":"Philip","non-dropping-particle":"","parse-names":false,"suffix":""},{"dropping-particle":"","family":"Bridgewater","given":"John","non-dropping-particle":"","parse-names":false,"suffix":""},{"dropping-particle":"","family":"Rivera","given":"Fernando","non-dropping-particle":"","parse-names":false,"suffix":""},{"dropping-particle":"","family":"Gramont","given":"Aimery","non-dropping-particle":"De","parse-names":false,"suffix":""}],"container-title":"Journal of Clinical Oncology","id":"ITEM-1","issue":"19","issued":{"date-parts":[["2009"]]},"page":"3109-3116","title":"Improved overall survival with oxaliplatin, fluorouracil, and leucovorin as adjuvant treatment in stage II or III colon cancer in the MOSAIC trial","type":"article-journal","volume":"27"},"uris":["http://www.mendeley.com/documents/?uuid=4638c74b-032c-43a1-bdb0-31f8cbbc05f9"]},{"id":"ITEM-2","itemData":{"DOI":"10.1200/JCO.2015.60.9107","ISSN":"0732-183X","PMID":"26324362","abstract":"PURPOSE To report the final efficacy findings and biomarker analysis from the NO16968 trial comparing bolus fluorouracil/folinic acid (FU/FA) with capecitabine plus oxaliplatin (XELOX) in resected stage III colon cancer. PATIENTS AND METHODS After curative resection, patients were randomly assigned to receive XELOX, as oxaliplatin 130 mg/m(2) on day 1 and capecitabine 1,000 mg/m(2) twice daily on days 1 to 14 every 3 weeks, or bolus FU/FA, as the Mayo Clinic or Roswell Park regimens, for 6 months. The primary end point was disease-free survival (DFS). Secondary end points included overall survival (OS). RESULTS The intention-to-treat population comprised 1,886 patients (XELOX, n = 944; FU/FA, n = 942). Seven-year DFS rates were 63% and 56% in the XELOX and FU/FA groups, respectively (hazard ratio [HR], 0.80; 95% CI, 0.69 to 0.93; P = .004). Seven-year OS rates were 73% and 67% in the XELOX and FU/FA groups, respectively (HR, 0.83; 95% CI, 0.70 to 0.99; P = .04). A total of 68% and 77% of patients who experienced relapse or a new colorectal cancer in the XELOX and FU/FA groups, respectively, received drug treatment for metastatic disease. Four hundred ninety-eight patients consented to the biomarker analysis: 242 in the XELOX group and 256 in the FU/FA group. Low tumor expression of dihydropyrimidine dehydrogenase may be predictive for XELOX efficacy; in the XELOX group, for high versus low dihydropyrimidine dehydrogenase expression levels, DFS HR was 2.45 (95% CI, 1.55 to 3.86; P &lt; .001), and OS HR was 2.75 (95% CI, 1.65 to 4.59; P &lt; .001). In the FU/FA group, no statistically significant associations were observed between any tumor biomarker and outcomes. CONCLUSION XELOX improved OS compared with bolus FU/FA in patients with resected stage III colon cancer after a median follow-up of almost 7 years. XELOX should be considered a standard adjuvant treatment option in patients with stage III disease. Tumoral dihydropyrimidine dehydrogenase expression is a promising predictive, and potentially, highly clinically relevant, biomarker for XELOX efficacy requiring further prospective evaluation.","author":[{"dropping-particle":"","family":"Schmoll","given":"Hans-Joachim","non-dropping-particle":"","parse-names":false,"suffix":""},{"dropping-particle":"","family":"Tabernero","given":"Josep","non-dropping-particle":"","parse-names":false,"suffix":""},{"dropping-particle":"","family":"Maroun","given":"Jean","non-dropping-particle":"","parse-names":false,"suffix":""},{"dropping-particle":"","family":"Braud","given":"Filippo","non-dropping-particle":"de","parse-names":false,"suffix":""},{"dropping-particle":"","family":"Price","given":"Timothy","non-dropping-particle":"","parse-names":false,"suffix":""},{"dropping-particle":"","family":"Cutsem","given":"Eric","non-dropping-particle":"Van","parse-names":false,"suffix":""},{"dropping-particle":"","family":"Hill","given":"Mark","non-dropping-particle":"","parse-names":false,"suffix":""},{"dropping-particle":"","family":"Hoersch","given":"Silke","non-dropping-particle":"","parse-names":false,"suffix":""},{"dropping-particle":"","family":"Rittweger","given":"Karen","non-dropping-particle":"","parse-names":false,"suffix":""},{"dropping-particle":"","family":"Haller","given":"Daniel G.","non-dropping-particle":"","parse-names":false,"suffix":""}],"container-title":"Journal of Clinical Oncology","id":"ITEM-2","issue":"32","issued":{"date-parts":[["2015","11","10"]]},"page":"3733-3740","title":"Capecitabine Plus Oxaliplatin Compared With Fluorouracil/Folinic Acid As Adjuvant Therapy for Stage III Colon Cancer: Final Results of the NO16968 Randomized Controlled Phase III Trial","type":"article-journal","volume":"33"},"uris":["http://www.mendeley.com/documents/?uuid=58c993c9-e5e3-3d71-a5e8-6be3a5037bfc"]},{"id":"ITEM-3","itemData":{"DOI":"10.1200/JCO.2006.08.2974","ISSN":"0732-183X","PMID":"17470851","abstract":"PURPOSE This phase III clinical trial evaluated the impact on disease-free survival (DFS) of adding oxaliplatin to bolus weekly fluorouracil (FU) combined with leucovorin as surgical adjuvant therapy for stage II and III colon cancer. PATIENTS AND METHODS Patients who had undergone a potentially curative resection were randomly assigned to either FU 500 mg/m2 intravenous (IV) bolus weekly for 6 weeks plus leucovorin 500 mg/m2 IV weekly for 6 weeks during each 8-week cycle for three cycles (FULV), or the same FULV regimen with oxaliplatin 85 mg/m2 IV administered on weeks 1, 3, and 5 of each 8-week cycle for three cycles (FLOX). RESULTS A total of 2,407 patients (96.6%) of the 2,492 patients randomly assigned were eligible. Median follow-up for patients still alive is 42.5 months. The hazard ratio (FLOX v FULV) is 0.80 (95% CI, 0.69 to 0.93), a 20% risk reduction in favor of FLOX (P &lt; .004). The 3- and 4-year disease-free survival (DFS) rates were 71.8% and 67.0% for FULV and 76.1% and 73.2% for FLOX, respectively. Grade 3 neurosensory toxicity was noted in 8.2% of patients receiving FLOX and in 0.7% of those receiving FULV (P &lt; .001). Hospitalization for diarrhea associated with bowel wall thickening occurred in 5.5% of the patients receiving FLOX and in 3.0% of the patients receiving FULV (P &lt; .01). A total of 1.2% of patients died as a result of any cause within 60 days of receiving chemotherapy, with no significant difference between regimens. CONCLUSION The addition of oxaliplatin to weekly FULV significantly improved DFS in patients with stage II and III colon cancer. FLOX can be recommended as an effective option in clinical practice.","author":[{"dropping-particle":"","family":"Kuebler","given":"J. Philip","non-dropping-particle":"","parse-names":false,"suffix":""},{"dropping-particle":"","family":"Wieand","given":"H. Samuel","non-dropping-particle":"","parse-names":false,"suffix":""},{"dropping-particle":"","family":"O'Connell","given":"Michael J.","non-dropping-particle":"","parse-names":false,"suffix":""},{"dropping-particle":"","family":"Smith","given":"Roy E.","non-dropping-particle":"","parse-names":false,"suffix":""},{"dropping-particle":"","family":"Colangelo","given":"Linda H.","non-dropping-particle":"","parse-names":false,"suffix":""},{"dropping-particle":"","family":"Yothers","given":"Greg","non-dropping-particle":"","parse-names":false,"suffix":""},{"dropping-particle":"","family":"Petrelli","given":"Nicholas J.","non-dropping-particle":"","parse-names":false,"suffix":""},{"dropping-particle":"","family":"Findlay","given":"Michael P.","non-dropping-particle":"","parse-names":false,"suffix":""},{"dropping-particle":"","family":"Seay","given":"Thomas E.","non-dropping-particle":"","parse-names":false,"suffix":""},{"dropping-particle":"","family":"Atkins","given":"James N.","non-dropping-particle":"","parse-names":false,"suffix":""},{"dropping-particle":"","family":"Zapas","given":"John L.","non-dropping-particle":"","parse-names":false,"suffix":""},{"dropping-particle":"","family":"Goodwin","given":"J. Wendall","non-dropping-particle":"","parse-names":false,"suffix":""},{"dropping-particle":"","family":"Fehrenbacher","given":"Louis","non-dropping-particle":"","parse-names":false,"suffix":""},{"dropping-particle":"","family":"Ramanathan","given":"Ramesh K.","non-dropping-particle":"","parse-names":false,"suffix":""},{"dropping-particle":"","family":"Conley","given":"Barbara A.","non-dropping-particle":"","parse-names":false,"suffix":""},{"dropping-particle":"","family":"Flynn","given":"Patrick J.","non-dropping-particle":"","parse-names":false,"suffix":""},{"dropping-particle":"","family":"Soori","given":"Gamini","non-dropping-particle":"","parse-names":false,"suffix":""},{"dropping-particle":"","family":"Colman","given":"Lauren K.","non-dropping-particle":"","parse-names":false,"suffix":""},{"dropping-particle":"","family":"Levine","given":"Edward A.","non-dropping-particle":"","parse-names":false,"suffix":""},{"dropping-particle":"","family":"Lanier","given":"Keith S.","non-dropping-particle":"","parse-names":false,"suffix":""},{"dropping-particle":"","family":"Wolmark","given":"Norman","non-dropping-particle":"","parse-names":false,"suffix":""}],"container-title":"Journal of Clinical Oncology","id":"ITEM-3","issue":"16","issued":{"date-parts":[["2007","6","1"]]},"page":"2198-2204","title":"Oxaliplatin Combined With Weekly Bolus Fluorouracil and Leucovorin As Surgical Adjuvant Chemotherapy for Stage II and III Colon Cancer: Results From NSABP C-07","type":"article-journal","volume":"25"},"uris":["http://www.mendeley.com/documents/?uuid=795d2c00-0952-3ead-8b9e-aff510e30d16"]}],"mendeley":{"formattedCitation":"&lt;sup&gt;3–5&lt;/sup&gt;","plainTextFormattedCitation":"3–5","previouslyFormattedCitation":"&lt;sup&gt;3–5&lt;/sup&gt;"},"properties":{"noteIndex":0},"schema":"https://github.com/citation-style-language/schema/raw/master/csl-citation.json"}</w:instrText>
      </w:r>
      <w:r w:rsidR="00DB6E04" w:rsidRPr="00625A76">
        <w:rPr>
          <w:color w:val="000000" w:themeColor="text1"/>
          <w:sz w:val="28"/>
          <w:szCs w:val="28"/>
          <w:lang w:val="en-US"/>
        </w:rPr>
        <w:fldChar w:fldCharType="separate"/>
      </w:r>
      <w:r w:rsidR="001B6055" w:rsidRPr="00625A76">
        <w:rPr>
          <w:noProof/>
          <w:color w:val="000000" w:themeColor="text1"/>
          <w:sz w:val="28"/>
          <w:szCs w:val="28"/>
          <w:vertAlign w:val="superscript"/>
          <w:lang w:val="en-US"/>
        </w:rPr>
        <w:t>3–5</w:t>
      </w:r>
      <w:r w:rsidR="00DB6E04" w:rsidRPr="00625A76">
        <w:rPr>
          <w:color w:val="000000" w:themeColor="text1"/>
          <w:sz w:val="28"/>
          <w:szCs w:val="28"/>
          <w:lang w:val="en-US"/>
        </w:rPr>
        <w:fldChar w:fldCharType="end"/>
      </w:r>
      <w:r w:rsidR="00D84545" w:rsidRPr="00625A76">
        <w:rPr>
          <w:color w:val="000000" w:themeColor="text1"/>
          <w:sz w:val="28"/>
          <w:szCs w:val="28"/>
          <w:lang w:val="en-US"/>
        </w:rPr>
        <w:t xml:space="preserve">. </w:t>
      </w:r>
      <w:r w:rsidR="006E1E04" w:rsidRPr="00625A76">
        <w:rPr>
          <w:color w:val="000000" w:themeColor="text1"/>
          <w:sz w:val="28"/>
          <w:szCs w:val="28"/>
          <w:lang w:val="en-US"/>
        </w:rPr>
        <w:t>However, th</w:t>
      </w:r>
      <w:r w:rsidR="00974486" w:rsidRPr="00625A76">
        <w:rPr>
          <w:color w:val="000000" w:themeColor="text1"/>
          <w:sz w:val="28"/>
          <w:szCs w:val="28"/>
          <w:lang w:val="en-US"/>
        </w:rPr>
        <w:t>is</w:t>
      </w:r>
      <w:r w:rsidR="006E1E04" w:rsidRPr="00625A76">
        <w:rPr>
          <w:color w:val="000000" w:themeColor="text1"/>
          <w:sz w:val="28"/>
          <w:szCs w:val="28"/>
          <w:lang w:val="en-US"/>
        </w:rPr>
        <w:t xml:space="preserve"> drug </w:t>
      </w:r>
      <w:r w:rsidR="00971496" w:rsidRPr="00625A76">
        <w:rPr>
          <w:color w:val="000000" w:themeColor="text1"/>
          <w:sz w:val="28"/>
          <w:szCs w:val="28"/>
          <w:lang w:val="en-US"/>
        </w:rPr>
        <w:t>can</w:t>
      </w:r>
      <w:r w:rsidR="006E1E04" w:rsidRPr="00625A76">
        <w:rPr>
          <w:color w:val="000000" w:themeColor="text1"/>
          <w:sz w:val="28"/>
          <w:szCs w:val="28"/>
          <w:lang w:val="en-US"/>
        </w:rPr>
        <w:t xml:space="preserve"> </w:t>
      </w:r>
      <w:r w:rsidR="00971496" w:rsidRPr="00625A76">
        <w:rPr>
          <w:color w:val="000000" w:themeColor="text1"/>
          <w:sz w:val="28"/>
          <w:szCs w:val="28"/>
          <w:lang w:val="en-US"/>
        </w:rPr>
        <w:t>induce</w:t>
      </w:r>
      <w:r w:rsidR="00D84545" w:rsidRPr="00625A76">
        <w:rPr>
          <w:color w:val="000000" w:themeColor="text1"/>
          <w:sz w:val="28"/>
          <w:szCs w:val="28"/>
          <w:lang w:val="en-US"/>
        </w:rPr>
        <w:t xml:space="preserve"> cumulative dose-dependent</w:t>
      </w:r>
      <w:r w:rsidR="00971496" w:rsidRPr="00625A76">
        <w:rPr>
          <w:color w:val="000000" w:themeColor="text1"/>
          <w:sz w:val="28"/>
          <w:szCs w:val="28"/>
          <w:lang w:val="en-US"/>
        </w:rPr>
        <w:t xml:space="preserve"> </w:t>
      </w:r>
      <w:r w:rsidR="00BB3CA1" w:rsidRPr="00625A76">
        <w:rPr>
          <w:color w:val="000000" w:themeColor="text1"/>
          <w:sz w:val="28"/>
          <w:szCs w:val="28"/>
          <w:lang w:val="en-US"/>
        </w:rPr>
        <w:t>long</w:t>
      </w:r>
      <w:r w:rsidR="00D84545" w:rsidRPr="00625A76">
        <w:rPr>
          <w:color w:val="000000" w:themeColor="text1"/>
          <w:sz w:val="28"/>
          <w:szCs w:val="28"/>
          <w:lang w:val="en-US"/>
        </w:rPr>
        <w:t>-</w:t>
      </w:r>
      <w:r w:rsidR="00BB3CA1" w:rsidRPr="00625A76">
        <w:rPr>
          <w:color w:val="000000" w:themeColor="text1"/>
          <w:sz w:val="28"/>
          <w:szCs w:val="28"/>
          <w:lang w:val="en-US"/>
        </w:rPr>
        <w:t>term</w:t>
      </w:r>
      <w:r w:rsidR="00D84545" w:rsidRPr="00625A76">
        <w:rPr>
          <w:color w:val="000000" w:themeColor="text1"/>
          <w:sz w:val="28"/>
          <w:szCs w:val="28"/>
          <w:lang w:val="en-US"/>
        </w:rPr>
        <w:t xml:space="preserve"> sensory</w:t>
      </w:r>
      <w:r w:rsidR="00971496" w:rsidRPr="00625A76">
        <w:rPr>
          <w:color w:val="000000" w:themeColor="text1"/>
          <w:sz w:val="28"/>
          <w:szCs w:val="28"/>
          <w:lang w:val="en-US"/>
        </w:rPr>
        <w:t xml:space="preserve"> neurotoxicity</w:t>
      </w:r>
      <w:r w:rsidR="00DB6E04" w:rsidRPr="00625A76">
        <w:rPr>
          <w:color w:val="000000" w:themeColor="text1"/>
          <w:sz w:val="28"/>
          <w:szCs w:val="28"/>
          <w:lang w:val="en-US"/>
        </w:rPr>
        <w:fldChar w:fldCharType="begin" w:fldLock="1"/>
      </w:r>
      <w:r w:rsidR="00D66EF0" w:rsidRPr="00625A76">
        <w:rPr>
          <w:color w:val="000000" w:themeColor="text1"/>
          <w:sz w:val="28"/>
          <w:szCs w:val="28"/>
          <w:lang w:val="en-US"/>
        </w:rPr>
        <w:instrText>ADDIN CSL_CITATION {"citationItems":[{"id":"ITEM-1","itemData":{"DOI":"10.1200/JCO.2006.08.6652","ISSN":"0732-183X","PMID":"17470850","abstract":"PURPOSE The randomized, multicenter, phase III protocol C-07 compared the efficacy of adjuvant bolus fluorouracil and leucovorin (FULV) versus FULV with oxaliplatin (FLOX) in stage II or III colon cancer. Definitive analysis revealed an increase in 4-year disease-free survival from 67.0% to 73.2% in favor of FLOX. This study compares neurotoxicity between the treatments. PATIENTS AND METHODS Neurotoxicity was recorded for all patients using standard adverse event reporting. Patients at select institutions completed a neurotoxicity questionnaire through 18 months of follow-up. RESULTS A total of 2,492 patients enrolled onto C-07 and 400 patients enrolled onto the patient-reported substudy. Mean patient-reported neurotoxicity was higher with oxaliplatin throughout the 18 months of study (P &lt; .0001). During therapy, patients receiving oxaliplatin experienced significantly more hand/foot toxicity (eg, \"quite a bit\" of cold-induced hand/foot pain 26% FLOX v 2.6% FULV) and overall weakness (eg, moderate weakness in 27.4% FLOX v 16.2% FULV). At 18 months, hand neuropathy had diminished, but patients who received oxaliplatin experienced continued foot discomfort (eg, moderate foot numbness and tingling for 22.1% FLOX v 4.6% FULV). Observer-reported neurotoxicity was low grade and primarily neurosensory rather than neuromotor. Sixty-eight percent in the FLOX group v 8% in the FULV group had neurotoxicity at their first on-treatment assessment. Time to resolution was significantly longer for those receiving oxaliplatin, and continued beyond 2 years for more than 10% in the oxaliplatin group. CONCLUSION Oxaliplatin causes significant neurotoxicity. It is experienced primarily in the hands during therapy and in the feet during follow-up. In a minority of patients the neurotoxicity is long lasting.","author":[{"dropping-particle":"","family":"Land","given":"Stephanie R.","non-dropping-particle":"","parse-names":false,"suffix":""},{"dropping-particle":"","family":"Kopec","given":"Jacek A.","non-dropping-particle":"","parse-names":false,"suffix":""},{"dropping-particle":"","family":"Cecchini","given":"Reena S.","non-dropping-particle":"","parse-names":false,"suffix":""},{"dropping-particle":"","family":"Ganz","given":"Patricia A.","non-dropping-particle":"","parse-names":false,"suffix":""},{"dropping-particle":"","family":"Wieand","given":"H. Samuel","non-dropping-particle":"","parse-names":false,"suffix":""},{"dropping-particle":"","family":"Colangelo","given":"Linda H.","non-dropping-particle":"","parse-names":false,"suffix":""},{"dropping-particle":"","family":"Murphy","given":"Kate","non-dropping-particle":"","parse-names":false,"suffix":""},{"dropping-particle":"","family":"Kuebler","given":"J. Philip","non-dropping-particle":"","parse-names":false,"suffix":""},{"dropping-particle":"","family":"Seay","given":"Thomas E.","non-dropping-particle":"","parse-names":false,"suffix":""},{"dropping-particle":"","family":"Needles","given":"Burton M.","non-dropping-particle":"","parse-names":false,"suffix":""},{"dropping-particle":"","family":"Bearden","given":"James D.","non-dropping-particle":"","parse-names":false,"suffix":""},{"dropping-particle":"","family":"Colman","given":"Lauren K.","non-dropping-particle":"","parse-names":false,"suffix":""},{"dropping-particle":"","family":"Lanier","given":"Keith S.","non-dropping-particle":"","parse-names":false,"suffix":""},{"dropping-particle":"","family":"Pajon","given":"Eduardo R.","non-dropping-particle":"","parse-names":false,"suffix":""},{"dropping-particle":"","family":"Cella","given":"David","non-dropping-particle":"","parse-names":false,"suffix":""},{"dropping-particle":"","family":"Smith","given":"Roy E.","non-dropping-particle":"","parse-names":false,"suffix":""},{"dropping-particle":"","family":"O'Connell","given":"Michael J.","non-dropping-particle":"","parse-names":false,"suffix":""},{"dropping-particle":"","family":"Costantino","given":"Joseph P.","non-dropping-particle":"","parse-names":false,"suffix":""},{"dropping-particle":"","family":"Wolmark","given":"Norman","non-dropping-particle":"","parse-names":false,"suffix":""}],"container-title":"Journal of Clinical Oncology","id":"ITEM-1","issue":"16","issued":{"date-parts":[["2007","6","1"]]},"page":"2205-2211","title":"Neurotoxicity From Oxaliplatin Combined With Weekly Bolus Fluorouracil and Leucovorin As Surgical Adjuvant Chemotherapy for Stage II and III Colon Cancer: NSABP C-07","type":"article-journal","volume":"25"},"uris":["http://www.mendeley.com/documents/?uuid=1b27b0a5-7441-3712-9ea8-502b264eb3df"]}],"mendeley":{"formattedCitation":"&lt;sup&gt;6&lt;/sup&gt;","plainTextFormattedCitation":"6","previouslyFormattedCitation":"&lt;sup&gt;6&lt;/sup&gt;"},"properties":{"noteIndex":0},"schema":"https://github.com/citation-style-language/schema/raw/master/csl-citation.json"}</w:instrText>
      </w:r>
      <w:r w:rsidR="00DB6E04" w:rsidRPr="00625A76">
        <w:rPr>
          <w:color w:val="000000" w:themeColor="text1"/>
          <w:sz w:val="28"/>
          <w:szCs w:val="28"/>
          <w:lang w:val="en-US"/>
        </w:rPr>
        <w:fldChar w:fldCharType="separate"/>
      </w:r>
      <w:r w:rsidR="001B6055" w:rsidRPr="00625A76">
        <w:rPr>
          <w:noProof/>
          <w:color w:val="000000" w:themeColor="text1"/>
          <w:sz w:val="28"/>
          <w:szCs w:val="28"/>
          <w:vertAlign w:val="superscript"/>
          <w:lang w:val="en-US"/>
        </w:rPr>
        <w:t>6</w:t>
      </w:r>
      <w:r w:rsidR="00DB6E04" w:rsidRPr="00625A76">
        <w:rPr>
          <w:color w:val="000000" w:themeColor="text1"/>
          <w:sz w:val="28"/>
          <w:szCs w:val="28"/>
          <w:lang w:val="en-US"/>
        </w:rPr>
        <w:fldChar w:fldCharType="end"/>
      </w:r>
      <w:r w:rsidR="00D84545" w:rsidRPr="00625A76">
        <w:rPr>
          <w:color w:val="000000" w:themeColor="text1"/>
          <w:sz w:val="28"/>
          <w:szCs w:val="28"/>
          <w:lang w:val="en-US"/>
        </w:rPr>
        <w:t xml:space="preserve">. </w:t>
      </w:r>
      <w:r w:rsidR="00FE0CD1" w:rsidRPr="00625A76">
        <w:rPr>
          <w:color w:val="000000" w:themeColor="text1"/>
          <w:sz w:val="28"/>
          <w:szCs w:val="28"/>
          <w:lang w:val="en-US"/>
        </w:rPr>
        <w:t xml:space="preserve">This led to investigations </w:t>
      </w:r>
      <w:r w:rsidR="000D550E">
        <w:rPr>
          <w:color w:val="000000" w:themeColor="text1"/>
          <w:sz w:val="28"/>
          <w:szCs w:val="28"/>
          <w:lang w:val="en-US"/>
        </w:rPr>
        <w:t>into</w:t>
      </w:r>
      <w:r w:rsidR="00974486" w:rsidRPr="00625A76">
        <w:rPr>
          <w:color w:val="000000" w:themeColor="text1"/>
          <w:sz w:val="28"/>
          <w:szCs w:val="28"/>
          <w:lang w:val="en-US"/>
        </w:rPr>
        <w:t xml:space="preserve"> shorter duration of oxaliplatin </w:t>
      </w:r>
      <w:r w:rsidR="009E05C2" w:rsidRPr="00625A76">
        <w:rPr>
          <w:color w:val="000000" w:themeColor="text1"/>
          <w:sz w:val="28"/>
          <w:szCs w:val="28"/>
          <w:lang w:val="en-US"/>
        </w:rPr>
        <w:t>to</w:t>
      </w:r>
      <w:r w:rsidR="00974486" w:rsidRPr="00625A76">
        <w:rPr>
          <w:color w:val="000000" w:themeColor="text1"/>
          <w:sz w:val="28"/>
          <w:szCs w:val="28"/>
          <w:lang w:val="en-US"/>
        </w:rPr>
        <w:t xml:space="preserve"> </w:t>
      </w:r>
      <w:r w:rsidR="00971496" w:rsidRPr="00625A76">
        <w:rPr>
          <w:color w:val="000000" w:themeColor="text1"/>
          <w:sz w:val="28"/>
          <w:szCs w:val="28"/>
          <w:lang w:val="en-US"/>
        </w:rPr>
        <w:t xml:space="preserve">reduce the risk of </w:t>
      </w:r>
      <w:r w:rsidR="00FE0CD1" w:rsidRPr="00625A76">
        <w:rPr>
          <w:color w:val="000000" w:themeColor="text1"/>
          <w:sz w:val="28"/>
          <w:szCs w:val="28"/>
          <w:lang w:val="en-US"/>
        </w:rPr>
        <w:t>neurotoxicity</w:t>
      </w:r>
      <w:r w:rsidR="00200730" w:rsidRPr="00625A76">
        <w:rPr>
          <w:color w:val="000000" w:themeColor="text1"/>
          <w:sz w:val="28"/>
          <w:szCs w:val="28"/>
          <w:lang w:val="en-US"/>
        </w:rPr>
        <w:t xml:space="preserve"> without compromising DFS</w:t>
      </w:r>
      <w:r w:rsidR="00971496" w:rsidRPr="00625A76">
        <w:rPr>
          <w:color w:val="000000" w:themeColor="text1"/>
          <w:sz w:val="28"/>
          <w:szCs w:val="28"/>
          <w:lang w:val="en-US"/>
        </w:rPr>
        <w:t>.</w:t>
      </w:r>
      <w:r w:rsidR="000970A3">
        <w:rPr>
          <w:color w:val="000000" w:themeColor="text1"/>
          <w:sz w:val="28"/>
          <w:szCs w:val="28"/>
          <w:lang w:val="en-US"/>
        </w:rPr>
        <w:t xml:space="preserve"> </w:t>
      </w:r>
      <w:r w:rsidR="00D35E85" w:rsidRPr="00625A76">
        <w:rPr>
          <w:color w:val="000000" w:themeColor="text1"/>
          <w:sz w:val="28"/>
          <w:szCs w:val="28"/>
          <w:lang w:val="en-US"/>
        </w:rPr>
        <w:t xml:space="preserve">The IDEA collaboration was established to analyze data from </w:t>
      </w:r>
      <w:r w:rsidR="00B46389" w:rsidRPr="00625A76">
        <w:rPr>
          <w:color w:val="000000" w:themeColor="text1"/>
          <w:sz w:val="28"/>
          <w:szCs w:val="28"/>
          <w:lang w:val="en-US"/>
        </w:rPr>
        <w:t>s</w:t>
      </w:r>
      <w:r w:rsidR="00B46389">
        <w:rPr>
          <w:color w:val="000000" w:themeColor="text1"/>
          <w:sz w:val="28"/>
          <w:szCs w:val="28"/>
          <w:lang w:val="en-US"/>
        </w:rPr>
        <w:t>ix</w:t>
      </w:r>
      <w:r w:rsidR="00B46389" w:rsidRPr="00625A76">
        <w:rPr>
          <w:color w:val="000000" w:themeColor="text1"/>
          <w:sz w:val="28"/>
          <w:szCs w:val="28"/>
          <w:lang w:val="en-US"/>
        </w:rPr>
        <w:t xml:space="preserve"> </w:t>
      </w:r>
      <w:r w:rsidR="00D35E85" w:rsidRPr="00625A76">
        <w:rPr>
          <w:color w:val="000000" w:themeColor="text1"/>
          <w:sz w:val="28"/>
          <w:szCs w:val="28"/>
          <w:lang w:val="en-US"/>
        </w:rPr>
        <w:t xml:space="preserve">randomized trials </w:t>
      </w:r>
      <w:r w:rsidR="00441116" w:rsidRPr="00625A76">
        <w:rPr>
          <w:color w:val="000000" w:themeColor="text1"/>
          <w:sz w:val="28"/>
          <w:szCs w:val="28"/>
          <w:lang w:val="en-US"/>
        </w:rPr>
        <w:t xml:space="preserve">that </w:t>
      </w:r>
      <w:r w:rsidR="00FE0CD1" w:rsidRPr="00625A76">
        <w:rPr>
          <w:color w:val="000000" w:themeColor="text1"/>
          <w:sz w:val="28"/>
          <w:szCs w:val="28"/>
          <w:lang w:val="en-US"/>
        </w:rPr>
        <w:t xml:space="preserve">evaluated </w:t>
      </w:r>
      <w:r w:rsidR="00D35E85" w:rsidRPr="00625A76">
        <w:rPr>
          <w:color w:val="000000" w:themeColor="text1"/>
          <w:sz w:val="28"/>
          <w:szCs w:val="28"/>
          <w:lang w:val="en-US"/>
        </w:rPr>
        <w:t xml:space="preserve">whether a three-month course of oxaliplatin-based adjuvant therapy (FOLFOX4/modified FOLFOX6 or </w:t>
      </w:r>
      <w:r w:rsidR="005725CC" w:rsidRPr="00625A76">
        <w:rPr>
          <w:color w:val="000000" w:themeColor="text1"/>
          <w:sz w:val="28"/>
          <w:szCs w:val="28"/>
          <w:lang w:val="en-US"/>
        </w:rPr>
        <w:t>CAP</w:t>
      </w:r>
      <w:r w:rsidR="00D35E85" w:rsidRPr="00625A76">
        <w:rPr>
          <w:color w:val="000000" w:themeColor="text1"/>
          <w:sz w:val="28"/>
          <w:szCs w:val="28"/>
          <w:lang w:val="en-US"/>
        </w:rPr>
        <w:t xml:space="preserve">OX) is non-inferior to the standard six-month treatment for patients with stage III colon cancer, with a primary endpoint of </w:t>
      </w:r>
      <w:r w:rsidR="00974486" w:rsidRPr="00625A76">
        <w:rPr>
          <w:color w:val="000000" w:themeColor="text1"/>
          <w:sz w:val="28"/>
          <w:szCs w:val="28"/>
          <w:lang w:val="en-US"/>
        </w:rPr>
        <w:t>DF</w:t>
      </w:r>
      <w:r w:rsidR="00FE0CD1" w:rsidRPr="00625A76">
        <w:rPr>
          <w:color w:val="000000" w:themeColor="text1"/>
          <w:sz w:val="28"/>
          <w:szCs w:val="28"/>
          <w:lang w:val="en-US"/>
        </w:rPr>
        <w:t>S</w:t>
      </w:r>
      <w:r w:rsidR="00441116" w:rsidRPr="00625A76">
        <w:rPr>
          <w:color w:val="000000" w:themeColor="text1"/>
          <w:sz w:val="28"/>
          <w:szCs w:val="28"/>
          <w:lang w:val="en-US"/>
        </w:rPr>
        <w:t xml:space="preserve"> at three years</w:t>
      </w:r>
      <w:r w:rsidR="00BD548F" w:rsidRPr="00625A76">
        <w:rPr>
          <w:color w:val="000000" w:themeColor="text1"/>
          <w:sz w:val="28"/>
          <w:szCs w:val="28"/>
          <w:lang w:val="en-US"/>
        </w:rPr>
        <w:fldChar w:fldCharType="begin" w:fldLock="1"/>
      </w:r>
      <w:r w:rsidR="00D66EF0" w:rsidRPr="00625A76">
        <w:rPr>
          <w:color w:val="000000" w:themeColor="text1"/>
          <w:sz w:val="28"/>
          <w:szCs w:val="28"/>
          <w:lang w:val="en-US"/>
        </w:rPr>
        <w:instrText>ADDIN CSL_CITATION {"citationItems":[{"id":"ITEM-1","itemData":{"DOI":"10.1007/s11888-013-0181-6","ISSN":"15563790","abstract":"The International Duration Evaluation of Adjuvant Chemotherapy (IDEA) collaboration was established to prospectively combine and analyze data from several randomized trials conducted around the world to answer whether a three-month course of oxaliplatin-based adjuvant therapy (FOLFOX4/modified FOLFOX6 or XELOX) is non-inferior to the current standard six-month treatment for patients with stage III colon cancer, with a primary endpoint of three years disease-free survival. The IDEA steering committee comprises two members from each group coordinating an individual trial and two members from a secretariat who coordinate combining of the data and management of the joint analysis. Members of the IDEA agreed to combine the data from their individual trials to enable definitive analysis consisting of at least 10,500 patients. With accrual of 8,797 patients at the end of February 2013, the IDEA is on track to achieve its accrual objective of at least 10,500 patients by the end of 2013. © Springer Science+Business Media New York 2013.","author":[{"dropping-particle":"","family":"André","given":"Thierry","non-dropping-particle":"","parse-names":false,"suffix":""},{"dropping-particle":"","family":"Iveson","given":"Timothy","non-dropping-particle":"","parse-names":false,"suffix":""},{"dropping-particle":"","family":"Labianca","given":"Roberto","non-dropping-particle":"","parse-names":false,"suffix":""},{"dropping-particle":"","family":"Meyerhardt","given":"Jeffrey A.","non-dropping-particle":"","parse-names":false,"suffix":""},{"dropping-particle":"","family":"Souglakos","given":"Ioannis","non-dropping-particle":"","parse-names":false,"suffix":""},{"dropping-particle":"","family":"Yoshino","given":"Takayuki","non-dropping-particle":"","parse-names":false,"suffix":""},{"dropping-particle":"","family":"Paul","given":"James","non-dropping-particle":"","parse-names":false,"suffix":""},{"dropping-particle":"","family":"Sobrero","given":"Alberto","non-dropping-particle":"","parse-names":false,"suffix":""},{"dropping-particle":"","family":"Taieb","given":"Julien","non-dropping-particle":"","parse-names":false,"suffix":""},{"dropping-particle":"","family":"Shields","given":"Anthony F.","non-dropping-particle":"","parse-names":false,"suffix":""},{"dropping-particle":"","family":"Ohtsu","given":"Atsushi","non-dropping-particle":"","parse-names":false,"suffix":""},{"dropping-particle":"","family":"Grothey","given":"Axel","non-dropping-particle":"","parse-names":false,"suffix":""},{"dropping-particle":"","family":"Sargent","given":"Daniel J.","non-dropping-particle":"","parse-names":false,"suffix":""}],"container-title":"Current Colorectal Cancer Reports","id":"ITEM-1","issue":"3","issued":{"date-parts":[["2013"]]},"page":"261-269","title":"The IDEA (international duration evaluation of adjuvant chemotherapy) collaboration: Prospective combined analysis of phase III trials investigating duration of adjuvant therapy with the FOLFOX (FOLFOX4 or modified FOLFOX6) or XELOX (3 versus 6 months) re","type":"article-journal","volume":"9"},"uris":["http://www.mendeley.com/documents/?uuid=d389bc4e-68c0-4580-b066-dc22d710299a"]}],"mendeley":{"formattedCitation":"&lt;sup&gt;7&lt;/sup&gt;","plainTextFormattedCitation":"7","previouslyFormattedCitation":"&lt;sup&gt;7&lt;/sup&gt;"},"properties":{"noteIndex":0},"schema":"https://github.com/citation-style-language/schema/raw/master/csl-citation.json"}</w:instrText>
      </w:r>
      <w:r w:rsidR="00BD548F" w:rsidRPr="00625A76">
        <w:rPr>
          <w:color w:val="000000" w:themeColor="text1"/>
          <w:sz w:val="28"/>
          <w:szCs w:val="28"/>
          <w:lang w:val="en-US"/>
        </w:rPr>
        <w:fldChar w:fldCharType="separate"/>
      </w:r>
      <w:r w:rsidR="001B6055" w:rsidRPr="00625A76">
        <w:rPr>
          <w:noProof/>
          <w:color w:val="000000" w:themeColor="text1"/>
          <w:sz w:val="28"/>
          <w:szCs w:val="28"/>
          <w:vertAlign w:val="superscript"/>
          <w:lang w:val="en-US"/>
        </w:rPr>
        <w:t>7</w:t>
      </w:r>
      <w:r w:rsidR="00BD548F" w:rsidRPr="00625A76">
        <w:rPr>
          <w:color w:val="000000" w:themeColor="text1"/>
          <w:sz w:val="28"/>
          <w:szCs w:val="28"/>
          <w:lang w:val="en-US"/>
        </w:rPr>
        <w:fldChar w:fldCharType="end"/>
      </w:r>
      <w:r w:rsidR="00D35E85" w:rsidRPr="00625A76">
        <w:rPr>
          <w:color w:val="000000" w:themeColor="text1"/>
          <w:sz w:val="28"/>
          <w:szCs w:val="28"/>
          <w:lang w:val="en-US"/>
        </w:rPr>
        <w:t xml:space="preserve">. </w:t>
      </w:r>
      <w:r w:rsidR="00BD548F" w:rsidRPr="00625A76">
        <w:rPr>
          <w:color w:val="000000" w:themeColor="text1"/>
          <w:sz w:val="28"/>
          <w:szCs w:val="28"/>
          <w:lang w:val="en-US"/>
        </w:rPr>
        <w:t xml:space="preserve">A modified intention-to-treat method was used </w:t>
      </w:r>
      <w:r w:rsidR="00441116" w:rsidRPr="00625A76">
        <w:rPr>
          <w:color w:val="000000" w:themeColor="text1"/>
          <w:sz w:val="28"/>
          <w:szCs w:val="28"/>
          <w:lang w:val="en-US"/>
        </w:rPr>
        <w:t xml:space="preserve">for the </w:t>
      </w:r>
      <w:r w:rsidR="00BD548F" w:rsidRPr="00625A76">
        <w:rPr>
          <w:color w:val="000000" w:themeColor="text1"/>
          <w:sz w:val="28"/>
          <w:szCs w:val="28"/>
          <w:lang w:val="en-US"/>
        </w:rPr>
        <w:t xml:space="preserve">primary analysis, which included all the patients who had undergone randomization and had received at least one dose of a trial drug. </w:t>
      </w:r>
    </w:p>
    <w:p w14:paraId="7F2691D4" w14:textId="7FEA3E8F" w:rsidR="00EB7C5C" w:rsidRPr="00625A76" w:rsidRDefault="00BD548F" w:rsidP="00BD6A01">
      <w:pPr>
        <w:jc w:val="both"/>
        <w:rPr>
          <w:color w:val="000000" w:themeColor="text1"/>
          <w:sz w:val="28"/>
          <w:szCs w:val="28"/>
          <w:lang w:val="en-US"/>
        </w:rPr>
      </w:pPr>
      <w:r w:rsidRPr="00625A76">
        <w:rPr>
          <w:color w:val="000000" w:themeColor="text1"/>
          <w:sz w:val="28"/>
          <w:szCs w:val="28"/>
          <w:lang w:val="en-US"/>
        </w:rPr>
        <w:t>Non</w:t>
      </w:r>
      <w:r w:rsidR="00200032" w:rsidRPr="00625A76">
        <w:rPr>
          <w:color w:val="000000" w:themeColor="text1"/>
          <w:sz w:val="28"/>
          <w:szCs w:val="28"/>
          <w:lang w:val="en-US"/>
        </w:rPr>
        <w:t>-</w:t>
      </w:r>
      <w:r w:rsidRPr="00625A76">
        <w:rPr>
          <w:color w:val="000000" w:themeColor="text1"/>
          <w:sz w:val="28"/>
          <w:szCs w:val="28"/>
          <w:lang w:val="en-US"/>
        </w:rPr>
        <w:t>inferiority of 3 months of treatment versus 6 months was not confirmed in the overall study population</w:t>
      </w:r>
      <w:r w:rsidR="00B46389">
        <w:rPr>
          <w:color w:val="000000" w:themeColor="text1"/>
          <w:sz w:val="28"/>
          <w:szCs w:val="28"/>
          <w:lang w:val="en-US"/>
        </w:rPr>
        <w:t>; n</w:t>
      </w:r>
      <w:r w:rsidRPr="00625A76">
        <w:rPr>
          <w:color w:val="000000" w:themeColor="text1"/>
          <w:sz w:val="28"/>
          <w:szCs w:val="28"/>
          <w:lang w:val="en-US"/>
        </w:rPr>
        <w:t>on</w:t>
      </w:r>
      <w:r w:rsidR="00441116" w:rsidRPr="00625A76">
        <w:rPr>
          <w:color w:val="000000" w:themeColor="text1"/>
          <w:sz w:val="28"/>
          <w:szCs w:val="28"/>
          <w:lang w:val="en-US"/>
        </w:rPr>
        <w:t>-</w:t>
      </w:r>
      <w:r w:rsidRPr="00625A76">
        <w:rPr>
          <w:color w:val="000000" w:themeColor="text1"/>
          <w:sz w:val="28"/>
          <w:szCs w:val="28"/>
          <w:lang w:val="en-US"/>
        </w:rPr>
        <w:t>inferiority of the shorter regimen was seen for CAPOX but not for FOLFOX</w:t>
      </w:r>
      <w:r w:rsidR="00B46389" w:rsidRPr="00625A76">
        <w:rPr>
          <w:color w:val="000000" w:themeColor="text1"/>
          <w:sz w:val="28"/>
          <w:szCs w:val="28"/>
          <w:lang w:val="en-US"/>
        </w:rPr>
        <w:fldChar w:fldCharType="begin" w:fldLock="1"/>
      </w:r>
      <w:r w:rsidR="00B46389" w:rsidRPr="00625A76">
        <w:rPr>
          <w:color w:val="000000" w:themeColor="text1"/>
          <w:sz w:val="28"/>
          <w:szCs w:val="28"/>
          <w:lang w:val="en-US"/>
        </w:rPr>
        <w:instrText>ADDIN CSL_CITATION {"citationItems":[{"id":"ITEM-1","itemData":{"DOI":"10.1056/NEJMoa1713709","ISSN":"0028-4793","author":[{"dropping-particle":"","family":"Grothey","given":"Axel","non-dropping-particle":"","parse-names":false,"suffix":""},{"dropping-particle":"","family":"Sobrero","given":"Alberto F","non-dropping-particle":"","parse-names":false,"suffix":""},{"dropping-particle":"","family":"Shields","given":"Anthony F","non-dropping-particle":"","parse-names":false,"suffix":""},{"dropping-particle":"","family":"Yoshino","given":"Takayuki","non-dropping-particle":"","parse-names":false,"suffix":""},{"dropping-particle":"","family":"Paul","given":"James","non-dropping-particle":"","parse-names":false,"suffix":""},{"dropping-particle":"","family":"Taieb","given":"Julien","non-dropping-particle":"","parse-names":false,"suffix":""},{"dropping-particle":"","family":"Souglakos","given":"John","non-dropping-particle":"","parse-names":false,"suffix":""},{"dropping-particle":"","family":"Shi","given":"Qian","non-dropping-particle":"","parse-names":false,"suffix":""},{"dropping-particle":"","family":"Kerr","given":"Rachel","non-dropping-particle":"","parse-names":false,"suffix":""},{"dropping-particle":"","family":"Labianca","given":"Roberto","non-dropping-particle":"","parse-names":false,"suffix":""},{"dropping-particle":"","family":"Meyerhardt","given":"Jeffrey A","non-dropping-particle":"","parse-names":false,"suffix":""},{"dropping-particle":"","family":"Vernerey","given":"Dewi","non-dropping-particle":"","parse-names":false,"suffix":""},{"dropping-particle":"","family":"Yamanaka","given":"Takeharu","non-dropping-particle":"","parse-names":false,"suffix":""},{"dropping-particle":"","family":"Boukovinas","given":"Ioannis","non-dropping-particle":"","parse-names":false,"suffix":""},{"dropping-particle":"","family":"Meyers","given":"Jeffrey P","non-dropping-particle":"","parse-names":false,"suffix":""},{"dropping-particle":"","family":"Renfro","given":"Lindsay A","non-dropping-particle":"","parse-names":false,"suffix":""},{"dropping-particle":"","family":"Niedzwiecki","given":"Donna","non-dropping-particle":"","parse-names":false,"suffix":""},{"dropping-particle":"","family":"Watanabe","given":"Toshiaki","non-dropping-particle":"","parse-names":false,"suffix":""},{"dropping-particle":"","family":"Torri","given":"Valter","non-dropping-particle":"","parse-names":false,"suffix":""},{"dropping-particle":"","family":"Saunders","given":"Mark","non-dropping-particle":"","parse-names":false,"suffix":""},{"dropping-particle":"","family":"Sargent","given":"Daniel J","non-dropping-particle":"","parse-names":false,"suffix":""},{"dropping-particle":"","family":"Andre","given":"Thierry","non-dropping-particle":"","parse-names":false,"suffix":""},{"dropping-particle":"","family":"Iveson","given":"Timothy","non-dropping-particle":"","parse-names":false,"suffix":""}],"container-title":"New England Journal of Medicine","id":"ITEM-1","issue":"13","issued":{"date-parts":[["2018","3","28"]]},"note":"doi: 10.1056/NEJMoa1713709","page":"1177-1188","publisher":"Massachusetts Medical Society","title":"Duration of Adjuvant Chemotherapy for Stage III Colon Cancer","type":"article-journal","volume":"378"},"uris":["http://www.mendeley.com/documents/?uuid=d016eea4-6d5a-42d0-bcdb-2313f6817ba5"]}],"mendeley":{"formattedCitation":"&lt;sup&gt;8&lt;/sup&gt;","plainTextFormattedCitation":"8","previouslyFormattedCitation":"&lt;sup&gt;8&lt;/sup&gt;"},"properties":{"noteIndex":0},"schema":"https://github.com/citation-style-language/schema/raw/master/csl-citation.json"}</w:instrText>
      </w:r>
      <w:r w:rsidR="00B46389" w:rsidRPr="00625A76">
        <w:rPr>
          <w:color w:val="000000" w:themeColor="text1"/>
          <w:sz w:val="28"/>
          <w:szCs w:val="28"/>
          <w:lang w:val="en-US"/>
        </w:rPr>
        <w:fldChar w:fldCharType="separate"/>
      </w:r>
      <w:r w:rsidR="00B46389" w:rsidRPr="00625A76">
        <w:rPr>
          <w:noProof/>
          <w:color w:val="000000" w:themeColor="text1"/>
          <w:sz w:val="28"/>
          <w:szCs w:val="28"/>
          <w:vertAlign w:val="superscript"/>
          <w:lang w:val="en-US"/>
        </w:rPr>
        <w:t>8</w:t>
      </w:r>
      <w:r w:rsidR="00B46389" w:rsidRPr="00625A76">
        <w:rPr>
          <w:color w:val="000000" w:themeColor="text1"/>
          <w:sz w:val="28"/>
          <w:szCs w:val="28"/>
          <w:lang w:val="en-US"/>
        </w:rPr>
        <w:fldChar w:fldCharType="end"/>
      </w:r>
      <w:r w:rsidRPr="00625A76">
        <w:rPr>
          <w:color w:val="000000" w:themeColor="text1"/>
          <w:sz w:val="28"/>
          <w:szCs w:val="28"/>
          <w:lang w:val="en-US"/>
        </w:rPr>
        <w:t>.</w:t>
      </w:r>
      <w:r w:rsidR="00EB7C5C" w:rsidRPr="00625A76">
        <w:rPr>
          <w:color w:val="000000" w:themeColor="text1"/>
          <w:sz w:val="28"/>
          <w:szCs w:val="28"/>
          <w:lang w:val="en-US"/>
        </w:rPr>
        <w:t xml:space="preserve"> As this difference between the treatments was unexpected, no randomization between them took place. Moreover, an exploratory analysis showed that for the combined regimen, 3 months of treatment was non-inferior in lower risk stage III patients (T1-3, N1), but not in higher risk (T4 and/or N2) patients.</w:t>
      </w:r>
    </w:p>
    <w:p w14:paraId="59E88C73" w14:textId="0A419F25" w:rsidR="006E4554" w:rsidRPr="00625A76" w:rsidRDefault="00C370D8" w:rsidP="009B4B71">
      <w:pPr>
        <w:jc w:val="both"/>
        <w:rPr>
          <w:color w:val="000000" w:themeColor="text1"/>
          <w:sz w:val="28"/>
          <w:szCs w:val="28"/>
          <w:lang w:val="en-US"/>
        </w:rPr>
      </w:pPr>
      <w:r w:rsidRPr="00625A76">
        <w:rPr>
          <w:color w:val="000000" w:themeColor="text1"/>
          <w:sz w:val="28"/>
          <w:szCs w:val="28"/>
          <w:lang w:val="en-US"/>
        </w:rPr>
        <w:t>Lessons learned</w:t>
      </w:r>
      <w:r w:rsidR="006E4554" w:rsidRPr="00625A76">
        <w:rPr>
          <w:color w:val="000000" w:themeColor="text1"/>
          <w:sz w:val="28"/>
          <w:szCs w:val="28"/>
          <w:lang w:val="en-US"/>
        </w:rPr>
        <w:t xml:space="preserve"> from I</w:t>
      </w:r>
      <w:r w:rsidR="00925E04" w:rsidRPr="00625A76">
        <w:rPr>
          <w:color w:val="000000" w:themeColor="text1"/>
          <w:sz w:val="28"/>
          <w:szCs w:val="28"/>
          <w:lang w:val="en-US"/>
        </w:rPr>
        <w:t>DEA</w:t>
      </w:r>
      <w:r w:rsidR="006E4554" w:rsidRPr="00625A76">
        <w:rPr>
          <w:color w:val="000000" w:themeColor="text1"/>
          <w:sz w:val="28"/>
          <w:szCs w:val="28"/>
          <w:lang w:val="en-US"/>
        </w:rPr>
        <w:t xml:space="preserve"> include</w:t>
      </w:r>
      <w:r w:rsidR="009E16AD" w:rsidRPr="00625A76">
        <w:rPr>
          <w:color w:val="000000" w:themeColor="text1"/>
          <w:sz w:val="28"/>
          <w:szCs w:val="28"/>
          <w:lang w:val="en-US"/>
        </w:rPr>
        <w:t xml:space="preserve">: </w:t>
      </w:r>
      <w:r w:rsidR="00AA299D" w:rsidRPr="00625A76">
        <w:rPr>
          <w:color w:val="000000" w:themeColor="text1"/>
          <w:sz w:val="28"/>
          <w:szCs w:val="28"/>
          <w:lang w:val="en-US"/>
        </w:rPr>
        <w:t xml:space="preserve">1) </w:t>
      </w:r>
      <w:r w:rsidR="009E16AD" w:rsidRPr="00625A76">
        <w:rPr>
          <w:color w:val="000000" w:themeColor="text1"/>
          <w:sz w:val="28"/>
          <w:szCs w:val="28"/>
          <w:lang w:val="en-US"/>
        </w:rPr>
        <w:t xml:space="preserve">a later time for randomization would have </w:t>
      </w:r>
      <w:r w:rsidR="00CB0D75" w:rsidRPr="00625A76">
        <w:rPr>
          <w:color w:val="000000" w:themeColor="text1"/>
          <w:sz w:val="28"/>
          <w:szCs w:val="28"/>
          <w:lang w:val="en-US"/>
        </w:rPr>
        <w:t xml:space="preserve">been </w:t>
      </w:r>
      <w:r w:rsidR="009E16AD" w:rsidRPr="00625A76">
        <w:rPr>
          <w:color w:val="000000" w:themeColor="text1"/>
          <w:sz w:val="28"/>
          <w:szCs w:val="28"/>
          <w:lang w:val="en-US"/>
        </w:rPr>
        <w:t>better to test the efficacy of the two regimens</w:t>
      </w:r>
      <w:r w:rsidR="00EA7734" w:rsidRPr="00625A76">
        <w:rPr>
          <w:color w:val="000000" w:themeColor="text1"/>
          <w:sz w:val="28"/>
          <w:szCs w:val="28"/>
          <w:lang w:val="en-US"/>
        </w:rPr>
        <w:t xml:space="preserve">, as </w:t>
      </w:r>
      <w:r w:rsidR="00B33804" w:rsidRPr="00625A76">
        <w:rPr>
          <w:color w:val="000000" w:themeColor="text1"/>
          <w:sz w:val="28"/>
          <w:szCs w:val="28"/>
          <w:lang w:val="en-US"/>
        </w:rPr>
        <w:t>the selected</w:t>
      </w:r>
      <w:r w:rsidR="00AD4C8A" w:rsidRPr="00625A76">
        <w:rPr>
          <w:color w:val="000000" w:themeColor="text1"/>
          <w:sz w:val="28"/>
          <w:szCs w:val="28"/>
          <w:lang w:val="en-US"/>
        </w:rPr>
        <w:t xml:space="preserve"> early</w:t>
      </w:r>
      <w:r w:rsidR="009E16AD" w:rsidRPr="00625A76">
        <w:rPr>
          <w:color w:val="000000" w:themeColor="text1"/>
          <w:sz w:val="28"/>
          <w:szCs w:val="28"/>
          <w:lang w:val="en-US"/>
        </w:rPr>
        <w:t xml:space="preserve"> point </w:t>
      </w:r>
      <w:r w:rsidR="009E16AD" w:rsidRPr="00625A76">
        <w:rPr>
          <w:color w:val="000000" w:themeColor="text1"/>
          <w:sz w:val="28"/>
          <w:szCs w:val="28"/>
          <w:lang w:val="en-US"/>
        </w:rPr>
        <w:lastRenderedPageBreak/>
        <w:t>for randomization increase</w:t>
      </w:r>
      <w:r w:rsidR="00B33804" w:rsidRPr="00625A76">
        <w:rPr>
          <w:color w:val="000000" w:themeColor="text1"/>
          <w:sz w:val="28"/>
          <w:szCs w:val="28"/>
          <w:lang w:val="en-US"/>
        </w:rPr>
        <w:t>d</w:t>
      </w:r>
      <w:r w:rsidR="009E16AD" w:rsidRPr="00625A76">
        <w:rPr>
          <w:color w:val="000000" w:themeColor="text1"/>
          <w:sz w:val="28"/>
          <w:szCs w:val="28"/>
          <w:lang w:val="en-US"/>
        </w:rPr>
        <w:t xml:space="preserve"> the risk of suboptimal treatment adherence in the arm with longer treatment duration; </w:t>
      </w:r>
      <w:r w:rsidR="00EA7734" w:rsidRPr="00625A76">
        <w:rPr>
          <w:color w:val="000000" w:themeColor="text1"/>
          <w:sz w:val="28"/>
          <w:szCs w:val="28"/>
          <w:lang w:val="en-US"/>
        </w:rPr>
        <w:t xml:space="preserve">2) </w:t>
      </w:r>
      <w:r w:rsidR="009E16AD" w:rsidRPr="00625A76">
        <w:rPr>
          <w:color w:val="000000" w:themeColor="text1"/>
          <w:sz w:val="28"/>
          <w:szCs w:val="28"/>
          <w:lang w:val="en-US"/>
        </w:rPr>
        <w:t>inclusion of patients with higher disease burden</w:t>
      </w:r>
      <w:r w:rsidR="00B33804" w:rsidRPr="00625A76">
        <w:rPr>
          <w:color w:val="000000" w:themeColor="text1"/>
          <w:sz w:val="28"/>
          <w:szCs w:val="28"/>
          <w:lang w:val="en-US"/>
        </w:rPr>
        <w:t xml:space="preserve"> should be avoided as it</w:t>
      </w:r>
      <w:r w:rsidR="009E16AD" w:rsidRPr="00625A76">
        <w:rPr>
          <w:color w:val="000000" w:themeColor="text1"/>
          <w:sz w:val="28"/>
          <w:szCs w:val="28"/>
          <w:lang w:val="en-US"/>
        </w:rPr>
        <w:t xml:space="preserve"> can jeopardize a “safe” de-escalation approach</w:t>
      </w:r>
      <w:r w:rsidR="009853FE" w:rsidRPr="00625A76">
        <w:rPr>
          <w:color w:val="000000" w:themeColor="text1"/>
          <w:sz w:val="28"/>
          <w:szCs w:val="28"/>
          <w:lang w:val="en-US"/>
        </w:rPr>
        <w:t xml:space="preserve">. </w:t>
      </w:r>
      <w:r w:rsidR="00EA7734" w:rsidRPr="00625A76">
        <w:rPr>
          <w:color w:val="000000" w:themeColor="text1"/>
          <w:sz w:val="28"/>
          <w:szCs w:val="28"/>
          <w:lang w:val="en-US"/>
        </w:rPr>
        <w:t xml:space="preserve">3) </w:t>
      </w:r>
      <w:r w:rsidR="009853FE" w:rsidRPr="00625A76">
        <w:rPr>
          <w:color w:val="000000" w:themeColor="text1"/>
          <w:sz w:val="28"/>
          <w:szCs w:val="28"/>
          <w:lang w:val="en-US"/>
        </w:rPr>
        <w:t xml:space="preserve">Pooling data from similar albeit different trials </w:t>
      </w:r>
      <w:proofErr w:type="gramStart"/>
      <w:r w:rsidR="009853FE" w:rsidRPr="00625A76">
        <w:rPr>
          <w:color w:val="000000" w:themeColor="text1"/>
          <w:sz w:val="28"/>
          <w:szCs w:val="28"/>
          <w:lang w:val="en-US"/>
        </w:rPr>
        <w:t>contributes</w:t>
      </w:r>
      <w:proofErr w:type="gramEnd"/>
      <w:r w:rsidR="009853FE" w:rsidRPr="00625A76">
        <w:rPr>
          <w:color w:val="000000" w:themeColor="text1"/>
          <w:sz w:val="28"/>
          <w:szCs w:val="28"/>
          <w:lang w:val="en-US"/>
        </w:rPr>
        <w:t xml:space="preserve"> to heterogeneity of results and complicates their interpretation. </w:t>
      </w:r>
    </w:p>
    <w:p w14:paraId="188AAFC9" w14:textId="586F03BC" w:rsidR="006E3BE8" w:rsidRPr="00625A76" w:rsidRDefault="00AC2CB1" w:rsidP="009B4B71">
      <w:pPr>
        <w:jc w:val="both"/>
        <w:rPr>
          <w:color w:val="000000" w:themeColor="text1"/>
          <w:sz w:val="28"/>
          <w:szCs w:val="28"/>
          <w:lang w:val="en-US"/>
        </w:rPr>
      </w:pPr>
      <w:r w:rsidRPr="00625A76">
        <w:rPr>
          <w:color w:val="000000" w:themeColor="text1"/>
          <w:sz w:val="28"/>
          <w:szCs w:val="28"/>
          <w:lang w:val="en-US"/>
        </w:rPr>
        <w:t>In HER2</w:t>
      </w:r>
      <w:r w:rsidR="00AD6E3F" w:rsidRPr="00625A76">
        <w:rPr>
          <w:color w:val="000000" w:themeColor="text1"/>
          <w:sz w:val="28"/>
          <w:szCs w:val="28"/>
          <w:lang w:val="en-US"/>
        </w:rPr>
        <w:t>-</w:t>
      </w:r>
      <w:r w:rsidRPr="00625A76">
        <w:rPr>
          <w:color w:val="000000" w:themeColor="text1"/>
          <w:sz w:val="28"/>
          <w:szCs w:val="28"/>
          <w:lang w:val="en-US"/>
        </w:rPr>
        <w:t>positive breast cancer</w:t>
      </w:r>
      <w:r w:rsidR="00925E04" w:rsidRPr="00625A76">
        <w:rPr>
          <w:color w:val="000000" w:themeColor="text1"/>
          <w:sz w:val="28"/>
          <w:szCs w:val="28"/>
          <w:lang w:val="en-US"/>
        </w:rPr>
        <w:t>,</w:t>
      </w:r>
      <w:r w:rsidRPr="00625A76">
        <w:rPr>
          <w:color w:val="000000" w:themeColor="text1"/>
          <w:sz w:val="28"/>
          <w:szCs w:val="28"/>
          <w:lang w:val="en-US"/>
        </w:rPr>
        <w:t xml:space="preserve"> </w:t>
      </w:r>
      <w:r w:rsidR="004A7D73">
        <w:rPr>
          <w:color w:val="000000" w:themeColor="text1"/>
          <w:sz w:val="28"/>
          <w:szCs w:val="28"/>
          <w:lang w:val="en-US"/>
        </w:rPr>
        <w:t>five</w:t>
      </w:r>
      <w:r w:rsidRPr="00625A76">
        <w:rPr>
          <w:color w:val="000000" w:themeColor="text1"/>
          <w:sz w:val="28"/>
          <w:szCs w:val="28"/>
          <w:lang w:val="en-US"/>
        </w:rPr>
        <w:t xml:space="preserve"> randomized clinical trials have been conducted to </w:t>
      </w:r>
      <w:r w:rsidR="00D755F6" w:rsidRPr="00625A76">
        <w:rPr>
          <w:color w:val="000000" w:themeColor="text1"/>
          <w:sz w:val="28"/>
          <w:szCs w:val="28"/>
          <w:lang w:val="en-US"/>
        </w:rPr>
        <w:t>investigate</w:t>
      </w:r>
      <w:r w:rsidRPr="00625A76">
        <w:rPr>
          <w:color w:val="000000" w:themeColor="text1"/>
          <w:sz w:val="28"/>
          <w:szCs w:val="28"/>
          <w:lang w:val="en-US"/>
        </w:rPr>
        <w:t xml:space="preserve"> non</w:t>
      </w:r>
      <w:r w:rsidR="00AD6E3F" w:rsidRPr="00625A76">
        <w:rPr>
          <w:color w:val="000000" w:themeColor="text1"/>
          <w:sz w:val="28"/>
          <w:szCs w:val="28"/>
          <w:lang w:val="en-US"/>
        </w:rPr>
        <w:t>-</w:t>
      </w:r>
      <w:r w:rsidRPr="00625A76">
        <w:rPr>
          <w:color w:val="000000" w:themeColor="text1"/>
          <w:sz w:val="28"/>
          <w:szCs w:val="28"/>
          <w:lang w:val="en-US"/>
        </w:rPr>
        <w:t xml:space="preserve">inferiority of adjuvant trastuzumab administration </w:t>
      </w:r>
      <w:r w:rsidR="00D755F6" w:rsidRPr="00625A76">
        <w:rPr>
          <w:color w:val="000000" w:themeColor="text1"/>
          <w:sz w:val="28"/>
          <w:szCs w:val="28"/>
          <w:lang w:val="en-US"/>
        </w:rPr>
        <w:t>duration</w:t>
      </w:r>
      <w:r w:rsidR="00AD6E3F" w:rsidRPr="00625A76">
        <w:rPr>
          <w:color w:val="000000" w:themeColor="text1"/>
          <w:sz w:val="28"/>
          <w:szCs w:val="28"/>
          <w:lang w:val="en-US"/>
        </w:rPr>
        <w:t>s</w:t>
      </w:r>
      <w:r w:rsidR="00D755F6" w:rsidRPr="00625A76">
        <w:rPr>
          <w:color w:val="000000" w:themeColor="text1"/>
          <w:sz w:val="28"/>
          <w:szCs w:val="28"/>
          <w:lang w:val="en-US"/>
        </w:rPr>
        <w:t xml:space="preserve"> </w:t>
      </w:r>
      <w:r w:rsidRPr="00625A76">
        <w:rPr>
          <w:color w:val="000000" w:themeColor="text1"/>
          <w:sz w:val="28"/>
          <w:szCs w:val="28"/>
          <w:lang w:val="en-US"/>
        </w:rPr>
        <w:t>of less than the “standard” one</w:t>
      </w:r>
      <w:r w:rsidR="00AD6E3F" w:rsidRPr="00625A76">
        <w:rPr>
          <w:color w:val="000000" w:themeColor="text1"/>
          <w:sz w:val="28"/>
          <w:szCs w:val="28"/>
          <w:lang w:val="en-US"/>
        </w:rPr>
        <w:t>-</w:t>
      </w:r>
      <w:r w:rsidRPr="00625A76">
        <w:rPr>
          <w:color w:val="000000" w:themeColor="text1"/>
          <w:sz w:val="28"/>
          <w:szCs w:val="28"/>
          <w:lang w:val="en-US"/>
        </w:rPr>
        <w:t>year treatment.</w:t>
      </w:r>
      <w:r w:rsidR="0006778F" w:rsidRPr="00625A76">
        <w:rPr>
          <w:color w:val="000000" w:themeColor="text1"/>
          <w:sz w:val="28"/>
          <w:szCs w:val="28"/>
          <w:lang w:val="en-US"/>
        </w:rPr>
        <w:t xml:space="preserve"> </w:t>
      </w:r>
      <w:r w:rsidR="00A70AA7" w:rsidRPr="00625A76">
        <w:rPr>
          <w:color w:val="000000" w:themeColor="text1"/>
          <w:sz w:val="28"/>
          <w:szCs w:val="28"/>
          <w:lang w:val="en-US"/>
        </w:rPr>
        <w:t>A meta-analysis showed important differences in the selection of “non-inferiority margin”.</w:t>
      </w:r>
      <w:r w:rsidR="00A70AA7" w:rsidRPr="00625A76">
        <w:rPr>
          <w:color w:val="000000" w:themeColor="text1"/>
          <w:sz w:val="28"/>
          <w:szCs w:val="28"/>
          <w:lang w:val="en-US"/>
        </w:rPr>
        <w:fldChar w:fldCharType="begin" w:fldLock="1"/>
      </w:r>
      <w:r w:rsidR="00696F47" w:rsidRPr="00625A76">
        <w:rPr>
          <w:color w:val="000000" w:themeColor="text1"/>
          <w:sz w:val="28"/>
          <w:szCs w:val="28"/>
          <w:lang w:val="en-US"/>
        </w:rPr>
        <w:instrText>ADDIN CSL_CITATION {"citationItems":[{"id":"ITEM-1","itemData":{"DOI":"10.1007/s10549-018-4967-8","ISSN":"15737217","abstract":"Background: One year of adjuvant trastuzumab, chosen empirically, improves survival of women with early-stage, Human Epidermal Growth Factor Receptor 2 (HER2) positive breast cancer. Two years of trastuzumab does not improve efficacy but increases cost, inconvenience, and adverse effects. We aimed to evaluate if less than 1 year of adjuvant trastuzumab retained efficacy while reducing toxicities and cost. Methods: We performed a pooled analyses of efficacy and toxicity from Randomized Controlled Trials (RCTs) comparing 1 year of trastuzumab to shorter durations in adjuvant treatment of HER2-positive breast cancer. Hazard Ratios (HR) for Overall Survival (OS) and Disease-Free Survival (DFS), and Odds Ratios (OR) for cardiac events with respective 95% Confidence Intervals (CI) were weighted using generic inverse variance approach and pooled in meta-analyses using random effects models with RevMan 5.3 software. Sub-group analyses of outcomes based on Estrogen Receptor (ER) and nodal status were performed. Results: Five RCTs involving approximately 12,000 patients qualified—three assessing 6 months and two assessing 9 weeks of trastuzumab compared to 1 year. All RCTs were designed to test non-inferiority of the shorter treatment. One year of trastuzumab resulted into better OS (pooled HR 1.23, 95% CI 1.07–1.42) and DFS (pooled HR 1.21, 95% CI 1.09–1.36) in overall population, but the benefit of longer treatment was statistically insignificant in node negative (HR 1. 20, p = 0.11), and ER positive disease (HR 1.15, p = 0.09). Odds ratio for cardiac events was significantly higher with the longer duration (OR 2.48, p &lt; 0.001). Conclusion: One year of trastuzumab for adjuvant treatment of breast cancer improves outcomes compared to shorter treatments in overall population. Cardiotoxicity is increased with the longer treatment.","author":[{"dropping-particle":"","family":"Niraula","given":"Saroj","non-dropping-particle":"","parse-names":false,"suffix":""},{"dropping-particle":"","family":"Gyawali","given":"Bishal","non-dropping-particle":"","parse-names":false,"suffix":""}],"container-title":"Breast Cancer Research and Treatment","id":"ITEM-1","issue":"1","issued":{"date-parts":[["2019","1","15"]]},"page":"103-109","publisher":"Springer New York LLC","title":"Optimal duration of adjuvant trastuzumab in treatment of early breast cancer: a meta-analysis of randomized controlled trials","type":"article-journal","volume":"173"},"uris":["http://www.mendeley.com/documents/?uuid=9fe22f74-349c-39a0-b13d-438f72e1b02a"]},{"id":"ITEM-2","itemData":{"DOI":"10.1038/s41523-018-0098-y","ISSN":"2374-4677","author":[{"dropping-particle":"","family":"Pondé","given":"Noam","non-dropping-particle":"","parse-names":false,"suffix":""},{"dropping-particle":"","family":"Gelber","given":"Richard D.","non-dropping-particle":"","parse-names":false,"suffix":""},{"dropping-particle":"","family":"Piccart","given":"Martine","non-dropping-particle":"","parse-names":false,"suffix":""}],"container-title":"npj Breast Cancer","id":"ITEM-2","issue":"1","issued":{"date-parts":[["2019","12","4"]]},"page":"1","publisher":"Nature Publishing Group","title":"PERSEPHONE: are we ready to de-escalate adjuvant trastuzumab for HER2-positive breast cancer?","type":"article-journal","volume":"5"},"uris":["http://www.mendeley.com/documents/?uuid=886a5188-4ba2-32b0-a7e3-19b8dced5dad"]}],"mendeley":{"formattedCitation":"&lt;sup&gt;9,10&lt;/sup&gt;","plainTextFormattedCitation":"9,10","previouslyFormattedCitation":"&lt;sup&gt;9,10&lt;/sup&gt;"},"properties":{"noteIndex":0},"schema":"https://github.com/citation-style-language/schema/raw/master/csl-citation.json"}</w:instrText>
      </w:r>
      <w:r w:rsidR="00A70AA7" w:rsidRPr="00625A76">
        <w:rPr>
          <w:color w:val="000000" w:themeColor="text1"/>
          <w:sz w:val="28"/>
          <w:szCs w:val="28"/>
          <w:lang w:val="en-US"/>
        </w:rPr>
        <w:fldChar w:fldCharType="separate"/>
      </w:r>
      <w:r w:rsidR="00696F47" w:rsidRPr="00625A76">
        <w:rPr>
          <w:noProof/>
          <w:color w:val="000000" w:themeColor="text1"/>
          <w:sz w:val="28"/>
          <w:szCs w:val="28"/>
          <w:vertAlign w:val="superscript"/>
          <w:lang w:val="en-US"/>
        </w:rPr>
        <w:t>9,10</w:t>
      </w:r>
      <w:r w:rsidR="00A70AA7" w:rsidRPr="00625A76">
        <w:rPr>
          <w:color w:val="000000" w:themeColor="text1"/>
          <w:sz w:val="28"/>
          <w:szCs w:val="28"/>
          <w:lang w:val="en-US"/>
        </w:rPr>
        <w:fldChar w:fldCharType="end"/>
      </w:r>
      <w:r w:rsidR="00A70AA7" w:rsidRPr="00625A76">
        <w:rPr>
          <w:color w:val="000000" w:themeColor="text1"/>
          <w:sz w:val="28"/>
          <w:szCs w:val="28"/>
          <w:lang w:val="en-US"/>
        </w:rPr>
        <w:t xml:space="preserve"> It suggests inferior outcomes for shorter duration trastuzumab for DFS but a significantly higher risk of cardiac events with 12 months of adjuvant. </w:t>
      </w:r>
      <w:r w:rsidR="0006778F" w:rsidRPr="00625A76">
        <w:rPr>
          <w:color w:val="000000" w:themeColor="text1"/>
          <w:sz w:val="28"/>
          <w:szCs w:val="28"/>
          <w:lang w:val="en-US"/>
        </w:rPr>
        <w:t>The only “</w:t>
      </w:r>
      <w:r w:rsidR="00AA299D" w:rsidRPr="00625A76">
        <w:rPr>
          <w:color w:val="000000" w:themeColor="text1"/>
          <w:sz w:val="28"/>
          <w:szCs w:val="28"/>
          <w:lang w:val="en-US"/>
        </w:rPr>
        <w:t>positive</w:t>
      </w:r>
      <w:r w:rsidR="0006778F" w:rsidRPr="00625A76">
        <w:rPr>
          <w:color w:val="000000" w:themeColor="text1"/>
          <w:sz w:val="28"/>
          <w:szCs w:val="28"/>
          <w:lang w:val="en-US"/>
        </w:rPr>
        <w:t>” trial, PERSEPHONE (NCT00712140), concluded that 6 months of trastuzumab is equivalent to 12 months, but raises doubts as to the applicability of its results</w:t>
      </w:r>
      <w:r w:rsidR="0006778F" w:rsidRPr="00625A76">
        <w:rPr>
          <w:color w:val="000000" w:themeColor="text1"/>
          <w:sz w:val="28"/>
          <w:szCs w:val="28"/>
          <w:lang w:val="en-US"/>
        </w:rPr>
        <w:fldChar w:fldCharType="begin" w:fldLock="1"/>
      </w:r>
      <w:r w:rsidR="00696F47" w:rsidRPr="00625A76">
        <w:rPr>
          <w:color w:val="000000" w:themeColor="text1"/>
          <w:sz w:val="28"/>
          <w:szCs w:val="28"/>
          <w:lang w:val="en-US"/>
        </w:rPr>
        <w:instrText>ADDIN CSL_CITATION {"citationItems":[{"id":"ITEM-1","itemData":{"author":[{"dropping-particle":"","family":"Earl","given":"HM","non-dropping-particle":"","parse-names":false,"suffix":""},{"dropping-particle":"","family":"Cameron","given":"DA","non-dropping-particle":"","parse-names":false,"suffix":""},{"dropping-particle":"","family":"Miles","given":"D","non-dropping-particle":"","parse-names":false,"suffix":""},{"dropping-particle":"","family":"al.","given":"et","non-dropping-particle":"","parse-names":false,"suffix":""}],"container-title":"J Clin Oncol","id":"ITEM-1","issued":{"date-parts":[["2014"]]},"title":"PERSEPHONE: duration of trastuzumab with chemotherapy in women with HER2-positive early breast cancer—six versus twelve months","type":"article-journal","volume":"32"},"uris":["http://www.mendeley.com/documents/?uuid=41b7cfd4-5f5d-38d6-89c3-1485664b19d8"]},{"id":"ITEM-2","itemData":{"DOI":"10.1016/S0140-6736(19)30650-6","ISSN":"1474547X","abstract":"Background: Adjuvant trastuzumab significantly improves outcomes for patients with HER2-positive early breast cancer. The standard treatment duration is 12 months but shorter treatment could provide similar efficacy while reducing toxicities and cost. We aimed to investigate whether 6-month adjuvant trastuzumab treatment is non-inferior to the standard 12-month treatment regarding disease-free survival. Methods: This study is an open-label, randomised phase 3 non-inferiority trial. Patients were recruited from 152 centres in the UK. We randomly assigned patients with HER2-positive early breast cancer, aged 18 years or older, and with a clear indication for chemotherapy, by a computerised minimisation process (1:1), to receive either 6-month or 12-month trastuzumab delivered every 3 weeks intravenously (loading dose of 8 mg/kg followed by maintenance doses of 6 mg/kg) or subcutaneously (600 mg), given in combination with chemotherapy (concurrently or sequentially). The primary endpoint was disease-free survival, analysed by intention to treat, with a non-inferiority margin of 3% for 4-year disease-free survival. Safety was analysed in all patients who received trastuzumab. This trial is registered with EudraCT (number 2006–007018–39), ISRCTN (number 52968807), and ClinicalTrials.gov (number NCT00712140). Findings: Between Oct 4, 2007, and July 31, 2015, 2045 patients were assigned to 12-month trastuzumab treatment and 2044 to 6-month treatment (one patient was excluded because they were double randomised). Median follow-up was 5·4 years (IQR 3·6–6·7) for both treatment groups, during which a disease-free survival event occurred in 265 (13%) of 2043 patients in the 6-month group and 247 (12%) of 2045 patients in the 12-month group. 4-year disease-free survival was 89·4% (95% CI 87·9–90·7) in the 6-month group and 89·8% (88·3–91·1) in the 12-month group (hazard ratio 1·07 [90% CI 0·93–1·24], non-inferiority p=0·011), showing non-inferiority of the 6-month treatment. 6-month trastuzumab treatment resulted in fewer patients reporting severe adverse events (373 [19%] of 1939 patients vs 459 [24%] of 1894 patients, p=0·0002) or stopping early because of cardiotoxicity (61 [3%] of 1939 patients vs 146 [8%] of 1894 patients, p&lt;0·0001). Interpretation: We have shown that 6-month trastuzumab treatment is non-inferior to 12-month treatment in patients with HER2-positive early breast cancer, with less cardiotoxicity and fewer severe adverse events. These results sup…","author":[{"dropping-particle":"","family":"Earl","given":"Helena M.","non-dropping-particle":"","parse-names":false,"suffix":""},{"dropping-particle":"","family":"Hiller","given":"Louise","non-dropping-particle":"","parse-names":false,"suffix":""},{"dropping-particle":"","family":"Vallier","given":"Anne Laure","non-dropping-particle":"","parse-names":false,"suffix":""},{"dropping-particle":"","family":"Loi","given":"Shrushma","non-dropping-particle":"","parse-names":false,"suffix":""},{"dropping-particle":"","family":"McAdam","given":"Karen","non-dropping-particle":"","parse-names":false,"suffix":""},{"dropping-particle":"","family":"Hughes-Davies","given":"Luke","non-dropping-particle":"","parse-names":false,"suffix":""},{"dropping-particle":"","family":"Harnett","given":"Adrian N.","non-dropping-particle":"","parse-names":false,"suffix":""},{"dropping-particle":"","family":"Ah-See","given":"Mei Lin","non-dropping-particle":"","parse-names":false,"suffix":""},{"dropping-particle":"","family":"Simcock","given":"Richard","non-dropping-particle":"","parse-names":false,"suffix":""},{"dropping-particle":"","family":"Rea","given":"Daniel","non-dropping-particle":"","parse-names":false,"suffix":""},{"dropping-particle":"","family":"Raj","given":"Sanjay","non-dropping-particle":"","parse-names":false,"suffix":""},{"dropping-particle":"","family":"Woodings","given":"Pamela","non-dropping-particle":"","parse-names":false,"suffix":""},{"dropping-particle":"","family":"Harries","given":"Mark","non-dropping-particle":"","parse-names":false,"suffix":""},{"dropping-particle":"","family":"Howe","given":"Donna","non-dropping-particle":"","parse-names":false,"suffix":""},{"dropping-particle":"","family":"Raynes","given":"Kerry","non-dropping-particle":"","parse-names":false,"suffix":""},{"dropping-particle":"","family":"Higgins","given":"Helen B.","non-dropping-particle":"","parse-names":false,"suffix":""},{"dropping-particle":"","family":"Wilcox","given":"Maggie","non-dropping-particle":"","parse-names":false,"suffix":""},{"dropping-particle":"","family":"Plummer","given":"Chris","non-dropping-particle":"","parse-names":false,"suffix":""},{"dropping-particle":"","family":"Mansi","given":"Janine","non-dropping-particle":"","parse-names":false,"suffix":""},{"dropping-particle":"","family":"Gounaris","given":"Ioannis","non-dropping-particle":"","parse-names":false,"suffix":""},{"dropping-particle":"","family":"Mahler-Araujo","given":"Betania","non-dropping-particle":"","parse-names":false,"suffix":""},{"dropping-particle":"","family":"Provenzano","given":"Elena","non-dropping-particle":"","parse-names":false,"suffix":""},{"dropping-particle":"","family":"Chhabra","given":"Anita","non-dropping-particle":"","parse-names":false,"suffix":""},{"dropping-particle":"","family":"Abraham","given":"Jean E.","non-dropping-particle":"","parse-names":false,"suffix":""},{"dropping-particle":"","family":"Caldas","given":"Carlos","non-dropping-particle":"","parse-names":false,"suffix":""},{"dropping-particle":"","family":"Hall","given":"Peter S.","non-dropping-particle":"","parse-names":false,"suffix":""},{"dropping-particle":"","family":"McCabe","given":"Christopher","non-dropping-particle":"","parse-names":false,"suffix":""},{"dropping-particle":"","family":"Hulme","given":"Claire","non-dropping-particle":"","parse-names":false,"suffix":""},{"dropping-particle":"","family":"Miles","given":"David","non-dropping-particle":"","parse-names":false,"suffix":""},{"dropping-particle":"","family":"Wardley","given":"Andrew M.","non-dropping-particle":"","parse-names":false,"suffix":""},{"dropping-particle":"","family":"Cameron","given":"David A.","non-dropping-particle":"","parse-names":false,"suffix":""},{"dropping-particle":"","family":"Dunn","given":"Janet A.","non-dropping-particle":"","parse-names":false,"suffix":""},{"dropping-particle":"","family":"Agarwal","given":"Roshan","non-dropping-particle":"","parse-names":false,"suffix":""},{"dropping-particle":"","family":"Algurafi","given":"Hafiz","non-dropping-particle":"","parse-names":false,"suffix":""},{"dropping-particle":"","family":"Allerton","given":"Rozenn","non-dropping-particle":"","parse-names":false,"suffix":""},{"dropping-particle":"","family":"Archer","given":"Caroline","non-dropping-particle":"","parse-names":false,"suffix":""},{"dropping-particle":"","family":"Armstrong","given":"Anne","non-dropping-particle":"","parse-names":false,"suffix":""},{"dropping-particle":"","family":"Bale","given":"Catherine","non-dropping-particle":"","parse-names":false,"suffix":""},{"dropping-particle":"","family":"Barraclough","given":"Lisa","non-dropping-particle":"","parse-names":false,"suffix":""},{"dropping-particle":"","family":"Barthakur","given":"Urmila","non-dropping-particle":"","parse-names":false,"suffix":""},{"dropping-particle":"","family":"Bedi","given":"Carolyn","non-dropping-particle":"","parse-names":false,"suffix":""},{"dropping-particle":"","family":"Benstead","given":"Kim","non-dropping-particle":"","parse-names":false,"suffix":""},{"dropping-particle":"","family":"Bloomfield","given":"David","non-dropping-particle":"","parse-names":false,"suffix":""},{"dropping-particle":"","family":"Bowen","given":"Rebecca","non-dropping-particle":"","parse-names":false,"suffix":""},{"dropping-particle":"","family":"Bradley","given":"Chris","non-dropping-particle":"","parse-names":false,"suffix":""},{"dropping-particle":"","family":"Brown","given":"Jane","non-dropping-particle":"","parse-names":false,"suffix":""},{"dropping-particle":"","family":"Butt","given":"Mohammad","non-dropping-particle":"","parse-names":false,"suffix":""},{"dropping-particle":"","family":"Churn","given":"Mark","non-dropping-particle":"","parse-names":false,"suffix":""},{"dropping-particle":"","family":"Cleator","given":"Susan","non-dropping-particle":"","parse-names":false,"suffix":""},{"dropping-particle":"","family":"Cliff","given":"Joanne","non-dropping-particle":"","parse-names":false,"suffix":""},{"dropping-particle":"","family":"Crellin","given":"Perric","non-dropping-particle":"","parse-names":false,"suffix":""},{"dropping-particle":"","family":"Daly","given":"Margaret","non-dropping-particle":"","parse-names":false,"suffix":""},{"dropping-particle":"","family":"Silva-Minor","given":"Shiroma","non-dropping-particle":"De","parse-names":false,"suffix":""},{"dropping-particle":"","family":"Dhadda","given":"Amandeep","non-dropping-particle":"","parse-names":false,"suffix":""},{"dropping-particle":"","family":"Din","given":"Omar","non-dropping-particle":"","parse-names":false,"suffix":""},{"dropping-particle":"","family":"Down","given":"Sue","non-dropping-particle":"","parse-names":false,"suffix":""},{"dropping-particle":"","family":"Earl","given":"Helena","non-dropping-particle":"","parse-names":false,"suffix":""},{"dropping-particle":"","family":"Eaton","given":"David","non-dropping-particle":"","parse-names":false,"suffix":""},{"dropping-particle":"","family":"Eichholz","given":"Andrew","non-dropping-particle":"","parse-names":false,"suffix":""},{"dropping-particle":"","family":"Epurescu","given":"Daniel","non-dropping-particle":"","parse-names":false,"suffix":""},{"dropping-particle":"","family":"Goh","given":"Chee","non-dropping-particle":"","parse-names":false,"suffix":""},{"dropping-particle":"","family":"Goodman","given":"Andrew","non-dropping-particle":"","parse-names":false,"suffix":""},{"dropping-particle":"","family":"Grieve","given":"Robert","non-dropping-particle":"","parse-names":false,"suffix":""},{"dropping-particle":"","family":"Hadaki","given":"Maher","non-dropping-particle":"","parse-names":false,"suffix":""},{"dropping-particle":"","family":"Harper-Wynne","given":"Catherine","non-dropping-particle":"","parse-names":false,"suffix":""},{"dropping-particle":"","family":"Hayward","given":"Larry","non-dropping-particle":"","parse-names":false,"suffix":""},{"dropping-particle":"","family":"Humphreys","given":"Alison","non-dropping-particle":"","parse-names":false,"suffix":""},{"dropping-particle":"","family":"Innes","given":"Helen","non-dropping-particle":"","parse-names":false,"suffix":""},{"dropping-particle":"","family":"Jafri","given":"Mariam","non-dropping-particle":"","parse-names":false,"suffix":""},{"dropping-particle":"","family":"Jegannathen","given":"Apurna","non-dropping-particle":"","parse-names":false,"suffix":""},{"dropping-particle":"","family":"Kelleher","given":"Muireann","non-dropping-particle":"","parse-names":false,"suffix":""},{"dropping-particle":"","family":"Kristeleit","given":"Hartmut","non-dropping-particle":"","parse-names":false,"suffix":""},{"dropping-particle":"","family":"Lee","given":"Daniela","non-dropping-particle":"","parse-names":false,"suffix":""},{"dropping-particle":"","family":"Lupton","given":"Susan","non-dropping-particle":"","parse-names":false,"suffix":""},{"dropping-particle":"","family":"MacGregor","given":"Carol","non-dropping-particle":"","parse-names":false,"suffix":""},{"dropping-particle":"","family":"Malik","given":"Zafar","non-dropping-particle":"","parse-names":false,"suffix":""},{"dropping-particle":"","family":"Marshall","given":"Jennifer","non-dropping-particle":"","parse-names":false,"suffix":""},{"dropping-particle":"","family":"McGolick","given":"Trevor","non-dropping-particle":"","parse-names":false,"suffix":""},{"dropping-particle":"","family":"Mehra","given":"Rakesh","non-dropping-particle":"","parse-names":false,"suffix":""},{"dropping-particle":"","family":"Mithal","given":"Natasha","non-dropping-particle":"","parse-names":false,"suffix":""},{"dropping-particle":"","family":"Moss","given":"Charlotte","non-dropping-particle":"","parse-names":false,"suffix":""},{"dropping-particle":"","family":"Moss","given":"Aian","non-dropping-particle":"","parse-names":false,"suffix":""},{"dropping-particle":"","family":"Mukesh","given":"Mukesh","non-dropping-particle":"","parse-names":false,"suffix":""},{"dropping-particle":"","family":"Neal","given":"Anthony","non-dropping-particle":"","parse-names":false,"suffix":""},{"dropping-particle":"","family":"Nelmes","given":"Daniel","non-dropping-particle":"","parse-names":false,"suffix":""},{"dropping-particle":"","family":"Neville-Webbe","given":"Helen","non-dropping-particle":"","parse-names":false,"suffix":""},{"dropping-particle":"","family":"Newby","given":"Jacqueline","non-dropping-particle":"","parse-names":false,"suffix":""},{"dropping-particle":"","family":"O'Reilly","given":"Susan","non-dropping-particle":"","parse-names":false,"suffix":""},{"dropping-particle":"","family":"Ostler","given":"Peter","non-dropping-particle":"","parse-names":false,"suffix":""},{"dropping-particle":"","family":"Persic","given":"Mojca","non-dropping-particle":"","parse-names":false,"suffix":""},{"dropping-particle":"","family":"Pettit","given":"Laura","non-dropping-particle":"","parse-names":false,"suffix":""},{"dropping-particle":"","family":"Raja","given":"Fharat","non-dropping-particle":"","parse-names":false,"suffix":""},{"dropping-particle":"","family":"Reed","given":"Catherine","non-dropping-particle":"","parse-names":false,"suffix":""},{"dropping-particle":"","family":"Rigg","given":"Anne","non-dropping-particle":"","parse-names":false,"suffix":""},{"dropping-particle":"","family":"Roe","given":"Helen","non-dropping-particle":"","parse-names":false,"suffix":""},{"dropping-particle":"","family":"Shah","given":"Nihal","non-dropping-particle":"","parse-names":false,"suffix":""},{"dropping-particle":"","family":"Simmonds","given":"Peter","non-dropping-particle":"","parse-names":false,"suffix":""},{"dropping-particle":"","family":"Sims","given":"Eliot","non-dropping-particle":"","parse-names":false,"suffix":""},{"dropping-particle":"","family":"Smith","given":"Sarah","non-dropping-particle":"","parse-names":false,"suffix":""},{"dropping-particle":"","family":"Storey","given":"Nicola","non-dropping-particle":"","parse-names":false,"suffix":""},{"dropping-particle":"","family":"Taylor","given":"Wendy","non-dropping-particle":"","parse-names":false,"suffix":""},{"dropping-particle":"","family":"Thanvi","given":"Narottam","non-dropping-particle":"","parse-names":false,"suffix":""},{"dropping-particle":"","family":"Tipples","given":"Karen","non-dropping-particle":"","parse-names":false,"suffix":""},{"dropping-particle":"","family":"Vaidya","given":"Jayant","non-dropping-particle":"","parse-names":false,"suffix":""},{"dropping-particle":"","family":"Varughese","given":"Mohini","non-dropping-particle":"","parse-names":false,"suffix":""},{"dropping-particle":"","family":"Vinayan","given":"Anup","non-dropping-particle":"","parse-names":false,"suffix":""},{"dropping-particle":"","family":"Walji","given":"Nawaz","non-dropping-particle":"","parse-names":false,"suffix":""},{"dropping-particle":"","family":"Waters","given":"Simon","non-dropping-particle":"","parse-names":false,"suffix":""},{"dropping-particle":"","family":"Wright","given":"Kathryn","non-dropping-particle":"","parse-names":false,"suffix":""},{"dropping-particle":"","family":"Yahya","given":"Sundus","non-dropping-particle":"","parse-names":false,"suffix":""}],"container-title":"The Lancet","id":"ITEM-2","issue":"10191","issued":{"date-parts":[["2019","6","29"]]},"page":"2599-2612","publisher":"Lancet Publishing Group","title":"6 versus 12 months of adjuvant trastuzumab for HER2-positive early breast cancer (PERSEPHONE): 4-year disease-free survival results of a randomised phase 3 non-inferiority trial","type":"article-journal","volume":"393"},"uris":["http://www.mendeley.com/documents/?uuid=471cccdb-f48e-38b6-975e-f27ba5e10601"]},{"id":"ITEM-3","itemData":{"DOI":"10.1038/s41523-018-0098-y","ISSN":"2374-4677","author":[{"dropping-particle":"","family":"Pondé","given":"Noam","non-dropping-particle":"","parse-names":false,"suffix":""},{"dropping-particle":"","family":"Gelber","given":"Richard D.","non-dropping-particle":"","parse-names":false,"suffix":""},{"dropping-particle":"","family":"Piccart","given":"Martine","non-dropping-particle":"","parse-names":false,"suffix":""}],"container-title":"npj Breast Cancer","id":"ITEM-3","issue":"1","issued":{"date-parts":[["2019","12","4"]]},"page":"1","publisher":"Nature Publishing Group","title":"PERSEPHONE: are we ready to de-escalate adjuvant trastuzumab for HER2-positive breast cancer?","type":"article-journal","volume":"5"},"uris":["http://www.mendeley.com/documents/?uuid=886a5188-4ba2-32b0-a7e3-19b8dced5dad"]}],"mendeley":{"formattedCitation":"&lt;sup&gt;10–12&lt;/sup&gt;","plainTextFormattedCitation":"10–12","previouslyFormattedCitation":"&lt;sup&gt;10–12&lt;/sup&gt;"},"properties":{"noteIndex":0},"schema":"https://github.com/citation-style-language/schema/raw/master/csl-citation.json"}</w:instrText>
      </w:r>
      <w:r w:rsidR="0006778F" w:rsidRPr="00625A76">
        <w:rPr>
          <w:color w:val="000000" w:themeColor="text1"/>
          <w:sz w:val="28"/>
          <w:szCs w:val="28"/>
          <w:lang w:val="en-US"/>
        </w:rPr>
        <w:fldChar w:fldCharType="separate"/>
      </w:r>
      <w:r w:rsidR="00696F47" w:rsidRPr="00625A76">
        <w:rPr>
          <w:noProof/>
          <w:color w:val="000000" w:themeColor="text1"/>
          <w:sz w:val="28"/>
          <w:szCs w:val="28"/>
          <w:vertAlign w:val="superscript"/>
          <w:lang w:val="en-US"/>
        </w:rPr>
        <w:t>10–12</w:t>
      </w:r>
      <w:r w:rsidR="0006778F" w:rsidRPr="00625A76">
        <w:rPr>
          <w:color w:val="000000" w:themeColor="text1"/>
          <w:sz w:val="28"/>
          <w:szCs w:val="28"/>
          <w:lang w:val="en-US"/>
        </w:rPr>
        <w:fldChar w:fldCharType="end"/>
      </w:r>
      <w:r w:rsidR="0006778F" w:rsidRPr="00625A76">
        <w:rPr>
          <w:color w:val="000000" w:themeColor="text1"/>
          <w:sz w:val="28"/>
          <w:szCs w:val="28"/>
          <w:lang w:val="en-US"/>
        </w:rPr>
        <w:t xml:space="preserve">. </w:t>
      </w:r>
      <w:r w:rsidR="009853FE" w:rsidRPr="00625A76">
        <w:rPr>
          <w:color w:val="000000" w:themeColor="text1"/>
          <w:sz w:val="28"/>
          <w:szCs w:val="28"/>
          <w:lang w:val="en-US"/>
        </w:rPr>
        <w:t>PERSEPHONE and PHARE</w:t>
      </w:r>
      <w:r w:rsidR="009853FE" w:rsidRPr="00625A76">
        <w:rPr>
          <w:color w:val="000000" w:themeColor="text1"/>
          <w:sz w:val="28"/>
          <w:szCs w:val="28"/>
          <w:lang w:val="en-US"/>
        </w:rPr>
        <w:fldChar w:fldCharType="begin" w:fldLock="1"/>
      </w:r>
      <w:r w:rsidR="00696F47" w:rsidRPr="00625A76">
        <w:rPr>
          <w:color w:val="000000" w:themeColor="text1"/>
          <w:sz w:val="28"/>
          <w:szCs w:val="28"/>
          <w:lang w:val="en-US"/>
        </w:rPr>
        <w:instrText>ADDIN CSL_CITATION {"citationItems":[{"id":"ITEM-1","itemData":{"author":[{"dropping-particle":"","family":"Pivot","given":"X","non-dropping-particle":"","parse-names":false,"suffix":""},{"dropping-particle":"","family":"Romieu","given":"G","non-dropping-particle":"","parse-names":false,"suffix":""},{"dropping-particle":"","family":"Debled","given":"M","non-dropping-particle":"","parse-names":false,"suffix":""},{"dropping-particle":"","family":"al.","given":"et","non-dropping-particle":"","parse-names":false,"suffix":""}],"container-title":"Lancet Oncol","id":"ITEM-1","issued":{"date-parts":[["2013"]]},"page":"741-748","title":"6 months versus 12 months of adjuvant trastuzumab for patients with HER2-positive early breast cancer (PHARE): a randomised phase 3 trial","type":"article-journal","volume":"14"},"uris":["http://www.mendeley.com/documents/?uuid=e0d69ef0-7cc6-327e-af1d-bc0602c01086"]},{"id":"ITEM-2","itemData":{"DOI":"10.1016/S0140-6736(19)30653-1","ISSN":"1474547X","abstract":"Background: In 2013, the interim analysis of the Protocol for Herceptin as Adjuvant therapy with Reduced Exposure (PHARE) trial could not show that 6 months of adjuvant trastuzumab was non-inferior to 12 months. Here, we report the planned final analysis based on the prespecified number of occurring events. Methods: PHARE is an open-label, phase 3, non-inferiority randomised trial of patients with HER2-positive early breast cancer comparing 6 months versus 12 months of trastuzumab treatment concomitant with or following standard neoadjuvant or adjuvant chemotherapy. The study was undertaken in 156 centres in France. Eligible patients were women aged 18 years or older with non-metastatic, operable, histologically confirmed adenocarcinoma of the breast and either positive axillary nodes or negative axillary nodes but a tumour of at least 10 mm. Participants must have received at least four cycles of a chemotherapy for this breast cancer and have started receiving adjuvant trastuzumab-treatment. Eligible patients were randomly assigned to either 6 months or 12 months of trastuzumab therapy duration between the third and sixth months of adjuvant trastuzumab. The randomisation was stratified by concomitant or sequential treatment with chemotherapy, oestrogen receptor status, and centre. The primary objective was non-inferiority in the intention-to-treat population in the 6-month group in terms of disease-free survival with a prespecified hazard margin of 1·15. This trial is registered with ClinicalTrials.gov, number NCT00381901. Findings: 3384 patients were enrolled and randomly assigned to either 12 months (n=1691) or 6 months (n=1693) of adjuvant trastuzumab. One patient in the 12-month group and three patients in the 6-month group were excluded, so 1690 patients in each group were included in the intention-to-treat analysis. At a median follow-up of 7·5 years (IQR 5·3–8·8), 704 events relevant to disease-free survival were observed (345 [20·4%] in the 12-month group and 359 [21·2%] in the 6-month group). The adjusted hazard ratio for disease-free survival in the 12-month group versus the 6-month group was 1·08 (95% CI 0·93–1·25; p=0·39). The non-inferiority margin was included in the 95% CI. No differences in effects pertaining to trastuzumab duration were found in any of the subgroups. After the completion of trastuzumab treatment, rare adverse events occurred over time and the safety analysis remained similar to the previously published report. In parti…","author":[{"dropping-particle":"","family":"Pivot","given":"Xavier","non-dropping-particle":"","parse-names":false,"suffix":""},{"dropping-particle":"","family":"Romieu","given":"Gilles","non-dropping-particle":"","parse-names":false,"suffix":""},{"dropping-particle":"","family":"Debled","given":"Marc","non-dropping-particle":"","parse-names":false,"suffix":""},{"dropping-particle":"","family":"Pierga","given":"Jean Yves","non-dropping-particle":"","parse-names":false,"suffix":""},{"dropping-particle":"","family":"Kerbrat","given":"Pierre","non-dropping-particle":"","parse-names":false,"suffix":""},{"dropping-particle":"","family":"Bachelot","given":"Thomas","non-dropping-particle":"","parse-names":false,"suffix":""},{"dropping-particle":"","family":"Lortholary","given":"Alain","non-dropping-particle":"","parse-names":false,"suffix":""},{"dropping-particle":"","family":"Espié","given":"Marc","non-dropping-particle":"","parse-names":false,"suffix":""},{"dropping-particle":"","family":"Fumoleau","given":"Pierre","non-dropping-particle":"","parse-names":false,"suffix":""},{"dropping-particle":"","family":"Serin","given":"Daniel","non-dropping-particle":"","parse-names":false,"suffix":""},{"dropping-particle":"","family":"Jacquin","given":"Jean Philippe","non-dropping-particle":"","parse-names":false,"suffix":""},{"dropping-particle":"","family":"Jouannaud","given":"Christelle","non-dropping-particle":"","parse-names":false,"suffix":""},{"dropping-particle":"","family":"Rios","given":"Maria","non-dropping-particle":"","parse-names":false,"suffix":""},{"dropping-particle":"","family":"Abadie-Lacourtoisie","given":"Sophie","non-dropping-particle":"","parse-names":false,"suffix":""},{"dropping-particle":"","family":"Venat-Bouvet","given":"Laurence","non-dropping-particle":"","parse-names":false,"suffix":""},{"dropping-particle":"","family":"Cany","given":"Laurent","non-dropping-particle":"","parse-names":false,"suffix":""},{"dropping-particle":"","family":"Catala","given":"Stéphanie","non-dropping-particle":"","parse-names":false,"suffix":""},{"dropping-particle":"","family":"Khayat","given":"David","non-dropping-particle":"","parse-names":false,"suffix":""},{"dropping-particle":"","family":"Gambotti","given":"Laetitia","non-dropping-particle":"","parse-names":false,"suffix":""},{"dropping-particle":"","family":"Pauporté","given":"Iris","non-dropping-particle":"","parse-names":false,"suffix":""},{"dropping-particle":"","family":"Faure-Mercier","given":"Celine","non-dropping-particle":"","parse-names":false,"suffix":""},{"dropping-particle":"","family":"Paget-Bailly","given":"Sophie","non-dropping-particle":"","parse-names":false,"suffix":""},{"dropping-particle":"","family":"Henriques","given":"Julie","non-dropping-particle":"","parse-names":false,"suffix":""},{"dropping-particle":"","family":"Grouin","given":"Jean Marie","non-dropping-particle":"","parse-names":false,"suffix":""},{"dropping-particle":"","family":"Piprot","given":"C.","non-dropping-particle":"","parse-names":false,"suffix":""},{"dropping-particle":"","family":"Cals","given":"L.","non-dropping-particle":"","parse-names":false,"suffix":""},{"dropping-particle":"","family":"Chaigneau","given":"L.","non-dropping-particle":"","parse-names":false,"suffix":""},{"dropping-particle":"","family":"Demarchi","given":"F.","non-dropping-particle":"","parse-names":false,"suffix":""},{"dropping-particle":"","family":"N'Guyen","given":"T.","non-dropping-particle":"","parse-names":false,"suffix":""},{"dropping-particle":"","family":"Stein","given":"U.","non-dropping-particle":"","parse-names":false,"suffix":""},{"dropping-particle":"","family":"Villanueva","given":"C.","non-dropping-particle":"","parse-names":false,"suffix":""},{"dropping-particle":"","family":"Bréau","given":"J. L.","non-dropping-particle":"","parse-names":false,"suffix":""},{"dropping-particle":"","family":"Chouahnia","given":"A. K.","non-dropping-particle":"","parse-names":false,"suffix":""},{"dropping-particle":"","family":"Saintigny","given":"P.","non-dropping-particle":"","parse-names":false,"suffix":""},{"dropping-particle":"","family":"Boué","given":"F.","non-dropping-particle":"","parse-names":false,"suffix":""},{"dropping-particle":"","family":"deSaint-Hilaire","given":"P.","non-dropping-particle":"","parse-names":false,"suffix":""},{"dropping-particle":"","family":"Guimont","given":"I.","non-dropping-particle":"","parse-names":false,"suffix":""},{"dropping-particle":"","family":"Grossat","given":"N.","non-dropping-particle":"","parse-names":false,"suffix":""},{"dropping-particle":"","family":"Valenza","given":"B.","non-dropping-particle":"","parse-names":false,"suffix":""},{"dropping-particle":"","family":"Lévy","given":"E.","non-dropping-particle":"","parse-names":false,"suffix":""},{"dropping-particle":"","family":"Médioni","given":"J.","non-dropping-particle":"","parse-names":false,"suffix":""},{"dropping-particle":"","family":"Delbaldo","given":"C.","non-dropping-particle":"","parse-names":false,"suffix":""},{"dropping-particle":"","family":"Grenier","given":"J.","non-dropping-particle":"","parse-names":false,"suffix":""},{"dropping-particle":"","family":"Pouessel","given":"D.","non-dropping-particle":"","parse-names":false,"suffix":""},{"dropping-particle":"","family":"Lavau-Denès","given":"S.","non-dropping-particle":"","parse-names":false,"suffix":""},{"dropping-particle":"","family":"Falandry","given":"C.","non-dropping-particle":"","parse-names":false,"suffix":""},{"dropping-particle":"","family":"Fournel-Fédérico","given":"C.","non-dropping-particle":"","parse-names":false,"suffix":""},{"dropping-particle":"","family":"Freyer","given":"G.","non-dropping-particle":"","parse-names":false,"suffix":""},{"dropping-particle":"","family":"Tartas","given":"S.","non-dropping-particle":"","parse-names":false,"suffix":""},{"dropping-particle":"","family":"Trillet-Lenoir","given":"V.","non-dropping-particle":"","parse-names":false,"suffix":""},{"dropping-particle":"","family":"Bons","given":"F.","non-dropping-particle":"","parse-names":false,"suffix":""},{"dropping-particle":"","family":"Auclerc","given":"G.","non-dropping-particle":"","parse-names":false,"suffix":""},{"dropping-particle":"","family":"Chièze","given":"S.","non-dropping-particle":"","parse-names":false,"suffix":""},{"dropping-particle":"","family":"Raban","given":"N.","non-dropping-particle":"","parse-names":false,"suffix":""},{"dropping-particle":"","family":"Tournigand","given":"C.","non-dropping-particle":"","parse-names":false,"suffix":""},{"dropping-particle":"","family":"Trager-Maury","given":"S.","non-dropping-particle":"","parse-names":false,"suffix":""},{"dropping-particle":"","family":"Bousquet","given":"G.","non-dropping-particle":"","parse-names":false,"suffix":""},{"dropping-particle":"","family":"Cuvier","given":"C.","non-dropping-particle":"","parse-names":false,"suffix":""},{"dropping-particle":"","family":"Giacchetti","given":"S.","non-dropping-particle":"","parse-names":false,"suffix":""},{"dropping-particle":"","family":"Hocini","given":"A.","non-dropping-particle":"","parse-names":false,"suffix":""},{"dropping-particle":"","family":"LeMaignan","given":"C.","non-dropping-particle":"","parse-names":false,"suffix":""},{"dropping-particle":"","family":"Misset","given":"J. L.","non-dropping-particle":"","parse-names":false,"suffix":""},{"dropping-particle":"","family":"Avenin","given":"D.","non-dropping-particle":"","parse-names":false,"suffix":""},{"dropping-particle":"","family":"Beerblock","given":"C.","non-dropping-particle":"","parse-names":false,"suffix":""},{"dropping-particle":"","family":"Gligorov","given":"J.","non-dropping-particle":"","parse-names":false,"suffix":""},{"dropping-particle":"","family":"Rivera","given":"P.","non-dropping-particle":"","parse-names":false,"suffix":""},{"dropping-particle":"","family":"Roché","given":"H.","non-dropping-particle":"","parse-names":false,"suffix":""},{"dropping-particle":"","family":"Bougnoux","given":"P.","non-dropping-particle":"","parse-names":false,"suffix":""},{"dropping-particle":"","family":"Hajjaji","given":"N.","non-dropping-particle":"","parse-names":false,"suffix":""},{"dropping-particle":"","family":"Capitain","given":"O.","non-dropping-particle":"","parse-names":false,"suffix":""},{"dropping-particle":"","family":"Delva","given":"R.","non-dropping-particle":"","parse-names":false,"suffix":""},{"dropping-particle":"","family":"Maillart","given":"P.","non-dropping-particle":"","parse-names":false,"suffix":""},{"dropping-particle":"","family":"Soulié","given":"P.","non-dropping-particle":"","parse-names":false,"suffix":""},{"dropping-particle":"","family":"Bonnefoi","given":"H.","non-dropping-particle":"","parse-names":false,"suffix":""},{"dropping-particle":"","family":"Durand","given":"M.","non-dropping-particle":"","parse-names":false,"suffix":""},{"dropping-particle":"","family":"Madranges","given":"N.","non-dropping-particle":"","parse-names":false,"suffix":""},{"dropping-particle":"","family":"Mauriac","given":"L.","non-dropping-particle":"","parse-names":false,"suffix":""},{"dropping-particle":"","family":"Chollet","given":"P.","non-dropping-particle":"","parse-names":false,"suffix":""},{"dropping-particle":"","family":"Dillies","given":"A. F.","non-dropping-particle":"","parse-names":false,"suffix":""},{"dropping-particle":"","family":"Durando","given":"X.","non-dropping-particle":"","parse-names":false,"suffix":""},{"dropping-particle":"","family":"Ferrière","given":"J. P.","non-dropping-particle":"","parse-names":false,"suffix":""},{"dropping-particle":"","family":"Mouret-Reynier","given":"C.","non-dropping-particle":"","parse-names":false,"suffix":""},{"dropping-particle":"","family":"Nabholtz","given":"J. M.","non-dropping-particle":"","parse-names":false,"suffix":""},{"dropping-particle":"","family":"Praagh","given":"I.","non-dropping-particle":"Van","parse-names":false,"suffix":""},{"dropping-particle":"","family":"Cottu","given":"P.","non-dropping-particle":"","parse-names":false,"suffix":""},{"dropping-particle":"","family":"Diéras","given":"V.","non-dropping-particle":"","parse-names":false,"suffix":""},{"dropping-particle":"","family":"Durieux","given":"A.","non-dropping-particle":"","parse-names":false,"suffix":""},{"dropping-particle":"","family":"Galotte","given":"M.","non-dropping-particle":"","parse-names":false,"suffix":""},{"dropping-particle":"","family":"Girre","given":"V.","non-dropping-particle":"","parse-names":false,"suffix":""},{"dropping-particle":"","family":"Henry","given":"S.","non-dropping-particle":"","parse-names":false,"suffix":""},{"dropping-particle":"","family":"Iurisci","given":"I.","non-dropping-particle":"","parse-names":false,"suffix":""},{"dropping-particle":"","family":"Jouve","given":"M.","non-dropping-particle":"","parse-names":false,"suffix":""},{"dropping-particle":"","family":"Laurence","given":"V.","non-dropping-particle":"","parse-names":false,"suffix":""},{"dropping-particle":"","family":"Mignot","given":"L.","non-dropping-particle":"","parse-names":false,"suffix":""},{"dropping-particle":"","family":"Piperno-Neumann","given":"S.","non-dropping-particle":"","parse-names":false,"suffix":""},{"dropping-particle":"","family":"Tresca","given":"P.","non-dropping-particle":"","parse-names":false,"suffix":""},{"dropping-particle":"","family":"Coudert","given":"B.","non-dropping-particle":"","parse-names":false,"suffix":""},{"dropping-particle":"","family":"Ferrant","given":"E.","non-dropping-particle":"","parse-names":false,"suffix":""},{"dropping-particle":"","family":"Mayer","given":"F.","non-dropping-particle":"","parse-names":false,"suffix":""},{"dropping-particle":"","family":"Vanneuville","given":"A. C.","non-dropping-particle":"","parse-names":false,"suffix":""},{"dropping-particle":"","family":"Bonneterre","given":"J.","non-dropping-particle":"","parse-names":false,"suffix":""},{"dropping-particle":"","family":"Servent","given":"V.","non-dropping-particle":"","parse-names":false,"suffix":""},{"dropping-particle":"","family":"Vanlemmens","given":"L.","non-dropping-particle":"","parse-names":false,"suffix":""},{"dropping-particle":"","family":"Vennin","given":"P.","non-dropping-particle":"","parse-names":false,"suffix":""},{"dropping-particle":"","family":"Guastalla","given":"J. P.","non-dropping-particle":"","parse-names":false,"suffix":""},{"dropping-particle":"","family":"Biron","given":"P.","non-dropping-particle":"","parse-names":false,"suffix":""},{"dropping-particle":"","family":"Dupuy-Brousseau","given":"L.","non-dropping-particle":"","parse-names":false,"suffix":""},{"dropping-particle":"","family":"Lancry","given":"L.","non-dropping-particle":"","parse-names":false,"suffix":""},{"dropping-particle":"","family":"Ray-Coquard","given":"I.","non-dropping-particle":"","parse-names":false,"suffix":""},{"dropping-particle":"","family":"Rebattu","given":"P.","non-dropping-particle":"","parse-names":false,"suffix":""},{"dropping-particle":"","family":"Trédan","given":"O.","non-dropping-particle":"","parse-names":false,"suffix":""},{"dropping-particle":"","family":"Extra","given":"J. M.","non-dropping-particle":"","parse-names":false,"suffix":""},{"dropping-particle":"","family":"Rousseau","given":"F.","non-dropping-particle":"","parse-names":false,"suffix":""},{"dropping-particle":"","family":"Tarpin","given":"C.","non-dropping-particle":"","parse-names":false,"suffix":""},{"dropping-particle":"","family":"Fabbro","given":"M.","non-dropping-particle":"","parse-names":false,"suffix":""},{"dropping-particle":"","family":"Luporsi","given":"E.","non-dropping-particle":"","parse-names":false,"suffix":""},{"dropping-particle":"","family":"Uwer","given":"L.","non-dropping-particle":"","parse-names":false,"suffix":""},{"dropping-particle":"","family":"Weber","given":"B.","non-dropping-particle":"","parse-names":false,"suffix":""},{"dropping-particle":"","family":"Berton-Rigaud","given":"D.","non-dropping-particle":"","parse-names":false,"suffix":""},{"dropping-particle":"","family":"Bourbouloux","given":"E.","non-dropping-particle":"","parse-names":false,"suffix":""},{"dropping-particle":"","family":"Campone","given":"M.","non-dropping-particle":"","parse-names":false,"suffix":""},{"dropping-particle":"","family":"Ferrero","given":"J. M.","non-dropping-particle":"","parse-names":false,"suffix":""},{"dropping-particle":"","family":"Follana","given":"P.","non-dropping-particle":"","parse-names":false,"suffix":""},{"dropping-particle":"","family":"Largillier","given":"R.","non-dropping-particle":"","parse-names":false,"suffix":""},{"dropping-particle":"","family":"Mari","given":"V.","non-dropping-particle":"","parse-names":false,"suffix":""},{"dropping-particle":"","family":"Costa","given":"B.","non-dropping-particle":"","parse-names":false,"suffix":""},{"dropping-particle":"","family":"Curé","given":"H.","non-dropping-particle":"","parse-names":false,"suffix":""},{"dropping-particle":"","family":"Eymard","given":"J. C.","non-dropping-particle":"","parse-names":false,"suffix":""},{"dropping-particle":"","family":"Jovenin","given":"N.","non-dropping-particle":"","parse-names":false,"suffix":""},{"dropping-particle":"","family":"Lebrun","given":"D.","non-dropping-particle":"","parse-names":false,"suffix":""},{"dropping-particle":"","family":"Meunier","given":"J.","non-dropping-particle":"","parse-names":false,"suffix":""},{"dropping-particle":"","family":"Yazbek","given":"G.","non-dropping-particle":"","parse-names":false,"suffix":""},{"dropping-particle":"","family":"Gedoin","given":"D.","non-dropping-particle":"","parse-names":false,"suffix":""},{"dropping-particle":"","family":"Laguerre","given":"B.","non-dropping-particle":"","parse-names":false,"suffix":""},{"dropping-particle":"","family":"Lefeuvre","given":"C.","non-dropping-particle":"","parse-names":false,"suffix":""},{"dropping-particle":"","family":"Vauléon","given":"E.","non-dropping-particle":"","parse-names":false,"suffix":""},{"dropping-particle":"","family":"Chevrier","given":"A.","non-dropping-particle":"","parse-names":false,"suffix":""},{"dropping-particle":"","family":"Guillemet","given":"C.","non-dropping-particle":"","parse-names":false,"suffix":""},{"dropping-particle":"","family":"Leheurteur","given":"M.","non-dropping-particle":"","parse-names":false,"suffix":""},{"dropping-particle":"","family":"Rigal","given":"O.","non-dropping-particle":"","parse-names":false,"suffix":""},{"dropping-particle":"","family":"Tennevet","given":"I.","non-dropping-particle":"","parse-names":false,"suffix":""},{"dropping-particle":"","family":"Veyret","given":"C.","non-dropping-particle":"","parse-names":false,"suffix":""},{"dropping-particle":"","family":"Brain","given":"E.","non-dropping-particle":"","parse-names":false,"suffix":""},{"dropping-particle":"","family":"Guiterrez","given":"M.","non-dropping-particle":"","parse-names":false,"suffix":""},{"dropping-particle":"","family":"Mefti-Lacheraf","given":"F.","non-dropping-particle":"","parse-names":false,"suffix":""},{"dropping-particle":"","family":"Petit","given":"T.","non-dropping-particle":"","parse-names":false,"suffix":""},{"dropping-particle":"","family":"Dalenc","given":"F.","non-dropping-particle":"","parse-names":false,"suffix":""},{"dropping-particle":"","family":"Gladieff","given":"L.","non-dropping-particle":"","parse-names":false,"suffix":""},{"dropping-particle":"","family":"André","given":"F.","non-dropping-particle":"","parse-names":false,"suffix":""},{"dropping-particle":"","family":"Delaloge","given":"S.","non-dropping-particle":"","parse-names":false,"suffix":""},{"dropping-particle":"","family":"Domont","given":"J.","non-dropping-particle":"","parse-names":false,"suffix":""},{"dropping-particle":"","family":"Ezenfis","given":"J.","non-dropping-particle":"","parse-names":false,"suffix":""},{"dropping-particle":"","family":"Spielmann","given":"M.","non-dropping-particle":"","parse-names":false,"suffix":""},{"dropping-particle":"","family":"Guillet","given":"P.","non-dropping-particle":"","parse-names":false,"suffix":""},{"dropping-particle":"","family":"Boulanger","given":"V.","non-dropping-particle":"","parse-names":false,"suffix":""},{"dropping-particle":"","family":"Provençal","given":"J.","non-dropping-particle":"","parse-names":false,"suffix":""},{"dropping-particle":"","family":"Stefani","given":"L.","non-dropping-particle":"","parse-names":false,"suffix":""},{"dropping-particle":"","family":"Alliot","given":"C.","non-dropping-particle":"","parse-names":false,"suffix":""},{"dropping-particle":"","family":"Ré","given":"D.","non-dropping-particle":"","parse-names":false,"suffix":""},{"dropping-particle":"","family":"Bellaiche-Miccio","given":"C.","non-dropping-particle":"","parse-names":false,"suffix":""},{"dropping-particle":"","family":"Boutan-Laroze","given":"G.","non-dropping-particle":"","parse-names":false,"suffix":""},{"dropping-particle":"","family":"Vanica","given":"R.","non-dropping-particle":"","parse-names":false,"suffix":""},{"dropping-particle":"","family":"Dion","given":"P.","non-dropping-particle":"","parse-names":false,"suffix":""},{"dropping-particle":"","family":"Sadki-Benaoudia","given":"G.","non-dropping-particle":"","parse-names":false,"suffix":""},{"dropping-particle":"","family":"Marti","given":"A.","non-dropping-particle":"","parse-names":false,"suffix":""},{"dropping-particle":"","family":"Villing","given":"A. L.","non-dropping-particle":"","parse-names":false,"suffix":""},{"dropping-particle":"","family":"Slama","given":"B.","non-dropping-particle":"","parse-names":false,"suffix":""},{"dropping-particle":"","family":"Dutel","given":"J. L.","non-dropping-particle":"","parse-names":false,"suffix":""},{"dropping-particle":"","family":"Nguyen","given":"S.","non-dropping-particle":"","parse-names":false,"suffix":""},{"dropping-particle":"","family":"Saad","given":"R.","non-dropping-particle":"","parse-names":false,"suffix":""},{"dropping-particle":"","family":"Arsène","given":"O.","non-dropping-particle":"","parse-names":false,"suffix":""},{"dropping-particle":"","family":"Merad-Boudia","given":"Z.","non-dropping-particle":"","parse-names":false,"suffix":""},{"dropping-particle":"","family":"Orfeuvre","given":"H.","non-dropping-particle":"","parse-names":false,"suffix":""},{"dropping-particle":"","family":"Egreteau","given":"J.","non-dropping-particle":"","parse-names":false,"suffix":""},{"dropping-particle":"","family":"Goudier","given":"M. J.","non-dropping-particle":"","parse-names":false,"suffix":""},{"dropping-particle":"","family":"Lamy","given":"R.","non-dropping-particle":"","parse-names":false,"suffix":""},{"dropping-particle":"","family":"Leduc","given":"B.","non-dropping-particle":"","parse-names":false,"suffix":""},{"dropping-particle":"","family":"Sarda","given":"C.","non-dropping-particle":"","parse-names":false,"suffix":""},{"dropping-particle":"","family":"Salles","given":"B.","non-dropping-particle":"","parse-names":false,"suffix":""},{"dropping-particle":"","family":"Agostini","given":"C.","non-dropping-particle":"","parse-names":false,"suffix":""},{"dropping-particle":"","family":"Cauvin","given":"I.","non-dropping-particle":"","parse-names":false,"suffix":""},{"dropping-particle":"","family":"Dufresne","given":"A.","non-dropping-particle":"","parse-names":false,"suffix":""},{"dropping-particle":"","family":"Mangold","given":"M.","non-dropping-particle":"","parse-names":false,"suffix":""},{"dropping-particle":"","family":"Lebouvier-Sadot","given":"S.","non-dropping-particle":"","parse-names":false,"suffix":""},{"dropping-particle":"","family":"Audhuy","given":"B.","non-dropping-particle":"","parse-names":false,"suffix":""},{"dropping-particle":"","family":"Barats","given":"J. C.","non-dropping-particle":"","parse-names":false,"suffix":""},{"dropping-particle":"","family":"Cluet-Dennetière","given":"S.","non-dropping-particle":"","parse-names":false,"suffix":""},{"dropping-particle":"","family":"Zylberait","given":"D.","non-dropping-particle":"","parse-names":false,"suffix":""},{"dropping-particle":"","family":"Netter","given":"G.","non-dropping-particle":"","parse-names":false,"suffix":""},{"dropping-particle":"","family":"Gautier-Felizot","given":"L.","non-dropping-particle":"","parse-names":false,"suffix":""},{"dropping-particle":"","family":"Cojean-Zelek","given":"I.","non-dropping-particle":"","parse-names":false,"suffix":""},{"dropping-particle":"","family":"Plantade","given":"A.","non-dropping-particle":"","parse-names":false,"suffix":""},{"dropping-particle":"","family":"Vignot","given":"S.","non-dropping-particle":"","parse-names":false,"suffix":""},{"dropping-particle":"","family":"Guardiola","given":"E.","non-dropping-particle":"","parse-names":false,"suffix":""},{"dropping-particle":"","family":"Marti","given":"P.","non-dropping-particle":"","parse-names":false,"suffix":""},{"dropping-particle":"","family":"deHartingh","given":"I.","non-dropping-particle":"","parse-names":false,"suffix":""},{"dropping-particle":"","family":"Diab","given":"R.","non-dropping-particle":"","parse-names":false,"suffix":""},{"dropping-particle":"","family":"Dietmann","given":"A.","non-dropping-particle":"","parse-names":false,"suffix":""},{"dropping-particle":"","family":"Ruck","given":"S.","non-dropping-particle":"","parse-names":false,"suffix":""},{"dropping-particle":"","family":"Portois","given":"C.","non-dropping-particle":"","parse-names":false,"suffix":""},{"dropping-particle":"","family":"Oddou-Lagranière","given":"S.","non-dropping-particle":"","parse-names":false,"suffix":""},{"dropping-particle":"","family":"Campos-Gazeau","given":"F.","non-dropping-particle":"","parse-names":false,"suffix":""},{"dropping-particle":"","family":"Bourcier","given":"A.","non-dropping-particle":"","parse-names":false,"suffix":""},{"dropping-particle":"","family":"Priou","given":"F.","non-dropping-particle":"","parse-names":false,"suffix":""},{"dropping-particle":"","family":"Geay","given":"J. F.","non-dropping-particle":"","parse-names":false,"suffix":""},{"dropping-particle":"","family":"Mayeur","given":"D.","non-dropping-particle":"","parse-names":false,"suffix":""},{"dropping-particle":"","family":"Gabez","given":"P.","non-dropping-particle":"","parse-names":false,"suffix":""},{"dropping-particle":"","family":"ElAmarti","given":"R.","non-dropping-particle":"","parse-names":false,"suffix":""},{"dropping-particle":"","family":"Combe","given":"M.","non-dropping-particle":"","parse-names":false,"suffix":""},{"dropping-particle":"","family":"Raichon-Patru","given":"P.","non-dropping-particle":"","parse-names":false,"suffix":""},{"dropping-particle":"","family":"Amsalhem","given":"P.","non-dropping-particle":"","parse-names":false,"suffix":""},{"dropping-particle":"","family":"Dauba","given":"J.","non-dropping-particle":"","parse-names":false,"suffix":""},{"dropping-particle":"","family":"Paraiso","given":"D.","non-dropping-particle":"","parse-names":false,"suffix":""},{"dropping-particle":"","family":"Guinet","given":"F.","non-dropping-particle":"","parse-names":false,"suffix":""},{"dropping-particle":"","family":"Duvert","given":"B.","non-dropping-particle":"","parse-names":false,"suffix":""},{"dropping-particle":"","family":"Litor","given":"M.","non-dropping-particle":"","parse-names":false,"suffix":""},{"dropping-particle":"","family":"Kara-Slimane","given":"F.","non-dropping-particle":"","parse-names":false,"suffix":""},{"dropping-particle":"","family":"Bichoffe","given":"A.","non-dropping-particle":"","parse-names":false,"suffix":""},{"dropping-particle":"","family":"Denizon","given":"N.","non-dropping-particle":"","parse-names":false,"suffix":""},{"dropping-particle":"","family":"Soyer","given":"P.","non-dropping-particle":"","parse-names":false,"suffix":""},{"dropping-particle":"","family":"Morvan","given":"F.","non-dropping-particle":"","parse-names":false,"suffix":""},{"dropping-particle":"","family":"Van-Hulst","given":"S.","non-dropping-particle":"","parse-names":false,"suffix":""},{"dropping-particle":"","family":"Vincent","given":"L.","non-dropping-particle":"","parse-names":false,"suffix":""},{"dropping-particle":"","family":"Alleaume","given":"C.","non-dropping-particle":"","parse-names":false,"suffix":""},{"dropping-particle":"","family":"Ibanez-Martin","given":"P.","non-dropping-particle":"","parse-names":false,"suffix":""},{"dropping-particle":"","family":"Youssef","given":"A.","non-dropping-particle":"","parse-names":false,"suffix":""},{"dropping-particle":"","family":"Tadrist","given":"Z.","non-dropping-particle":"","parse-names":false,"suffix":""},{"dropping-particle":"","family":"Carola","given":"E.","non-dropping-particle":"","parse-names":false,"suffix":""},{"dropping-particle":"","family":"Pourny","given":"C.","non-dropping-particle":"","parse-names":false,"suffix":""},{"dropping-particle":"","family":"Toccanier","given":"J. F.","non-dropping-particle":"","parse-names":false,"suffix":""},{"dropping-particle":"","family":"Al-Aukla","given":"N.","non-dropping-particle":"","parse-names":false,"suffix":""},{"dropping-particle":"","family":"Mahour-Bacha","given":"K.","non-dropping-particle":"","parse-names":false,"suffix":""},{"dropping-particle":"","family":"Salvat","given":"J.","non-dropping-particle":"","parse-names":false,"suffix":""},{"dropping-particle":"","family":"Nouyrigat","given":"P.","non-dropping-particle":"","parse-names":false,"suffix":""},{"dropping-particle":"","family":"Clippe","given":"S.","non-dropping-particle":"","parse-names":false,"suffix":""},{"dropping-particle":"","family":"Gouttebel","given":"M. C.","non-dropping-particle":"","parse-names":false,"suffix":""},{"dropping-particle":"","family":"Vedrine","given":"L.","non-dropping-particle":"","parse-names":false,"suffix":""},{"dropping-particle":"","family":"Clavreul","given":"G.","non-dropping-particle":"","parse-names":false,"suffix":""},{"dropping-particle":"","family":"Collard","given":"O.","non-dropping-particle":"","parse-names":false,"suffix":""},{"dropping-particle":"","family":"Mille","given":"D.","non-dropping-particle":"","parse-names":false,"suffix":""},{"dropping-particle":"","family":"Goubely","given":"Y.","non-dropping-particle":"","parse-names":false,"suffix":""},{"dropping-particle":"","family":"Hervé","given":"R.","non-dropping-particle":"","parse-names":false,"suffix":""},{"dropping-particle":"","family":"Kirscher","given":"S.","non-dropping-particle":"","parse-names":false,"suffix":""},{"dropping-particle":"","family":"Plat","given":"F.","non-dropping-particle":"","parse-names":false,"suffix":""},{"dropping-particle":"","family":"Delecroix","given":"V.","non-dropping-particle":"","parse-names":false,"suffix":""},{"dropping-particle":"","family":"Ligeza-Poisson","given":"V.","non-dropping-particle":"","parse-names":false,"suffix":""},{"dropping-particle":"","family":"Coeffic","given":"D.","non-dropping-particle":"","parse-names":false,"suffix":""},{"dropping-particle":"","family":"Fric","given":"D.","non-dropping-particle":"","parse-names":false,"suffix":""},{"dropping-particle":"","family":"Garnier","given":"C.","non-dropping-particle":"","parse-names":false,"suffix":""},{"dropping-particle":"","family":"Leyronnas","given":"C.","non-dropping-particle":"","parse-names":false,"suffix":""},{"dropping-particle":"","family":"Kreitman","given":"T.","non-dropping-particle":"","parse-names":false,"suffix":""},{"dropping-particle":"","family":"Teissier","given":"E.","non-dropping-particle":"","parse-names":false,"suffix":""},{"dropping-particle":"","family":"Martin","given":"P.","non-dropping-particle":"","parse-names":false,"suffix":""},{"dropping-particle":"","family":"Rohart deCordoue","given":"S.","non-dropping-particle":"","parse-names":false,"suffix":""},{"dropping-particle":"","family":"ElKouri","given":"C.","non-dropping-particle":"","parse-names":false,"suffix":""},{"dropping-particle":"","family":"Ramée","given":"J. F.","non-dropping-particle":"","parse-names":false,"suffix":""},{"dropping-particle":"","family":"Laporte","given":"C.","non-dropping-particle":"","parse-names":false,"suffix":""},{"dropping-particle":"","family":"Bernard","given":"O.","non-dropping-particle":"","parse-names":false,"suffix":""},{"dropping-particle":"","family":"Altwegg","given":"T.","non-dropping-particle":"","parse-names":false,"suffix":""},{"dropping-particle":"","family":"Darut-Jouve","given":"A.","non-dropping-particle":"","parse-names":false,"suffix":""},{"dropping-particle":"","family":"Dujols","given":"J. P.","non-dropping-particle":"","parse-names":false,"suffix":""},{"dropping-particle":"","family":"Darloy","given":"F.","non-dropping-particle":"","parse-names":false,"suffix":""},{"dropping-particle":"","family":"Giraud","given":"C.","non-dropping-particle":"","parse-names":false,"suffix":""},{"dropping-particle":"","family":"Pottier-Kyndt","given":"V.","non-dropping-particle":"","parse-names":false,"suffix":""},{"dropping-particle":"","family":"Achour","given":"N.","non-dropping-particle":"","parse-names":false,"suffix":""},{"dropping-particle":"","family":"Drony","given":"S.","non-dropping-particle":"","parse-names":false,"suffix":""},{"dropping-particle":"","family":"Moriceau","given":"M.","non-dropping-particle":"","parse-names":false,"suffix":""},{"dropping-particle":"","family":"Sarrazin","given":"C.","non-dropping-particle":"","parse-names":false,"suffix":""},{"dropping-particle":"","family":"Legueul","given":"J. C.","non-dropping-particle":"","parse-names":false,"suffix":""},{"dropping-particle":"","family":"Mandet","given":"J.","non-dropping-particle":"","parse-names":false,"suffix":""},{"dropping-particle":"","family":"Besson","given":"D.","non-dropping-particle":"","parse-names":false,"suffix":""},{"dropping-particle":"","family":"Hardy-Bessard","given":"A. C.","non-dropping-particle":"","parse-names":false,"suffix":""},{"dropping-particle":"","family":"Cretin","given":"J.","non-dropping-particle":"","parse-names":false,"suffix":""},{"dropping-particle":"","family":"Houyau","given":"P.","non-dropping-particle":"","parse-names":false,"suffix":""},{"dropping-particle":"","family":"Achille","given":"E.","non-dropping-particle":"","parse-names":false,"suffix":""},{"dropping-particle":"","family":"Genêt","given":"D.","non-dropping-particle":"","parse-names":false,"suffix":""},{"dropping-particle":"","family":"Thévenot","given":"H.","non-dropping-particle":"","parse-names":false,"suffix":""},{"dropping-particle":"","family":"Moran-Ribon","given":"A.","non-dropping-particle":"","parse-names":false,"suffix":""},{"dropping-particle":"","family":"Pavlovitch","given":"J. M.","non-dropping-particle":"","parse-names":false,"suffix":""},{"dropping-particle":"","family":"Ardisson","given":"P.","non-dropping-particle":"","parse-names":false,"suffix":""},{"dropping-particle":"","family":"Moullet","given":"I.","non-dropping-particle":"","parse-names":false,"suffix":""},{"dropping-particle":"","family":"Couderc","given":"B.","non-dropping-particle":"","parse-names":false,"suffix":""},{"dropping-particle":"","family":"Fichet","given":"V.","non-dropping-particle":"","parse-names":false,"suffix":""},{"dropping-particle":"","family":"Burki","given":"F.","non-dropping-particle":"","parse-names":false,"suffix":""},{"dropping-particle":"","family":"Auliard","given":"A.","non-dropping-particle":"","parse-names":false,"suffix":""},{"dropping-particle":"","family":"Levaché","given":"C. B.","non-dropping-particle":"","parse-names":false,"suffix":""},{"dropping-particle":"","family":"Cailleux","given":"P.","non-dropping-particle":"","parse-names":false,"suffix":""},{"dropping-particle":"","family":"Schaeffer","given":"F.","non-dropping-particle":"","parse-names":false,"suffix":""},{"dropping-particle":"","family":"Albin","given":"N.","non-dropping-particle":"","parse-names":false,"suffix":""},{"dropping-particle":"","family":"Sévin-Robiche","given":"D.","non-dropping-particle":"","parse-names":false,"suffix":""},{"dropping-particle":"","family":"Domas","given":"J.","non-dropping-particle":"","parse-names":false,"suffix":""},{"dropping-particle":"","family":"Ellis","given":"S.","non-dropping-particle":"","parse-names":false,"suffix":""},{"dropping-particle":"","family":"Montcuquet","given":"P.","non-dropping-particle":"","parse-names":false,"suffix":""},{"dropping-particle":"","family":"Baumont","given":"G. A.","non-dropping-particle":"","parse-names":false,"suffix":""},{"dropping-particle":"","family":"Bégue","given":"M.","non-dropping-particle":"","parse-names":false,"suffix":""},{"dropping-particle":"","family":"Gréget","given":"S.","non-dropping-particle":"","parse-names":false,"suffix":""},{"dropping-particle":"","family":"Ratoanina","given":"J. L.","non-dropping-particle":"","parse-names":false,"suffix":""},{"dropping-particle":"","family":"Vanoli","given":"A.","non-dropping-particle":"","parse-names":false,"suffix":""},{"dropping-particle":"","family":"Bielsa","given":"C.","non-dropping-particle":"","parse-names":false,"suffix":""},{"dropping-particle":"","family":"Bonichon-Lamichhane","given":"M.","non-dropping-particle":"","parse-names":false,"suffix":""},{"dropping-particle":"","family":"Jaubert","given":"D.","non-dropping-particle":"","parse-names":false,"suffix":""},{"dropping-particle":"","family":"Laharie-Mineur","given":"H.","non-dropping-particle":"","parse-names":false,"suffix":""},{"dropping-particle":"","family":"Alcaraz","given":"L.","non-dropping-particle":"","parse-names":false,"suffix":""},{"dropping-particle":"","family":"Legouffe","given":"E.","non-dropping-particle":"","parse-names":false,"suffix":""},{"dropping-particle":"","family":"Bourgeois","given":"H.","non-dropping-particle":"","parse-names":false,"suffix":""},{"dropping-particle":"","family":"Cartron","given":"G.","non-dropping-particle":"","parse-names":false,"suffix":""},{"dropping-particle":"","family":"Denis","given":"F.","non-dropping-particle":"","parse-names":false,"suffix":""},{"dropping-particle":"","family":"Dupuis","given":"O.","non-dropping-particle":"","parse-names":false,"suffix":""},{"dropping-particle":"","family":"Ganem","given":"G.","non-dropping-particle":"","parse-names":false,"suffix":""},{"dropping-particle":"","family":"Roche-Forestier","given":"S.","non-dropping-particle":"","parse-names":false,"suffix":""},{"dropping-particle":"","family":"Delzenne","given":"L.","non-dropping-particle":"","parse-names":false,"suffix":""},{"dropping-particle":"","family":"Chirat","given":"E.","non-dropping-particle":"","parse-names":false,"suffix":""},{"dropping-particle":"","family":"Baticle","given":"J. L.","non-dropping-particle":"","parse-names":false,"suffix":""},{"dropping-particle":"","family":"Béguier","given":"E.","non-dropping-particle":"","parse-names":false,"suffix":""},{"dropping-particle":"","family":"Jacquot","given":"S.","non-dropping-particle":"","parse-names":false,"suffix":""},{"dropping-particle":"","family":"Janssen","given":"E.","non-dropping-particle":"","parse-names":false,"suffix":""},{"dropping-particle":"","family":"Lauché","given":"H.","non-dropping-particle":"","parse-names":false,"suffix":""},{"dropping-particle":"","family":"LeRol","given":"A.","non-dropping-particle":"","parse-names":false,"suffix":""},{"dropping-particle":"","family":"Chantelard","given":"J. P.","non-dropping-particle":"","parse-names":false,"suffix":""},{"dropping-particle":"","family":"L'Helgoualc'h","given":"G. A.","non-dropping-particle":"","parse-names":false,"suffix":""},{"dropping-particle":"","family":"Antoine","given":"E. C.","non-dropping-particle":"","parse-names":false,"suffix":""},{"dropping-particle":"","family":"Kanoui","given":"A.","non-dropping-particle":"","parse-names":false,"suffix":""},{"dropping-particle":"","family":"Llory","given":"J. F.","non-dropping-particle":"","parse-names":false,"suffix":""},{"dropping-particle":"","family":"Vannetzel","given":"J. M.","non-dropping-particle":"","parse-names":false,"suffix":""},{"dropping-particle":"","family":"Vignoud","given":"J.","non-dropping-particle":"","parse-names":false,"suffix":""},{"dropping-particle":"","family":"Bruna","given":"C.","non-dropping-particle":"","parse-names":false,"suffix":""},{"dropping-particle":"","family":"Facchini","given":"T.","non-dropping-particle":"","parse-names":false,"suffix":""},{"dropping-particle":"","family":"Moutel-Corviole","given":"K.","non-dropping-particle":"","parse-names":false,"suffix":""},{"dropping-particle":"","family":"Voloch","given":"A.","non-dropping-particle":"","parse-names":false,"suffix":""},{"dropping-particle":"","family":"Ghoul","given":"A.","non-dropping-particle":"","parse-names":false,"suffix":""},{"dropping-particle":"","family":"Loiseau","given":"D.","non-dropping-particle":"","parse-names":false,"suffix":""},{"dropping-particle":"","family":"Barbet","given":"N.","non-dropping-particle":"","parse-names":false,"suffix":""},{"dropping-particle":"","family":"Dohollou","given":"N.","non-dropping-particle":"","parse-names":false,"suffix":""},{"dropping-particle":"","family":"Yakendji","given":"K.","non-dropping-particle":"","parse-names":false,"suffix":""}],"container-title":"The Lancet","id":"ITEM-2","issue":"10191","issued":{"date-parts":[["2019","6","29"]]},"page":"2591-2598","publisher":"Lancet Publishing Group","title":"6 months versus 12 months of adjuvant trastuzumab in early breast cancer (PHARE): final analysis of a multicentre, open-label, phase 3 randomised trial","type":"article-journal","volume":"393"},"uris":["http://www.mendeley.com/documents/?uuid=13655700-86d8-3636-8ee2-f263278dbe77"]}],"mendeley":{"formattedCitation":"&lt;sup&gt;13,14&lt;/sup&gt;","plainTextFormattedCitation":"13,14","previouslyFormattedCitation":"&lt;sup&gt;13,14&lt;/sup&gt;"},"properties":{"noteIndex":0},"schema":"https://github.com/citation-style-language/schema/raw/master/csl-citation.json"}</w:instrText>
      </w:r>
      <w:r w:rsidR="009853FE" w:rsidRPr="00625A76">
        <w:rPr>
          <w:color w:val="000000" w:themeColor="text1"/>
          <w:sz w:val="28"/>
          <w:szCs w:val="28"/>
          <w:lang w:val="en-US"/>
        </w:rPr>
        <w:fldChar w:fldCharType="separate"/>
      </w:r>
      <w:r w:rsidR="00696F47" w:rsidRPr="00625A76">
        <w:rPr>
          <w:noProof/>
          <w:color w:val="000000" w:themeColor="text1"/>
          <w:sz w:val="28"/>
          <w:szCs w:val="28"/>
          <w:vertAlign w:val="superscript"/>
          <w:lang w:val="en-US"/>
        </w:rPr>
        <w:t>13,14</w:t>
      </w:r>
      <w:r w:rsidR="009853FE" w:rsidRPr="00625A76">
        <w:rPr>
          <w:color w:val="000000" w:themeColor="text1"/>
          <w:sz w:val="28"/>
          <w:szCs w:val="28"/>
          <w:lang w:val="en-US"/>
        </w:rPr>
        <w:fldChar w:fldCharType="end"/>
      </w:r>
      <w:r w:rsidR="009853FE" w:rsidRPr="00625A76">
        <w:rPr>
          <w:color w:val="000000" w:themeColor="text1"/>
          <w:sz w:val="28"/>
          <w:szCs w:val="28"/>
          <w:lang w:val="en-US"/>
        </w:rPr>
        <w:t xml:space="preserve"> (NCT00381901), scheduled randomization between 6 and 12 months of adjuvant trastuzumab, near the point of treatment divergence. Unfortunately, during their very long recruitment period, clinical practice changed</w:t>
      </w:r>
      <w:r w:rsidR="00AA299D" w:rsidRPr="00625A76">
        <w:rPr>
          <w:color w:val="000000" w:themeColor="text1"/>
          <w:sz w:val="28"/>
          <w:szCs w:val="28"/>
          <w:lang w:val="en-US"/>
        </w:rPr>
        <w:t xml:space="preserve"> such that v</w:t>
      </w:r>
      <w:r w:rsidR="009853FE" w:rsidRPr="00625A76">
        <w:rPr>
          <w:color w:val="000000" w:themeColor="text1"/>
          <w:sz w:val="28"/>
          <w:szCs w:val="28"/>
          <w:lang w:val="en-US"/>
        </w:rPr>
        <w:t>irtually all patients today receive concomitant trastuzumab and chemotherap</w:t>
      </w:r>
      <w:r w:rsidR="003F1816" w:rsidRPr="00625A76">
        <w:rPr>
          <w:color w:val="000000" w:themeColor="text1"/>
          <w:sz w:val="28"/>
          <w:szCs w:val="28"/>
          <w:lang w:val="en-US"/>
        </w:rPr>
        <w:t>y</w:t>
      </w:r>
      <w:r w:rsidR="00AA299D" w:rsidRPr="00625A76">
        <w:rPr>
          <w:color w:val="000000" w:themeColor="text1"/>
          <w:sz w:val="28"/>
          <w:szCs w:val="28"/>
          <w:lang w:val="en-US"/>
        </w:rPr>
        <w:t>.</w:t>
      </w:r>
      <w:r w:rsidR="003F1816" w:rsidRPr="00625A76">
        <w:rPr>
          <w:color w:val="000000" w:themeColor="text1"/>
          <w:sz w:val="28"/>
          <w:szCs w:val="28"/>
          <w:lang w:val="en-US"/>
        </w:rPr>
        <w:t xml:space="preserve"> </w:t>
      </w:r>
      <w:r w:rsidR="00AA299D" w:rsidRPr="00625A76">
        <w:rPr>
          <w:color w:val="000000" w:themeColor="text1"/>
          <w:sz w:val="28"/>
          <w:szCs w:val="28"/>
          <w:lang w:val="en-US"/>
        </w:rPr>
        <w:t>O</w:t>
      </w:r>
      <w:r w:rsidR="009853FE" w:rsidRPr="00625A76">
        <w:rPr>
          <w:color w:val="000000" w:themeColor="text1"/>
          <w:sz w:val="28"/>
          <w:szCs w:val="28"/>
          <w:lang w:val="en-US"/>
        </w:rPr>
        <w:t>nly 47% of the PERSEPHONE patients</w:t>
      </w:r>
      <w:r w:rsidR="00AA299D" w:rsidRPr="00625A76">
        <w:rPr>
          <w:color w:val="000000" w:themeColor="text1"/>
          <w:sz w:val="28"/>
          <w:szCs w:val="28"/>
          <w:lang w:val="en-US"/>
        </w:rPr>
        <w:t xml:space="preserve"> were treated in this manner</w:t>
      </w:r>
      <w:r w:rsidR="009853FE" w:rsidRPr="00625A76">
        <w:rPr>
          <w:color w:val="000000" w:themeColor="text1"/>
          <w:sz w:val="28"/>
          <w:szCs w:val="28"/>
          <w:lang w:val="en-US"/>
        </w:rPr>
        <w:t>, complicating the interpretation of its results. Moreover, only 15% of patients were treated in the neoadjuvant setting</w:t>
      </w:r>
      <w:r w:rsidR="00AA299D" w:rsidRPr="00625A76">
        <w:rPr>
          <w:color w:val="000000" w:themeColor="text1"/>
          <w:sz w:val="28"/>
          <w:szCs w:val="28"/>
          <w:lang w:val="en-US"/>
        </w:rPr>
        <w:t>, a common approach today</w:t>
      </w:r>
      <w:r w:rsidR="009853FE" w:rsidRPr="00625A76">
        <w:rPr>
          <w:color w:val="000000" w:themeColor="text1"/>
          <w:sz w:val="28"/>
          <w:szCs w:val="28"/>
          <w:lang w:val="en-US"/>
        </w:rPr>
        <w:t>.</w:t>
      </w:r>
      <w:r w:rsidR="006E3BE8" w:rsidRPr="00625A76">
        <w:rPr>
          <w:color w:val="000000" w:themeColor="text1"/>
          <w:sz w:val="28"/>
          <w:szCs w:val="28"/>
          <w:lang w:val="en-US"/>
        </w:rPr>
        <w:t xml:space="preserve"> </w:t>
      </w:r>
      <w:r w:rsidR="00214B0C" w:rsidRPr="00625A76">
        <w:rPr>
          <w:color w:val="000000" w:themeColor="text1"/>
          <w:sz w:val="28"/>
          <w:szCs w:val="28"/>
          <w:lang w:val="en-US"/>
        </w:rPr>
        <w:t>O</w:t>
      </w:r>
      <w:r w:rsidR="00AB40C9" w:rsidRPr="00625A76">
        <w:rPr>
          <w:color w:val="000000" w:themeColor="text1"/>
          <w:sz w:val="28"/>
          <w:szCs w:val="28"/>
          <w:lang w:val="en-US"/>
        </w:rPr>
        <w:t xml:space="preserve">ptimal </w:t>
      </w:r>
      <w:r w:rsidR="006E3BE8" w:rsidRPr="00625A76">
        <w:rPr>
          <w:color w:val="000000" w:themeColor="text1"/>
          <w:sz w:val="28"/>
          <w:szCs w:val="28"/>
          <w:lang w:val="en-US"/>
        </w:rPr>
        <w:t>randomized de-escalation trials need</w:t>
      </w:r>
      <w:r w:rsidR="00214B0C" w:rsidRPr="00625A76">
        <w:rPr>
          <w:color w:val="000000" w:themeColor="text1"/>
          <w:sz w:val="28"/>
          <w:szCs w:val="28"/>
          <w:lang w:val="en-US"/>
        </w:rPr>
        <w:t xml:space="preserve"> international collaboration</w:t>
      </w:r>
      <w:r w:rsidR="006E3BE8" w:rsidRPr="00625A76">
        <w:rPr>
          <w:color w:val="000000" w:themeColor="text1"/>
          <w:sz w:val="28"/>
          <w:szCs w:val="28"/>
          <w:lang w:val="en-US"/>
        </w:rPr>
        <w:t xml:space="preserve"> to be robust and generalizable</w:t>
      </w:r>
      <w:r w:rsidR="00840617" w:rsidRPr="00625A76">
        <w:rPr>
          <w:color w:val="000000" w:themeColor="text1"/>
          <w:sz w:val="28"/>
          <w:szCs w:val="28"/>
          <w:lang w:val="en-US"/>
        </w:rPr>
        <w:t>.</w:t>
      </w:r>
      <w:r w:rsidR="006E3BE8" w:rsidRPr="00625A76">
        <w:rPr>
          <w:color w:val="000000" w:themeColor="text1"/>
          <w:sz w:val="28"/>
          <w:szCs w:val="28"/>
          <w:lang w:val="en-US"/>
        </w:rPr>
        <w:t xml:space="preserve"> </w:t>
      </w:r>
      <w:r w:rsidR="00840617" w:rsidRPr="00625A76">
        <w:rPr>
          <w:color w:val="000000" w:themeColor="text1"/>
          <w:sz w:val="28"/>
          <w:szCs w:val="28"/>
          <w:lang w:val="en-US"/>
        </w:rPr>
        <w:t>C</w:t>
      </w:r>
      <w:r w:rsidR="006E3BE8" w:rsidRPr="00625A76">
        <w:rPr>
          <w:color w:val="000000" w:themeColor="text1"/>
          <w:sz w:val="28"/>
          <w:szCs w:val="28"/>
          <w:lang w:val="en-US"/>
        </w:rPr>
        <w:t xml:space="preserve">areful planning </w:t>
      </w:r>
      <w:r w:rsidR="00A10D43" w:rsidRPr="00625A76">
        <w:rPr>
          <w:color w:val="000000" w:themeColor="text1"/>
          <w:sz w:val="28"/>
          <w:szCs w:val="28"/>
          <w:lang w:val="en-US"/>
        </w:rPr>
        <w:t>with attention to statistical considerations</w:t>
      </w:r>
      <w:r w:rsidR="006507EA" w:rsidRPr="00625A76">
        <w:rPr>
          <w:color w:val="000000" w:themeColor="text1"/>
          <w:sz w:val="28"/>
          <w:szCs w:val="28"/>
          <w:lang w:val="en-US"/>
        </w:rPr>
        <w:t>, specifically the non-inferiority margin,</w:t>
      </w:r>
      <w:r w:rsidR="00A10D43" w:rsidRPr="00625A76" w:rsidDel="00A10D43">
        <w:rPr>
          <w:color w:val="000000" w:themeColor="text1"/>
          <w:sz w:val="28"/>
          <w:szCs w:val="28"/>
          <w:lang w:val="en-US"/>
        </w:rPr>
        <w:t xml:space="preserve"> </w:t>
      </w:r>
      <w:r w:rsidR="006E3BE8" w:rsidRPr="00625A76">
        <w:rPr>
          <w:color w:val="000000" w:themeColor="text1"/>
          <w:sz w:val="28"/>
          <w:szCs w:val="28"/>
          <w:lang w:val="en-US"/>
        </w:rPr>
        <w:t xml:space="preserve">are </w:t>
      </w:r>
      <w:r w:rsidR="009E05C2" w:rsidRPr="00625A76">
        <w:rPr>
          <w:color w:val="000000" w:themeColor="text1"/>
          <w:sz w:val="28"/>
          <w:szCs w:val="28"/>
          <w:lang w:val="en-US"/>
        </w:rPr>
        <w:t>critical</w:t>
      </w:r>
      <w:r w:rsidR="006507EA" w:rsidRPr="00625A76">
        <w:rPr>
          <w:color w:val="000000" w:themeColor="text1"/>
          <w:sz w:val="28"/>
          <w:szCs w:val="28"/>
          <w:lang w:val="en-US"/>
        </w:rPr>
        <w:t xml:space="preserve"> to obtain practice-changing results.</w:t>
      </w:r>
    </w:p>
    <w:p w14:paraId="3E451814" w14:textId="77777777" w:rsidR="006E3BE8" w:rsidRPr="00625A76" w:rsidRDefault="006E3BE8" w:rsidP="0006778F">
      <w:pPr>
        <w:jc w:val="both"/>
        <w:rPr>
          <w:color w:val="000000" w:themeColor="text1"/>
          <w:sz w:val="28"/>
          <w:szCs w:val="28"/>
          <w:lang w:val="en-US"/>
        </w:rPr>
      </w:pPr>
    </w:p>
    <w:p w14:paraId="31E2A6FA" w14:textId="629E7CEC" w:rsidR="00083C5D" w:rsidRPr="00625A76" w:rsidRDefault="006776DB" w:rsidP="00083C5D">
      <w:pPr>
        <w:rPr>
          <w:color w:val="000000" w:themeColor="text1"/>
          <w:sz w:val="32"/>
          <w:szCs w:val="32"/>
          <w:lang w:val="en-US"/>
        </w:rPr>
      </w:pPr>
      <w:r w:rsidRPr="00625A76">
        <w:rPr>
          <w:b/>
          <w:color w:val="000000" w:themeColor="text1"/>
          <w:sz w:val="32"/>
          <w:szCs w:val="32"/>
          <w:u w:val="single"/>
          <w:lang w:val="en-US"/>
        </w:rPr>
        <w:t>Trial designs to de-escalate treatment</w:t>
      </w:r>
    </w:p>
    <w:p w14:paraId="5F2CA51A" w14:textId="2E9F91FD" w:rsidR="00083C5D" w:rsidRPr="00625A76" w:rsidRDefault="00083C5D" w:rsidP="00BD6A01">
      <w:pPr>
        <w:jc w:val="both"/>
        <w:rPr>
          <w:color w:val="000000" w:themeColor="text1"/>
          <w:sz w:val="28"/>
          <w:szCs w:val="28"/>
          <w:lang w:val="en-US"/>
        </w:rPr>
      </w:pPr>
      <w:r w:rsidRPr="00625A76">
        <w:rPr>
          <w:color w:val="000000" w:themeColor="text1"/>
          <w:sz w:val="28"/>
          <w:szCs w:val="28"/>
          <w:lang w:val="en-US"/>
        </w:rPr>
        <w:t>Reducing the burden of chemotherapy can be accomplished by removing the most toxic drug(s), replacing a cytotoxic drug by a targeted drug or omitting chemotherapy altogether</w:t>
      </w:r>
      <w:r w:rsidR="00200730" w:rsidRPr="00625A76">
        <w:rPr>
          <w:color w:val="000000" w:themeColor="text1"/>
          <w:sz w:val="28"/>
          <w:szCs w:val="28"/>
          <w:lang w:val="en-US"/>
        </w:rPr>
        <w:t xml:space="preserve"> with the aid of specific biomarkers to allow tailoring of treatment.</w:t>
      </w:r>
    </w:p>
    <w:p w14:paraId="03402F68" w14:textId="3826AC05" w:rsidR="0037113C" w:rsidRPr="00625A76" w:rsidRDefault="00083C5D" w:rsidP="00BD6A01">
      <w:pPr>
        <w:jc w:val="both"/>
        <w:rPr>
          <w:color w:val="000000" w:themeColor="text1"/>
          <w:sz w:val="28"/>
          <w:szCs w:val="28"/>
          <w:lang w:val="en-US"/>
        </w:rPr>
      </w:pPr>
      <w:r w:rsidRPr="00625A76">
        <w:rPr>
          <w:color w:val="000000" w:themeColor="text1"/>
          <w:sz w:val="28"/>
          <w:szCs w:val="28"/>
          <w:lang w:val="en-US"/>
        </w:rPr>
        <w:t xml:space="preserve">In Hodgkin </w:t>
      </w:r>
      <w:r w:rsidR="00925E04" w:rsidRPr="00625A76">
        <w:rPr>
          <w:color w:val="000000" w:themeColor="text1"/>
          <w:sz w:val="28"/>
          <w:szCs w:val="28"/>
          <w:lang w:val="en-US"/>
        </w:rPr>
        <w:t>disease,</w:t>
      </w:r>
      <w:r w:rsidR="0037113C" w:rsidRPr="00625A76">
        <w:rPr>
          <w:color w:val="000000" w:themeColor="text1"/>
          <w:sz w:val="28"/>
          <w:szCs w:val="28"/>
          <w:lang w:val="en-US"/>
        </w:rPr>
        <w:t xml:space="preserve"> early FDG-PET</w:t>
      </w:r>
      <w:r w:rsidR="00200730" w:rsidRPr="00625A76">
        <w:rPr>
          <w:color w:val="000000" w:themeColor="text1"/>
          <w:sz w:val="28"/>
          <w:szCs w:val="28"/>
          <w:lang w:val="en-US"/>
        </w:rPr>
        <w:t xml:space="preserve"> </w:t>
      </w:r>
      <w:r w:rsidR="0037113C" w:rsidRPr="00625A76">
        <w:rPr>
          <w:color w:val="000000" w:themeColor="text1"/>
          <w:sz w:val="28"/>
          <w:szCs w:val="28"/>
          <w:lang w:val="en-US"/>
        </w:rPr>
        <w:t>scan</w:t>
      </w:r>
      <w:r w:rsidR="00200730" w:rsidRPr="00625A76">
        <w:rPr>
          <w:color w:val="000000" w:themeColor="text1"/>
          <w:sz w:val="28"/>
          <w:szCs w:val="28"/>
          <w:lang w:val="en-US"/>
        </w:rPr>
        <w:t xml:space="preserve"> was tested</w:t>
      </w:r>
      <w:r w:rsidR="0037113C" w:rsidRPr="00625A76">
        <w:rPr>
          <w:color w:val="000000" w:themeColor="text1"/>
          <w:sz w:val="28"/>
          <w:szCs w:val="28"/>
          <w:lang w:val="en-US"/>
        </w:rPr>
        <w:t xml:space="preserve"> to identify patients sensitive to the </w:t>
      </w:r>
      <w:proofErr w:type="spellStart"/>
      <w:r w:rsidR="00BE4E54" w:rsidRPr="00625A76">
        <w:rPr>
          <w:rFonts w:ascii="Source Sans Pro" w:eastAsia="Times New Roman" w:hAnsi="Source Sans Pro" w:cs="Times New Roman"/>
          <w:color w:val="000000" w:themeColor="text1"/>
          <w:sz w:val="27"/>
          <w:szCs w:val="27"/>
          <w:shd w:val="clear" w:color="auto" w:fill="FFFFFF"/>
          <w:lang w:val="en-US" w:eastAsia="en-GB"/>
        </w:rPr>
        <w:t>eBEACOPP</w:t>
      </w:r>
      <w:proofErr w:type="spellEnd"/>
      <w:r w:rsidR="00BE4E54" w:rsidRPr="00625A76">
        <w:rPr>
          <w:rFonts w:ascii="Source Sans Pro" w:eastAsia="Times New Roman" w:hAnsi="Source Sans Pro" w:cs="Times New Roman"/>
          <w:color w:val="000000" w:themeColor="text1"/>
          <w:sz w:val="27"/>
          <w:szCs w:val="27"/>
          <w:shd w:val="clear" w:color="auto" w:fill="FFFFFF"/>
          <w:lang w:val="en-US" w:eastAsia="en-GB"/>
        </w:rPr>
        <w:t xml:space="preserve"> </w:t>
      </w:r>
      <w:r w:rsidR="0037113C" w:rsidRPr="00625A76">
        <w:rPr>
          <w:color w:val="000000" w:themeColor="text1"/>
          <w:sz w:val="28"/>
          <w:szCs w:val="28"/>
          <w:lang w:val="en-US"/>
        </w:rPr>
        <w:t>regimen</w:t>
      </w:r>
      <w:r w:rsidR="00BE4E54" w:rsidRPr="00625A76">
        <w:rPr>
          <w:color w:val="000000" w:themeColor="text1"/>
          <w:sz w:val="28"/>
          <w:szCs w:val="28"/>
          <w:lang w:val="en-US"/>
        </w:rPr>
        <w:t xml:space="preserve">. </w:t>
      </w:r>
      <w:r w:rsidR="00A10D43" w:rsidRPr="00625A76">
        <w:rPr>
          <w:color w:val="000000" w:themeColor="text1"/>
          <w:sz w:val="28"/>
          <w:szCs w:val="28"/>
          <w:lang w:val="en-US"/>
        </w:rPr>
        <w:t>Identification of p</w:t>
      </w:r>
      <w:r w:rsidR="00BE4E54" w:rsidRPr="00625A76">
        <w:rPr>
          <w:color w:val="000000" w:themeColor="text1"/>
          <w:sz w:val="28"/>
          <w:szCs w:val="28"/>
          <w:lang w:val="en-US"/>
        </w:rPr>
        <w:t>atients with negative PET scans at cycle 2 allowed reduction from six to four cyc</w:t>
      </w:r>
      <w:r w:rsidR="00840617" w:rsidRPr="00625A76">
        <w:rPr>
          <w:color w:val="000000" w:themeColor="text1"/>
          <w:sz w:val="28"/>
          <w:szCs w:val="28"/>
          <w:lang w:val="en-US"/>
        </w:rPr>
        <w:t>l</w:t>
      </w:r>
      <w:r w:rsidR="00BE4E54" w:rsidRPr="00625A76">
        <w:rPr>
          <w:color w:val="000000" w:themeColor="text1"/>
          <w:sz w:val="28"/>
          <w:szCs w:val="28"/>
          <w:lang w:val="en-US"/>
        </w:rPr>
        <w:t xml:space="preserve">es of </w:t>
      </w:r>
      <w:proofErr w:type="spellStart"/>
      <w:r w:rsidR="00BE4E54" w:rsidRPr="00625A76">
        <w:rPr>
          <w:color w:val="000000" w:themeColor="text1"/>
          <w:sz w:val="28"/>
          <w:szCs w:val="28"/>
          <w:lang w:val="en-US"/>
        </w:rPr>
        <w:t>eBEACOPP</w:t>
      </w:r>
      <w:proofErr w:type="spellEnd"/>
      <w:r w:rsidR="00BE4E54" w:rsidRPr="00625A76">
        <w:rPr>
          <w:color w:val="000000" w:themeColor="text1"/>
          <w:sz w:val="28"/>
          <w:szCs w:val="28"/>
          <w:lang w:val="en-US"/>
        </w:rPr>
        <w:t xml:space="preserve"> without loss of tumor control</w:t>
      </w:r>
      <w:r w:rsidR="00BE4E54" w:rsidRPr="00625A76">
        <w:rPr>
          <w:color w:val="000000" w:themeColor="text1"/>
          <w:sz w:val="28"/>
          <w:szCs w:val="28"/>
          <w:lang w:val="en-US"/>
        </w:rPr>
        <w:fldChar w:fldCharType="begin" w:fldLock="1"/>
      </w:r>
      <w:r w:rsidR="0006778F" w:rsidRPr="00625A76">
        <w:rPr>
          <w:color w:val="000000" w:themeColor="text1"/>
          <w:sz w:val="28"/>
          <w:szCs w:val="28"/>
          <w:lang w:val="en-US"/>
        </w:rPr>
        <w:instrText>ADDIN CSL_CITATION {"citationItems":[{"id":"ITEM-1","itemData":{"DOI":"10.1016/S0140-6736(17)32134-7","ISSN":"1474547X","abstract":"Background The intensive polychemotherapy regimen eBEACOPP (bleomycin, etoposide, doxorubicin, cyclophosphamide, vincristine, procarbazine, and prednisone in escalated doses) is very active in patients with advanced-stage Hodgkin's lymphoma, albeit at the expense of severe toxicities. Individual patients might be cured with less burdensome therapy. We investigated whether metabolic response determined by PET after two cycles of standard regimen eBEACOPP (PET-2) would allow adaption of treatment intensity, increasing it for PET-2-positive patients and reducing it for PET-2-negative patients. Methods In this open-label, randomised, parallel-group phase 3 trial, we recruited patients aged 18–60 years with newly diagnosed, advanced-stage Hodgkin's lymphoma in 301 hospitals and private practices in Germany, Switzerland, Austria, the Netherlands, and the Czech Republic. After central review of PET-2, patients were assigned (1:1) to one of two parallel treatment groups on the basis of their PET-2 result. Patients with positive PET-2 were randomised to receive six additional cycles of either standard eBEACOPP (8 × eBEACOPP in total) or eBEACOPP with rituximab (8 × R-eBEACOPP). Those with negative PET-2 were randomised between standard treatment with six additional cycles of eBEACOPP (8 × eBEACOPP) or experimental treatment with two additional cycles (4 × eBEACOPP). A protocol amendment in June, 2011, introduced a reduction of standard therapy to 6 × eBEACOPP; after this point, patients with positive PET-2 were no longer randomised and were all assigned to receive 6 × eBEACOPP and patients with negative PET-2 were randomly assigned to 6 × eBEACOPP (standard) or 4 × eBEACOPP (experimental). Randomisation was done centrally using the minimisation method including a random component, stratified according to centre, age (&lt;45 vs ≥45 years), stage (IIB, IIIA vs IIIB, IV), international prognostic score (0–2 vs 3–7), and sex. eBEACOPP was given as previously described; rituximab was given intravenously at a dose of 375 mg/m2 (maximum total dose 700 mg). The primary objectives were to show superiority of the experimental treatment in the PET-2-positive cohort, and to show non-inferiority of the experimental treatment in the PET-2-negative cohort in terms of the primary endpoint, progression-free survival. We defined non-inferiority as an absolute difference of 6% in the 5-year progression-free survival estimates. Primary analyses in the PET-2-negative cohort were per pr…","author":[{"dropping-particle":"","family":"Borchmann","given":"Peter","non-dropping-particle":"","parse-names":false,"suffix":""},{"dropping-particle":"","family":"Goergen","given":"Helen","non-dropping-particle":"","parse-names":false,"suffix":""},{"dropping-particle":"","family":"Kobe","given":"Carsten","non-dropping-particle":"","parse-names":false,"suffix":""},{"dropping-particle":"","family":"Lohri","given":"Andreas","non-dropping-particle":"","parse-names":false,"suffix":""},{"dropping-particle":"","family":"Greil","given":"Richard","non-dropping-particle":"","parse-names":false,"suffix":""},{"dropping-particle":"","family":"Eichenauer","given":"Dennis A.","non-dropping-particle":"","parse-names":false,"suffix":""},{"dropping-particle":"","family":"Zijlstra","given":"Josée M.","non-dropping-particle":"","parse-names":false,"suffix":""},{"dropping-particle":"","family":"Markova","given":"Jana","non-dropping-particle":"","parse-names":false,"suffix":""},{"dropping-particle":"","family":"Meissner","given":"Julia","non-dropping-particle":"","parse-names":false,"suffix":""},{"dropping-particle":"","family":"Feuring-Buske","given":"Michaela","non-dropping-particle":"","parse-names":false,"suffix":""},{"dropping-particle":"","family":"Hüttmann","given":"Andreas","non-dropping-particle":"","parse-names":false,"suffix":""},{"dropping-particle":"","family":"Dierlamm","given":"Judith","non-dropping-particle":"","parse-names":false,"suffix":""},{"dropping-particle":"","family":"Soekler","given":"Martin","non-dropping-particle":"","parse-names":false,"suffix":""},{"dropping-particle":"","family":"Beck","given":"Hans Joachim","non-dropping-particle":"","parse-names":false,"suffix":""},{"dropping-particle":"","family":"Willenbacher","given":"Wolfgang","non-dropping-particle":"","parse-names":false,"suffix":""},{"dropping-particle":"","family":"Ludwig","given":"Wolf Dieter","non-dropping-particle":"","parse-names":false,"suffix":""},{"dropping-particle":"","family":"Pabst","given":"Thomas","non-dropping-particle":"","parse-names":false,"suffix":""},{"dropping-particle":"","family":"Topp","given":"Max S.","non-dropping-particle":"","parse-names":false,"suffix":""},{"dropping-particle":"","family":"Hitz","given":"Felicitas","non-dropping-particle":"","parse-names":false,"suffix":""},{"dropping-particle":"","family":"Bentz","given":"Martin","non-dropping-particle":"","parse-names":false,"suffix":""},{"dropping-particle":"","family":"Keller","given":"Ulrich Bernd","non-dropping-particle":"","parse-names":false,"suffix":""},{"dropping-particle":"","family":"Kühnhardt","given":"Dagmar","non-dropping-particle":"","parse-names":false,"suffix":""},{"dropping-particle":"","family":"Ostermann","given":"Helmut","non-dropping-particle":"","parse-names":false,"suffix":""},{"dropping-particle":"","family":"Schmitz","given":"Norbert","non-dropping-particle":"","parse-names":false,"suffix":""},{"dropping-particle":"","family":"Hertenstein","given":"Bernd","non-dropping-particle":"","parse-names":false,"suffix":""},{"dropping-particle":"","family":"Aulitzky","given":"Walter","non-dropping-particle":"","parse-names":false,"suffix":""},{"dropping-particle":"","family":"Maschmeyer","given":"Georg","non-dropping-particle":"","parse-names":false,"suffix":""},{"dropping-particle":"","family":"Vieler","given":"Tom","non-dropping-particle":"","parse-names":false,"suffix":""},{"dropping-particle":"","family":"Eich","given":"Hans","non-dropping-particle":"","parse-names":false,"suffix":""},{"dropping-particle":"","family":"Baues","given":"Christian","non-dropping-particle":"","parse-names":false,"suffix":""},{"dropping-particle":"","family":"Stein","given":"Harald","non-dropping-particle":"","parse-names":false,"suffix":""},{"dropping-particle":"","family":"Fuchs","given":"Michael","non-dropping-particle":"","parse-names":false,"suffix":""},{"dropping-particle":"","family":"Kuhnert","given":"Georg","non-dropping-particle":"","parse-names":false,"suffix":""},{"dropping-particle":"","family":"Diehl","given":"Volker","non-dropping-particle":"","parse-names":false,"suffix":""},{"dropping-particle":"","family":"Dietlein","given":"Markus","non-dropping-particle":"","parse-names":false,"suffix":""},{"dropping-particle":"","family":"Engert","given":"Andreas","non-dropping-particle":"","parse-names":false,"suffix":""}],"container-title":"The Lancet","id":"ITEM-1","issue":"10114","issued":{"date-parts":[["2017"]]},"page":"2790-2802","title":"PET-guided treatment in patients with advanced-stage Hodgkin's lymphoma (HD18): final results of an open-label, international, randomised phase 3 trial by the German Hodgkin Study Group","type":"article-journal","volume":"390"},"uris":["http://www.mendeley.com/documents/?uuid=efc6a7b3-15e0-4c09-b9b0-1829c212de37"]}],"mendeley":{"formattedCitation":"&lt;sup&gt;15&lt;/sup&gt;","plainTextFormattedCitation":"15","previouslyFormattedCitation":"&lt;sup&gt;15&lt;/sup&gt;"},"properties":{"noteIndex":0},"schema":"https://github.com/citation-style-language/schema/raw/master/csl-citation.json"}</w:instrText>
      </w:r>
      <w:r w:rsidR="00BE4E54" w:rsidRPr="00625A76">
        <w:rPr>
          <w:color w:val="000000" w:themeColor="text1"/>
          <w:sz w:val="28"/>
          <w:szCs w:val="28"/>
          <w:lang w:val="en-US"/>
        </w:rPr>
        <w:fldChar w:fldCharType="separate"/>
      </w:r>
      <w:r w:rsidR="0006778F" w:rsidRPr="00625A76">
        <w:rPr>
          <w:noProof/>
          <w:color w:val="000000" w:themeColor="text1"/>
          <w:sz w:val="28"/>
          <w:szCs w:val="28"/>
          <w:vertAlign w:val="superscript"/>
          <w:lang w:val="en-US"/>
        </w:rPr>
        <w:t>15</w:t>
      </w:r>
      <w:r w:rsidR="00BE4E54" w:rsidRPr="00625A76">
        <w:rPr>
          <w:color w:val="000000" w:themeColor="text1"/>
          <w:sz w:val="28"/>
          <w:szCs w:val="28"/>
          <w:lang w:val="en-US"/>
        </w:rPr>
        <w:fldChar w:fldCharType="end"/>
      </w:r>
      <w:r w:rsidR="0037113C" w:rsidRPr="00625A76">
        <w:rPr>
          <w:color w:val="000000" w:themeColor="text1"/>
          <w:sz w:val="28"/>
          <w:szCs w:val="28"/>
          <w:lang w:val="en-US"/>
        </w:rPr>
        <w:t xml:space="preserve">. </w:t>
      </w:r>
    </w:p>
    <w:p w14:paraId="09B9C1DA" w14:textId="1038216B" w:rsidR="00C46626" w:rsidRPr="00625A76" w:rsidRDefault="00200730" w:rsidP="00BD6A01">
      <w:pPr>
        <w:jc w:val="both"/>
        <w:rPr>
          <w:color w:val="000000" w:themeColor="text1"/>
          <w:sz w:val="28"/>
          <w:szCs w:val="28"/>
          <w:lang w:val="en-US"/>
        </w:rPr>
      </w:pPr>
      <w:r w:rsidRPr="00625A76">
        <w:rPr>
          <w:color w:val="000000" w:themeColor="text1"/>
          <w:sz w:val="28"/>
          <w:szCs w:val="28"/>
          <w:lang w:val="en-US"/>
        </w:rPr>
        <w:t>Positive prognostic role of</w:t>
      </w:r>
      <w:r w:rsidR="0037113C" w:rsidRPr="00625A76">
        <w:rPr>
          <w:color w:val="000000" w:themeColor="text1"/>
          <w:sz w:val="28"/>
          <w:szCs w:val="28"/>
          <w:lang w:val="en-US"/>
        </w:rPr>
        <w:t xml:space="preserve"> Human Papilloma Virus status prompted randomized de-escalation</w:t>
      </w:r>
      <w:r w:rsidRPr="00625A76">
        <w:rPr>
          <w:color w:val="000000" w:themeColor="text1"/>
          <w:sz w:val="28"/>
          <w:szCs w:val="28"/>
          <w:lang w:val="en-US"/>
        </w:rPr>
        <w:t xml:space="preserve"> trials for chemoradiation in head and neck cancer</w:t>
      </w:r>
      <w:r w:rsidR="0037113C" w:rsidRPr="00625A76">
        <w:rPr>
          <w:color w:val="000000" w:themeColor="text1"/>
          <w:sz w:val="28"/>
          <w:szCs w:val="28"/>
          <w:lang w:val="en-US"/>
        </w:rPr>
        <w:t xml:space="preserve">. </w:t>
      </w:r>
      <w:r w:rsidR="00C46626" w:rsidRPr="00625A76">
        <w:rPr>
          <w:color w:val="000000" w:themeColor="text1"/>
          <w:sz w:val="28"/>
          <w:szCs w:val="28"/>
          <w:lang w:val="en-US"/>
        </w:rPr>
        <w:t>However, d</w:t>
      </w:r>
      <w:r w:rsidR="00643A67" w:rsidRPr="00625A76">
        <w:rPr>
          <w:color w:val="000000" w:themeColor="text1"/>
          <w:sz w:val="28"/>
          <w:szCs w:val="28"/>
          <w:lang w:val="en-US"/>
        </w:rPr>
        <w:t>espite</w:t>
      </w:r>
      <w:r w:rsidRPr="00625A76">
        <w:rPr>
          <w:color w:val="000000" w:themeColor="text1"/>
          <w:sz w:val="28"/>
          <w:szCs w:val="28"/>
          <w:lang w:val="en-US"/>
        </w:rPr>
        <w:t xml:space="preserve"> positive </w:t>
      </w:r>
      <w:r w:rsidR="00643A67" w:rsidRPr="00625A76">
        <w:rPr>
          <w:color w:val="000000" w:themeColor="text1"/>
          <w:sz w:val="28"/>
          <w:szCs w:val="28"/>
          <w:lang w:val="en-US"/>
        </w:rPr>
        <w:t xml:space="preserve">phase II trials, </w:t>
      </w:r>
      <w:r w:rsidR="00A10D43" w:rsidRPr="00625A76">
        <w:rPr>
          <w:color w:val="000000" w:themeColor="text1"/>
          <w:sz w:val="28"/>
          <w:szCs w:val="28"/>
          <w:lang w:val="en-US"/>
        </w:rPr>
        <w:t xml:space="preserve">substituting cisplatin for cetuximab in combination with </w:t>
      </w:r>
      <w:r w:rsidR="0037113C" w:rsidRPr="00625A76">
        <w:rPr>
          <w:color w:val="000000" w:themeColor="text1"/>
          <w:sz w:val="28"/>
          <w:szCs w:val="28"/>
          <w:lang w:val="en-US"/>
        </w:rPr>
        <w:t xml:space="preserve">radiotherapy led to inferior results in </w:t>
      </w:r>
      <w:r w:rsidR="00C46626" w:rsidRPr="00625A76">
        <w:rPr>
          <w:color w:val="000000" w:themeColor="text1"/>
          <w:sz w:val="28"/>
          <w:szCs w:val="28"/>
          <w:lang w:val="en-US"/>
        </w:rPr>
        <w:t>two</w:t>
      </w:r>
      <w:r w:rsidR="0037113C" w:rsidRPr="00625A76">
        <w:rPr>
          <w:color w:val="000000" w:themeColor="text1"/>
          <w:sz w:val="28"/>
          <w:szCs w:val="28"/>
          <w:lang w:val="en-US"/>
        </w:rPr>
        <w:t xml:space="preserve"> randomized </w:t>
      </w:r>
      <w:r w:rsidR="00643A67" w:rsidRPr="00625A76">
        <w:rPr>
          <w:color w:val="000000" w:themeColor="text1"/>
          <w:sz w:val="28"/>
          <w:szCs w:val="28"/>
          <w:lang w:val="en-US"/>
        </w:rPr>
        <w:t xml:space="preserve">phase III </w:t>
      </w:r>
      <w:r w:rsidR="0037113C" w:rsidRPr="00625A76">
        <w:rPr>
          <w:color w:val="000000" w:themeColor="text1"/>
          <w:sz w:val="28"/>
          <w:szCs w:val="28"/>
          <w:lang w:val="en-US"/>
        </w:rPr>
        <w:t>trials</w:t>
      </w:r>
      <w:r w:rsidR="00BE4E54" w:rsidRPr="00625A76">
        <w:rPr>
          <w:color w:val="000000" w:themeColor="text1"/>
          <w:sz w:val="28"/>
          <w:szCs w:val="28"/>
          <w:lang w:val="en-US"/>
        </w:rPr>
        <w:fldChar w:fldCharType="begin" w:fldLock="1"/>
      </w:r>
      <w:r w:rsidR="0006778F" w:rsidRPr="00625A76">
        <w:rPr>
          <w:color w:val="000000" w:themeColor="text1"/>
          <w:sz w:val="28"/>
          <w:szCs w:val="28"/>
          <w:lang w:val="en-US"/>
        </w:rPr>
        <w:instrText>ADDIN CSL_CITATION {"citationItems":[{"id":"ITEM-1","itemData":{"DOI":"10.1016/S0140-6736(18)32752-1","ISSN":"1474-547X","PMID":"30449623","abstract":"BACKGROUND The incidence of human papillomavirus (HPV)-positive oropharyngeal cancer, a disease affecting younger patients, is rapidly increasing. Cetuximab, an epidermal growth factor receptor inhibitor, has been proposed for treatment de-escalation in this setting to reduce the toxicity of standard cisplatin treatment, but no randomised evidence exists for the efficacy of this strategy. METHODS We did an open-label randomised controlled phase 3 trial at 32 head and neck treatment centres in Ireland, the Netherlands, and the UK, in patients aged 18 years or older with HPV-positive low-risk oropharyngeal cancer (non-smokers or lifetime smokers with a smoking history of &lt;10 pack-years). Eligible patients were randomly assigned (1:1) to receive, in addition to radiotherapy (70 Gy in 35 fractions), either intravenous cisplatin (100 mg/m2 on days 1, 22, and 43 of radiotherapy) or intravenous cetuximab (400 mg/m2 loading dose followed by seven weekly infusions of 250 mg/m2). The primary outcome was overall severe (grade 3-5) toxicity events at 24 months from the end of treatment. The primary outcome was assessed by intention-to-treat and per-protocol analyses. This trial is registered with the ISRCTN registry, number ISRCTN33522080. FINDINGS Between Nov 12, 2012, and Oct 1, 2016, 334 patients were recruited (166 in the cisplatin group and 168 in the cetuximab group). Overall (acute and late) severe (grade 3-5) toxicity did not differ significantly between treatment groups at 24 months (mean number of events per patient 4·8 [95% CI 4·2-5·4] with cisplatin vs 4·8 [4·2-5·4] with cetuximab; p=0·98). At 24 months, overall all-grade toxicity did not differ significantly either (mean number of events per patient 29·2 [95% CI 27·3-31·0] with cisplatin vs 30·1 [28·3-31·9] with cetuximab; p=0·49). However, there was a significant difference between cisplatin and cetuximab in 2-year overall survival (97·5% vs 89·4%, hazard ratio 5·0 [95% CI 1·7-14·7]; p=0·001) and 2-year recurrence (6·0% vs 16·1%, 3·4 [1·6-7·2]; p=0·0007). INTERPRETATION Compared with the standard cisplatin regimen, cetuximab showed no benefit in terms of reduced toxicity, but instead showed significant detriment in terms of tumour control. Cisplatin and radiotherapy should be used as the standard of care for HPV-positive low-risk patients who are able to tolerate cisplatin. FUNDING Cancer Research UK.","author":[{"dropping-particle":"","family":"Mehanna","given":"Hisham","non-dropping-particle":"","parse-names":false,"suffix":""},{"dropping-particle":"","family":"Robinson","given":"Max","non-dropping-particle":"","parse-names":false,"suffix":""},{"dropping-particle":"","family":"Hartley","given":"Andrew","non-dropping-particle":"","parse-names":false,"suffix":""},{"dropping-particle":"","family":"Kong","given":"Anthony","non-dropping-particle":"","parse-names":false,"suffix":""},{"dropping-particle":"","family":"Foran","given":"Bernadette","non-dropping-particle":"","parse-names":false,"suffix":""},{"dropping-particle":"","family":"Fulton-Lieuw","given":"Tessa","non-dropping-particle":"","parse-names":false,"suffix":""},{"dropping-particle":"","family":"Dalby","given":"Matthew","non-dropping-particle":"","parse-names":false,"suffix":""},{"dropping-particle":"","family":"Mistry","given":"Pankaj","non-dropping-particle":"","parse-names":false,"suffix":""},{"dropping-particle":"","family":"Sen","given":"Mehmet","non-dropping-particle":"","parse-names":false,"suffix":""},{"dropping-particle":"","family":"O'Toole","given":"Lorcan","non-dropping-particle":"","parse-names":false,"suffix":""},{"dropping-particle":"","family":"Booz","given":"Hoda","non-dropping-particle":"Al","parse-names":false,"suffix":""},{"dropping-particle":"","family":"Dyker","given":"Karen","non-dropping-particle":"","parse-names":false,"suffix":""},{"dropping-particle":"","family":"Moleron","given":"Rafael","non-dropping-particle":"","parse-names":false,"suffix":""},{"dropping-particle":"","family":"Whitaker","given":"Stephen","non-dropping-particle":"","parse-names":false,"suffix":""},{"dropping-particle":"","family":"Brennan","given":"Sinead","non-dropping-particle":"","parse-names":false,"suffix":""},{"dropping-particle":"","family":"Cook","given":"Audrey","non-dropping-particle":"","parse-names":false,"suffix":""},{"dropping-particle":"","family":"Griffin","given":"Matthew","non-dropping-particle":"","parse-names":false,"suffix":""},{"dropping-particle":"","family":"Aynsley","given":"Eleanor","non-dropping-particle":"","parse-names":false,"suffix":""},{"dropping-particle":"","family":"Rolles","given":"Martin","non-dropping-particle":"","parse-names":false,"suffix":""},{"dropping-particle":"","family":"Winton","given":"Emma","non-dropping-particle":"De","parse-names":false,"suffix":""},{"dropping-particle":"","family":"Chan","given":"Andrew","non-dropping-particle":"","parse-names":false,"suffix":""},{"dropping-particle":"","family":"Srinivasan","given":"Devraj","non-dropping-particle":"","parse-names":false,"suffix":""},{"dropping-particle":"","family":"Nixon","given":"Ioanna","non-dropping-particle":"","parse-names":false,"suffix":""},{"dropping-particle":"","family":"Grumett","given":"Joanne","non-dropping-particle":"","parse-names":false,"suffix":""},{"dropping-particle":"","family":"Leemans","given":"C René","non-dropping-particle":"","parse-names":false,"suffix":""},{"dropping-particle":"","family":"Buter","given":"Jan","non-dropping-particle":"","parse-names":false,"suffix":""},{"dropping-particle":"","family":"Henderson","given":"Julia","non-dropping-particle":"","parse-names":false,"suffix":""},{"dropping-particle":"","family":"Harrington","given":"Kevin","non-dropping-particle":"","parse-names":false,"suffix":""},{"dropping-particle":"","family":"McConkey","given":"Christopher","non-dropping-particle":"","parse-names":false,"suffix":""},{"dropping-particle":"","family":"Gray","given":"Alastair","non-dropping-particle":"","parse-names":false,"suffix":""},{"dropping-particle":"","family":"Dunn","given":"Janet","non-dropping-particle":"","parse-names":false,"suffix":""},{"dropping-particle":"","family":"De-ESCALaTE HPV Trial Group","given":"De-ESCALaTE HPV Trial","non-dropping-particle":"","parse-names":false,"suffix":""}],"container-title":"Lancet (London, England)","id":"ITEM-1","issue":"10166","issued":{"date-parts":[["2019"]]},"page":"51-60","publisher":"Elsevier","title":"Radiotherapy plus cisplatin or cetuximab in low-risk human papillomavirus-positive oropharyngeal cancer (De-ESCALaTE HPV): an open-label randomised controlled phase 3 trial.","type":"article-journal","volume":"393"},"uris":["http://www.mendeley.com/documents/?uuid=3d61d88a-d70e-32bf-b080-be2bd35893b3"]},{"id":"ITEM-2","itemData":{"DOI":"10.1016/S0140-6736(18)32779-X","ISSN":"1474547X","PMID":"30449625","abstract":"Background: Patients with human papillomavirus (HPV)-positive oropharyngeal squamous cell carcinoma have high survival when treated with radiotherapy plus cisplatin. Whether replacement of cisplatin with cetuximab—an antibody against the epidermal growth factor receptor—can preserve high survival and reduce treatment toxicity is unknown. We investigated whether cetuximab would maintain a high proportion of patient survival and reduce acute and late toxicity. Methods: RTOG 1016 was a randomised, multicentre, non-inferiority trial at 182 health-care centres in the USA and Canada. Eligibility criteria included histologically confirmed HPV-positive oropharyngeal carcinoma; American Joint Committee on Cancer 7th edition clinical categories T1–T2, N2a–N3 M0 or T3–T4, N0–N3 M0; Zubrod performance status 0 or 1; age at least 18 years; and adequate bone marrow, hepatic, and renal function. We randomly assigned patients (1:1) to receive either radiotherapy plus cetuximab or radiotherapy plus cisplatin. Randomisation was balanced by using randomly permuted blocks, and patients were stratified by T category (T1–T2 vs T3–T4), N category (N0–N2a vs N2b–N3), Zubrod performance status (0 vs 1), and tobacco smoking history (≤10 pack-years vs &gt;10 pack-years). Patients were assigned to receive either intravenous cetuximab at a loading dose of 400 mg/m 2 5–7 days before radiotherapy initiation, followed by cetuximab 250 mg/m 2 weekly for seven doses (total 2150 mg/m 2 ), or cisplatin 100 mg/m 2 on days 1 and 22 of radiotherapy (total 200 mg/m 2 ). All patients received accelerated intensity-modulated radiotherapy delivered at 70 Gy in 35 fractions over 6 weeks at six fractions per week (with two fractions given on one day, at least 6 h apart). The primary endpoint was overall survival, defined as time from randomisation to death from any cause, with non-inferiority margin 1·45. Primary analysis was based on the modified intention-to-treat approach, whereby all patients meeting eligibility criteria are included. This study is registered with ClinicalTrials.gov, number NCT01302834. Findings: Between June 9, 2011, and July 31, 2014, 987 patients were enrolled, of whom 849 were randomly assigned to receive radiotherapy plus cetuximab (n=425) or radiotherapy plus cisplatin (n=424). 399 patients assigned to receive cetuximab and 406 patients assigned to receive cisplatin were subsequently eligible. After median follow-up duration of 4·5 years, radiotherapy plus cetuximab did not…","author":[{"dropping-particle":"","family":"Gillison","given":"Maura L.","non-dropping-particle":"","parse-names":false,"suffix":""},{"dropping-particle":"","family":"Trotti","given":"Andy M.","non-dropping-particle":"","parse-names":false,"suffix":""},{"dropping-particle":"","family":"Harris","given":"Jonathan","non-dropping-particle":"","parse-names":false,"suffix":""},{"dropping-particle":"","family":"Eisbruch","given":"Avraham","non-dropping-particle":"","parse-names":false,"suffix":""},{"dropping-particle":"","family":"Harari","given":"Paul M.","non-dropping-particle":"","parse-names":false,"suffix":""},{"dropping-particle":"","family":"Adelstein","given":"David J.","non-dropping-particle":"","parse-names":false,"suffix":""},{"dropping-particle":"","family":"Sturgis","given":"Erich M.","non-dropping-particle":"","parse-names":false,"suffix":""},{"dropping-particle":"","family":"Burtness","given":"Barbara","non-dropping-particle":"","parse-names":false,"suffix":""},{"dropping-particle":"","family":"Ridge","given":"John A.","non-dropping-particle":"","parse-names":false,"suffix":""},{"dropping-particle":"","family":"Ringash","given":"Jolie","non-dropping-particle":"","parse-names":false,"suffix":""},{"dropping-particle":"","family":"Galvin","given":"James","non-dropping-particle":"","parse-names":false,"suffix":""},{"dropping-particle":"","family":"Yao","given":"Min","non-dropping-particle":"","parse-names":false,"suffix":""},{"dropping-particle":"","family":"Koyfman","given":"Shlomo A.","non-dropping-particle":"","parse-names":false,"suffix":""},{"dropping-particle":"","family":"Blakaj","given":"Dukagjin M.","non-dropping-particle":"","parse-names":false,"suffix":""},{"dropping-particle":"","family":"Razaq","given":"Mohammed A.","non-dropping-particle":"","parse-names":false,"suffix":""},{"dropping-particle":"","family":"Colevas","given":"A. Dimitrios","non-dropping-particle":"","parse-names":false,"suffix":""},{"dropping-particle":"","family":"Beitler","given":"Jonathan J.","non-dropping-particle":"","parse-names":false,"suffix":""},{"dropping-particle":"","family":"Jones","given":"Christopher U.","non-dropping-particle":"","parse-names":false,"suffix":""},{"dropping-particle":"","family":"Dunlap","given":"Neal E.","non-dropping-particle":"","parse-names":false,"suffix":""},{"dropping-particle":"","family":"Seaward","given":"Samantha A.","non-dropping-particle":"","parse-names":false,"suffix":""},{"dropping-particle":"","family":"Spencer","given":"Sharon","non-dropping-particle":"","parse-names":false,"suffix":""},{"dropping-particle":"","family":"Galloway","given":"Thomas J.","non-dropping-particle":"","parse-names":false,"suffix":""},{"dropping-particle":"","family":"Phan","given":"Jack","non-dropping-particle":"","parse-names":false,"suffix":""},{"dropping-particle":"","family":"Dignam","given":"James J.","non-dropping-particle":"","parse-names":false,"suffix":""},{"dropping-particle":"","family":"Le","given":"Quynh Thu","non-dropping-particle":"","parse-names":false,"suffix":""}],"container-title":"The Lancet","id":"ITEM-2","issue":"10166","issued":{"date-parts":[["2019","1","5"]]},"page":"40-50","publisher":"Lancet Publishing Group","title":"Radiotherapy plus cetuximab or cisplatin in human papillomavirus-positive oropharyngeal cancer (NRG Oncology RTOG 1016): a randomised, multicentre, non-inferiority trial","type":"article-journal","volume":"393"},"uris":["http://www.mendeley.com/documents/?uuid=d13152ff-cd7b-3a52-95d6-3a94ac2430dc"]}],"mendeley":{"formattedCitation":"&lt;sup&gt;16,17&lt;/sup&gt;","plainTextFormattedCitation":"16,17","previouslyFormattedCitation":"&lt;sup&gt;16,17&lt;/sup&gt;"},"properties":{"noteIndex":0},"schema":"https://github.com/citation-style-language/schema/raw/master/csl-citation.json"}</w:instrText>
      </w:r>
      <w:r w:rsidR="00BE4E54" w:rsidRPr="00625A76">
        <w:rPr>
          <w:color w:val="000000" w:themeColor="text1"/>
          <w:sz w:val="28"/>
          <w:szCs w:val="28"/>
          <w:lang w:val="en-US"/>
        </w:rPr>
        <w:fldChar w:fldCharType="separate"/>
      </w:r>
      <w:r w:rsidR="0006778F" w:rsidRPr="00625A76">
        <w:rPr>
          <w:noProof/>
          <w:color w:val="000000" w:themeColor="text1"/>
          <w:sz w:val="28"/>
          <w:szCs w:val="28"/>
          <w:vertAlign w:val="superscript"/>
          <w:lang w:val="en-US"/>
        </w:rPr>
        <w:t>16,17</w:t>
      </w:r>
      <w:r w:rsidR="00BE4E54" w:rsidRPr="00625A76">
        <w:rPr>
          <w:color w:val="000000" w:themeColor="text1"/>
          <w:sz w:val="28"/>
          <w:szCs w:val="28"/>
          <w:lang w:val="en-US"/>
        </w:rPr>
        <w:fldChar w:fldCharType="end"/>
      </w:r>
      <w:r w:rsidR="0037113C" w:rsidRPr="00625A76">
        <w:rPr>
          <w:color w:val="000000" w:themeColor="text1"/>
          <w:sz w:val="28"/>
          <w:szCs w:val="28"/>
          <w:lang w:val="en-US"/>
        </w:rPr>
        <w:t>.</w:t>
      </w:r>
    </w:p>
    <w:p w14:paraId="6066D283" w14:textId="60691201" w:rsidR="005C7D55" w:rsidRPr="00625A76" w:rsidRDefault="0037113C" w:rsidP="009B4B71">
      <w:pPr>
        <w:jc w:val="both"/>
        <w:rPr>
          <w:color w:val="000000" w:themeColor="text1"/>
          <w:sz w:val="28"/>
          <w:szCs w:val="28"/>
          <w:lang w:val="en-US"/>
        </w:rPr>
      </w:pPr>
      <w:r w:rsidRPr="00625A76">
        <w:rPr>
          <w:color w:val="000000" w:themeColor="text1"/>
          <w:sz w:val="28"/>
          <w:szCs w:val="28"/>
          <w:lang w:val="en-US"/>
        </w:rPr>
        <w:lastRenderedPageBreak/>
        <w:t xml:space="preserve">In HER2 positive breast cancer, the single arm </w:t>
      </w:r>
      <w:r w:rsidR="00B46389">
        <w:rPr>
          <w:color w:val="000000" w:themeColor="text1"/>
          <w:sz w:val="28"/>
          <w:szCs w:val="28"/>
          <w:lang w:val="en-US"/>
        </w:rPr>
        <w:t xml:space="preserve">APT </w:t>
      </w:r>
      <w:r w:rsidRPr="00625A76">
        <w:rPr>
          <w:color w:val="000000" w:themeColor="text1"/>
          <w:sz w:val="28"/>
          <w:szCs w:val="28"/>
          <w:lang w:val="en-US"/>
        </w:rPr>
        <w:t>trial</w:t>
      </w:r>
      <w:r w:rsidR="0017309B" w:rsidRPr="00625A76">
        <w:rPr>
          <w:color w:val="000000" w:themeColor="text1"/>
          <w:sz w:val="28"/>
          <w:szCs w:val="28"/>
          <w:lang w:val="en-US"/>
        </w:rPr>
        <w:t xml:space="preserve"> (NCT00542451)</w:t>
      </w:r>
      <w:r w:rsidRPr="00625A76">
        <w:rPr>
          <w:color w:val="000000" w:themeColor="text1"/>
          <w:sz w:val="28"/>
          <w:szCs w:val="28"/>
          <w:lang w:val="en-US"/>
        </w:rPr>
        <w:t xml:space="preserve"> </w:t>
      </w:r>
      <w:r w:rsidR="00925E04" w:rsidRPr="00625A76">
        <w:rPr>
          <w:color w:val="000000" w:themeColor="text1"/>
          <w:sz w:val="28"/>
          <w:szCs w:val="28"/>
          <w:lang w:val="en-US"/>
        </w:rPr>
        <w:t>prospectively tested</w:t>
      </w:r>
      <w:r w:rsidR="005C7D55" w:rsidRPr="00625A76">
        <w:rPr>
          <w:color w:val="000000" w:themeColor="text1"/>
          <w:sz w:val="28"/>
          <w:szCs w:val="28"/>
          <w:lang w:val="en-US"/>
        </w:rPr>
        <w:t xml:space="preserve"> omission of doxorubicin </w:t>
      </w:r>
      <w:r w:rsidR="00621823" w:rsidRPr="00625A76">
        <w:rPr>
          <w:color w:val="000000" w:themeColor="text1"/>
          <w:sz w:val="28"/>
          <w:szCs w:val="28"/>
          <w:lang w:val="en-US"/>
        </w:rPr>
        <w:t xml:space="preserve">and cyclophosphamide </w:t>
      </w:r>
      <w:r w:rsidR="005C7D55" w:rsidRPr="00625A76">
        <w:rPr>
          <w:color w:val="000000" w:themeColor="text1"/>
          <w:sz w:val="28"/>
          <w:szCs w:val="28"/>
          <w:lang w:val="en-US"/>
        </w:rPr>
        <w:t>in a carefully selected patient population with a low tumor burden (mostly T1N</w:t>
      </w:r>
      <w:r w:rsidR="00200730" w:rsidRPr="00625A76">
        <w:rPr>
          <w:color w:val="000000" w:themeColor="text1"/>
          <w:sz w:val="28"/>
          <w:szCs w:val="28"/>
          <w:lang w:val="en-US"/>
        </w:rPr>
        <w:t>0</w:t>
      </w:r>
      <w:r w:rsidR="005C7D55" w:rsidRPr="00625A76">
        <w:rPr>
          <w:color w:val="000000" w:themeColor="text1"/>
          <w:sz w:val="28"/>
          <w:szCs w:val="28"/>
          <w:lang w:val="en-US"/>
        </w:rPr>
        <w:t xml:space="preserve"> tumors)</w:t>
      </w:r>
      <w:r w:rsidR="00867FCE" w:rsidRPr="00625A76">
        <w:rPr>
          <w:color w:val="000000" w:themeColor="text1"/>
          <w:sz w:val="28"/>
          <w:szCs w:val="28"/>
          <w:lang w:val="en-US"/>
        </w:rPr>
        <w:fldChar w:fldCharType="begin" w:fldLock="1"/>
      </w:r>
      <w:r w:rsidR="00122AB9" w:rsidRPr="00625A76">
        <w:rPr>
          <w:color w:val="000000" w:themeColor="text1"/>
          <w:sz w:val="28"/>
          <w:szCs w:val="28"/>
          <w:lang w:val="en-US"/>
        </w:rPr>
        <w:instrText>ADDIN CSL_CITATION {"citationItems":[{"id":"ITEM-1","itemData":{"author":[{"dropping-particle":"","family":"Tolaney","given":"SM","non-dropping-particle":"","parse-names":false,"suffix":""},{"dropping-particle":"","family":"Barry","given":"WT","non-dropping-particle":"","parse-names":false,"suffix":""},{"dropping-particle":"","family":"Dang","given":"CT","non-dropping-particle":"","parse-names":false,"suffix":""},{"dropping-particle":"","family":"al.","given":"et","non-dropping-particle":"","parse-names":false,"suffix":""}],"container-title":"N Engl J Med","id":"ITEM-1","issued":{"date-parts":[["2015"]]},"page":"134-141","title":"Adjuvant paclitaxel and trastuzumab for node-negative, HER2-positive breast cancer","type":"article-journal","volume":"372"},"uris":["http://www.mendeley.com/documents/?uuid=8611d3c9-30a4-35aa-a97a-a5fe2810cd93"]}],"mendeley":{"formattedCitation":"&lt;sup&gt;18&lt;/sup&gt;","plainTextFormattedCitation":"18","previouslyFormattedCitation":"&lt;sup&gt;18&lt;/sup&gt;"},"properties":{"noteIndex":0},"schema":"https://github.com/citation-style-language/schema/raw/master/csl-citation.json"}</w:instrText>
      </w:r>
      <w:r w:rsidR="00867FCE" w:rsidRPr="00625A76">
        <w:rPr>
          <w:color w:val="000000" w:themeColor="text1"/>
          <w:sz w:val="28"/>
          <w:szCs w:val="28"/>
          <w:lang w:val="en-US"/>
        </w:rPr>
        <w:fldChar w:fldCharType="separate"/>
      </w:r>
      <w:r w:rsidR="00122AB9" w:rsidRPr="00625A76">
        <w:rPr>
          <w:noProof/>
          <w:color w:val="000000" w:themeColor="text1"/>
          <w:sz w:val="28"/>
          <w:szCs w:val="28"/>
          <w:vertAlign w:val="superscript"/>
          <w:lang w:val="en-US"/>
        </w:rPr>
        <w:t>18</w:t>
      </w:r>
      <w:r w:rsidR="00867FCE" w:rsidRPr="00625A76">
        <w:rPr>
          <w:color w:val="000000" w:themeColor="text1"/>
          <w:sz w:val="28"/>
          <w:szCs w:val="28"/>
          <w:lang w:val="en-US"/>
        </w:rPr>
        <w:fldChar w:fldCharType="end"/>
      </w:r>
      <w:r w:rsidR="00867FCE" w:rsidRPr="00625A76">
        <w:rPr>
          <w:color w:val="000000" w:themeColor="text1"/>
          <w:sz w:val="28"/>
          <w:szCs w:val="28"/>
          <w:lang w:val="en-US"/>
        </w:rPr>
        <w:t>.</w:t>
      </w:r>
      <w:r w:rsidR="001C3504" w:rsidRPr="00625A76">
        <w:rPr>
          <w:color w:val="000000" w:themeColor="text1"/>
          <w:sz w:val="28"/>
          <w:szCs w:val="28"/>
          <w:lang w:val="en-US"/>
        </w:rPr>
        <w:t xml:space="preserve"> </w:t>
      </w:r>
      <w:r w:rsidR="005C7D55" w:rsidRPr="00625A76">
        <w:rPr>
          <w:color w:val="000000" w:themeColor="text1"/>
          <w:sz w:val="28"/>
          <w:szCs w:val="28"/>
          <w:lang w:val="en-US"/>
        </w:rPr>
        <w:t>It</w:t>
      </w:r>
      <w:r w:rsidR="00720C31" w:rsidRPr="00625A76">
        <w:rPr>
          <w:color w:val="000000" w:themeColor="text1"/>
          <w:sz w:val="28"/>
          <w:szCs w:val="28"/>
          <w:lang w:val="en-US"/>
        </w:rPr>
        <w:t xml:space="preserve"> reported a 3-year iDFS of 98.7% (CI: 97.6-99.8%) which was well above its predefined non-inferiority boundary of</w:t>
      </w:r>
      <w:r w:rsidR="005C7D55" w:rsidRPr="00625A76">
        <w:rPr>
          <w:color w:val="000000" w:themeColor="text1"/>
          <w:sz w:val="28"/>
          <w:szCs w:val="28"/>
          <w:lang w:val="en-US"/>
        </w:rPr>
        <w:t xml:space="preserve"> </w:t>
      </w:r>
      <w:r w:rsidR="00720C31" w:rsidRPr="00625A76">
        <w:rPr>
          <w:color w:val="000000" w:themeColor="text1"/>
          <w:sz w:val="28"/>
          <w:szCs w:val="28"/>
          <w:lang w:val="en-US"/>
        </w:rPr>
        <w:t>90.8%. A</w:t>
      </w:r>
      <w:r w:rsidR="005C7D55" w:rsidRPr="00625A76">
        <w:rPr>
          <w:color w:val="000000" w:themeColor="text1"/>
          <w:sz w:val="28"/>
          <w:szCs w:val="28"/>
          <w:lang w:val="en-US"/>
        </w:rPr>
        <w:t xml:space="preserve">t 7 years median follow-up </w:t>
      </w:r>
      <w:r w:rsidR="00720C31" w:rsidRPr="00625A76">
        <w:rPr>
          <w:color w:val="000000" w:themeColor="text1"/>
          <w:sz w:val="28"/>
          <w:szCs w:val="28"/>
          <w:lang w:val="en-US"/>
        </w:rPr>
        <w:t xml:space="preserve">results </w:t>
      </w:r>
      <w:r w:rsidR="005C7D55" w:rsidRPr="00625A76">
        <w:rPr>
          <w:color w:val="000000" w:themeColor="text1"/>
          <w:sz w:val="28"/>
          <w:szCs w:val="28"/>
          <w:lang w:val="en-US"/>
        </w:rPr>
        <w:t xml:space="preserve">remained </w:t>
      </w:r>
      <w:r w:rsidR="00621823" w:rsidRPr="00625A76">
        <w:rPr>
          <w:color w:val="000000" w:themeColor="text1"/>
          <w:sz w:val="28"/>
          <w:szCs w:val="28"/>
          <w:lang w:val="en-US"/>
        </w:rPr>
        <w:t>excellent</w:t>
      </w:r>
      <w:r w:rsidR="005C7D55" w:rsidRPr="00625A76">
        <w:rPr>
          <w:color w:val="000000" w:themeColor="text1"/>
          <w:sz w:val="28"/>
          <w:szCs w:val="28"/>
          <w:lang w:val="en-US"/>
        </w:rPr>
        <w:t xml:space="preserve"> </w:t>
      </w:r>
      <w:r w:rsidR="00720C31" w:rsidRPr="00625A76">
        <w:rPr>
          <w:color w:val="000000" w:themeColor="text1"/>
          <w:sz w:val="28"/>
          <w:szCs w:val="28"/>
          <w:lang w:val="en-US"/>
        </w:rPr>
        <w:t xml:space="preserve">with </w:t>
      </w:r>
      <w:r w:rsidR="005C7D55" w:rsidRPr="00625A76">
        <w:rPr>
          <w:color w:val="000000" w:themeColor="text1"/>
          <w:sz w:val="28"/>
          <w:szCs w:val="28"/>
          <w:lang w:val="en-US"/>
        </w:rPr>
        <w:t xml:space="preserve">only </w:t>
      </w:r>
      <w:r w:rsidR="00327062" w:rsidRPr="00625A76">
        <w:rPr>
          <w:color w:val="000000" w:themeColor="text1"/>
          <w:sz w:val="28"/>
          <w:szCs w:val="28"/>
          <w:lang w:val="en-US"/>
        </w:rPr>
        <w:t>four</w:t>
      </w:r>
      <w:r w:rsidR="005C7D55" w:rsidRPr="00625A76">
        <w:rPr>
          <w:color w:val="000000" w:themeColor="text1"/>
          <w:sz w:val="28"/>
          <w:szCs w:val="28"/>
          <w:lang w:val="en-US"/>
        </w:rPr>
        <w:t xml:space="preserve"> distant metastases reported</w:t>
      </w:r>
      <w:r w:rsidR="00867FCE" w:rsidRPr="00625A76">
        <w:rPr>
          <w:color w:val="000000" w:themeColor="text1"/>
          <w:sz w:val="28"/>
          <w:szCs w:val="28"/>
          <w:lang w:val="en-US"/>
        </w:rPr>
        <w:fldChar w:fldCharType="begin" w:fldLock="1"/>
      </w:r>
      <w:r w:rsidR="00122AB9" w:rsidRPr="00625A76">
        <w:rPr>
          <w:color w:val="000000" w:themeColor="text1"/>
          <w:sz w:val="28"/>
          <w:szCs w:val="28"/>
          <w:lang w:val="en-US"/>
        </w:rPr>
        <w:instrText>ADDIN CSL_CITATION {"citationItems":[{"id":"ITEM-1","itemData":{"DOI":"10.1200/JCO.19.00066","ISSN":"15277755","abstract":"PURPOSE The Adjuvant Paclitaxel and Trastuzumab trial was designed to address treatment of patients with small human epidermal growth factor receptor 2 (HER2)–positive breast cancer. The primary analysis of the Adjuvant Paclitaxel and Trastuzumab trial demonstrated a 3-year disease-free survival (DFS) of 98.7%. In this planned secondary analysis, we report longer-term outcomes and exploratory results to characterize the biology of small HER2-positive tumors and genetic factors that may predispose to paclitaxel-induced peripheral neuropathy (TIPN). PATIENTS AND METHODS In this phase II study, patients with HER2-positive breast cancer with tumors 3 cm or smaller and negative nodes received paclitaxel (80 mg/m2) with trastuzumab for 12 weeks, followed by trastuzumab for 9 months. The primary end point was DFS. Recurrence-free interval (RFI), breast cancer–specific survival, and overall survival (OS) were also analyzed. In an exploratory analysis, intrinsic subtyping by PAM50 (Prosigna) and calculation of the risk of recurrence score were performed on the nCounter analysis system on archival tissue. Genotyping was performed to investigate TIPN. RESULTS A total of 410 patients were enrolled from October 2007 to September 2010. After a median follow-up of 6.5 years, there were 23 DFS events. The 7-year DFS was 93% (95% CI, 90.4 to 96.2) with four (1.0%) distant recurrences, 7-year OS was 95% (95% CI, 92.4 to 97.7), and 7-year RFI was 97.5% (95% CI, 95.9 to 99.1). PAM50 analyses (n = 278) showed that most tumors were HER2-enriched (66%), followed by luminal B (14%), luminal A (13%), and basal-like (8%). Genotyping (n = 230) identified one single-nucleotide polymorphism, rs3012437, associated with an increased risk of TIPN in patients with grade 2 or greater TIPN (10.4%). CONCLUSION With longer follow-up, adjuvant paclitaxel and trastuzumab is associated with excellent long-term outcomes. Distribution of PAM50 intrinsic subtypes in small HER2-positive tumors is similar to that previously reported for larger tumors.","author":[{"dropping-particle":"","family":"Tolaney","given":"Sara M.","non-dropping-particle":"","parse-names":false,"suffix":""},{"dropping-particle":"","family":"Guo","given":"Hao","non-dropping-particle":"","parse-names":false,"suffix":""},{"dropping-particle":"","family":"Pernas","given":"Sonia","non-dropping-particle":"","parse-names":false,"suffix":""},{"dropping-particle":"","family":"Barry","given":"William T.","non-dropping-particle":"","parse-names":false,"suffix":""},{"dropping-particle":"","family":"Dillon","given":"Deborah A.","non-dropping-particle":"","parse-names":false,"suffix":""},{"dropping-particle":"","family":"Ritterhouse","given":"Lauren","non-dropping-particle":"","parse-names":false,"suffix":""},{"dropping-particle":"","family":"Schneider","given":"Bryan P.","non-dropping-particle":"","parse-names":false,"suffix":""},{"dropping-particle":"","family":"Shen","given":"Fei","non-dropping-particle":"","parse-names":false,"suffix":""},{"dropping-particle":"","family":"Fuhrman","given":"Kit","non-dropping-particle":"","parse-names":false,"suffix":""},{"dropping-particle":"","family":"Baltay","given":"Michele","non-dropping-particle":"","parse-names":false,"suffix":""},{"dropping-particle":"","family":"Dang","given":"Chau T.","non-dropping-particle":"","parse-names":false,"suffix":""},{"dropping-particle":"","family":"Yardley","given":"Denise A.","non-dropping-particle":"","parse-names":false,"suffix":""},{"dropping-particle":"","family":"Moy","given":"Beverly","non-dropping-particle":"","parse-names":false,"suffix":""},{"dropping-particle":"","family":"Kelly Marcom","given":"P.","non-dropping-particle":"","parse-names":false,"suffix":""},{"dropping-particle":"","family":"Albain","given":"Kathy S.","non-dropping-particle":"","parse-names":false,"suffix":""},{"dropping-particle":"","family":"Rugo","given":"Hope S.","non-dropping-particle":"","parse-names":false,"suffix":""},{"dropping-particle":"","family":"Ellis","given":"Mathew J.","non-dropping-particle":"","parse-names":false,"suffix":""},{"dropping-particle":"","family":"Shapira","given":"Iuliana","non-dropping-particle":"","parse-names":false,"suffix":""},{"dropping-particle":"","family":"Wolff","given":"Antonio C.","non-dropping-particle":"","parse-names":false,"suffix":""},{"dropping-particle":"","family":"Carey","given":"Lisa A.","non-dropping-particle":"","parse-names":false,"suffix":""},{"dropping-particle":"","family":"Overmoyer","given":"Beth","non-dropping-particle":"","parse-names":false,"suffix":""},{"dropping-particle":"","family":"Partridge","given":"Ann H.","non-dropping-particle":"","parse-names":false,"suffix":""},{"dropping-particle":"","family":"Hudis","given":"Clifford A.","non-dropping-particle":"","parse-names":false,"suffix":""},{"dropping-particle":"","family":"Krop","given":"Ian E.","non-dropping-particle":"","parse-names":false,"suffix":""},{"dropping-particle":"","family":"Burstein","given":"Harold J.","non-dropping-particle":"","parse-names":false,"suffix":""},{"dropping-particle":"","family":"Winer","given":"Eric P.","non-dropping-particle":"","parse-names":false,"suffix":""}],"container-title":"Journal of Clinical Oncology","id":"ITEM-1","issue":"22","issued":{"date-parts":[["2019"]]},"page":"1868-1875","publisher":"American Society of Clinical Oncology","title":"Seven-year follow-up analysis of adjuvant paclitaxel and trastuzumab trial for node-negative, human epidermal growth factor receptor 2–positive breast cancer","type":"paper-conference","volume":"37"},"uris":["http://www.mendeley.com/documents/?uuid=6c4dbb4c-72f8-3c66-bef4-e905bc7a3219"]}],"mendeley":{"formattedCitation":"&lt;sup&gt;19&lt;/sup&gt;","plainTextFormattedCitation":"19","previouslyFormattedCitation":"&lt;sup&gt;19&lt;/sup&gt;"},"properties":{"noteIndex":0},"schema":"https://github.com/citation-style-language/schema/raw/master/csl-citation.json"}</w:instrText>
      </w:r>
      <w:r w:rsidR="00867FCE" w:rsidRPr="00625A76">
        <w:rPr>
          <w:color w:val="000000" w:themeColor="text1"/>
          <w:sz w:val="28"/>
          <w:szCs w:val="28"/>
          <w:lang w:val="en-US"/>
        </w:rPr>
        <w:fldChar w:fldCharType="separate"/>
      </w:r>
      <w:r w:rsidR="00122AB9" w:rsidRPr="00625A76">
        <w:rPr>
          <w:noProof/>
          <w:color w:val="000000" w:themeColor="text1"/>
          <w:sz w:val="28"/>
          <w:szCs w:val="28"/>
          <w:vertAlign w:val="superscript"/>
          <w:lang w:val="en-US"/>
        </w:rPr>
        <w:t>19</w:t>
      </w:r>
      <w:r w:rsidR="00867FCE" w:rsidRPr="00625A76">
        <w:rPr>
          <w:color w:val="000000" w:themeColor="text1"/>
          <w:sz w:val="28"/>
          <w:szCs w:val="28"/>
          <w:lang w:val="en-US"/>
        </w:rPr>
        <w:fldChar w:fldCharType="end"/>
      </w:r>
      <w:r w:rsidR="00867FCE" w:rsidRPr="00625A76">
        <w:rPr>
          <w:color w:val="000000" w:themeColor="text1"/>
          <w:sz w:val="28"/>
          <w:szCs w:val="28"/>
          <w:lang w:val="en-US"/>
        </w:rPr>
        <w:t>.</w:t>
      </w:r>
      <w:r w:rsidR="005C7D55" w:rsidRPr="00625A76">
        <w:rPr>
          <w:color w:val="000000" w:themeColor="text1"/>
          <w:sz w:val="28"/>
          <w:szCs w:val="28"/>
          <w:lang w:val="en-US"/>
        </w:rPr>
        <w:t xml:space="preserve"> Most </w:t>
      </w:r>
      <w:r w:rsidR="00D755F6" w:rsidRPr="00625A76">
        <w:rPr>
          <w:color w:val="000000" w:themeColor="text1"/>
          <w:sz w:val="28"/>
          <w:szCs w:val="28"/>
          <w:lang w:val="en-US"/>
        </w:rPr>
        <w:t>n</w:t>
      </w:r>
      <w:r w:rsidR="005C7D55" w:rsidRPr="00625A76">
        <w:rPr>
          <w:color w:val="000000" w:themeColor="text1"/>
          <w:sz w:val="28"/>
          <w:szCs w:val="28"/>
          <w:lang w:val="en-US"/>
        </w:rPr>
        <w:t xml:space="preserve">ational guidelines </w:t>
      </w:r>
      <w:r w:rsidR="00867FCE" w:rsidRPr="00625A76">
        <w:rPr>
          <w:color w:val="000000" w:themeColor="text1"/>
          <w:sz w:val="28"/>
          <w:szCs w:val="28"/>
          <w:lang w:val="en-US"/>
        </w:rPr>
        <w:t xml:space="preserve">have </w:t>
      </w:r>
      <w:r w:rsidR="005C7D55" w:rsidRPr="00625A76">
        <w:rPr>
          <w:color w:val="000000" w:themeColor="text1"/>
          <w:sz w:val="28"/>
          <w:szCs w:val="28"/>
          <w:lang w:val="en-US"/>
        </w:rPr>
        <w:t xml:space="preserve">endorsed </w:t>
      </w:r>
      <w:r w:rsidR="00867FCE" w:rsidRPr="00625A76">
        <w:rPr>
          <w:color w:val="000000" w:themeColor="text1"/>
          <w:sz w:val="28"/>
          <w:szCs w:val="28"/>
          <w:lang w:val="en-US"/>
        </w:rPr>
        <w:t>APT</w:t>
      </w:r>
      <w:r w:rsidR="00925E04" w:rsidRPr="00625A76">
        <w:rPr>
          <w:color w:val="000000" w:themeColor="text1"/>
          <w:sz w:val="28"/>
          <w:szCs w:val="28"/>
          <w:lang w:val="en-US"/>
        </w:rPr>
        <w:t>, which</w:t>
      </w:r>
      <w:r w:rsidR="005C7D55" w:rsidRPr="00625A76">
        <w:rPr>
          <w:color w:val="000000" w:themeColor="text1"/>
          <w:sz w:val="28"/>
          <w:szCs w:val="28"/>
          <w:lang w:val="en-US"/>
        </w:rPr>
        <w:t xml:space="preserve"> </w:t>
      </w:r>
      <w:r w:rsidR="00FB14D3" w:rsidRPr="00625A76">
        <w:rPr>
          <w:color w:val="000000" w:themeColor="text1"/>
          <w:sz w:val="28"/>
          <w:szCs w:val="28"/>
          <w:lang w:val="en-US"/>
        </w:rPr>
        <w:t xml:space="preserve">shortens duration of chemotherapy and </w:t>
      </w:r>
      <w:r w:rsidR="005C7D55" w:rsidRPr="00625A76">
        <w:rPr>
          <w:color w:val="000000" w:themeColor="text1"/>
          <w:sz w:val="28"/>
          <w:szCs w:val="28"/>
          <w:lang w:val="en-US"/>
        </w:rPr>
        <w:t xml:space="preserve">alleviates concerns for irreversible treatment-induced cardiotoxicity </w:t>
      </w:r>
      <w:r w:rsidR="00FB14D3" w:rsidRPr="00625A76">
        <w:rPr>
          <w:color w:val="000000" w:themeColor="text1"/>
          <w:sz w:val="28"/>
          <w:szCs w:val="28"/>
          <w:lang w:val="en-US"/>
        </w:rPr>
        <w:t>and substantially reduces acute toxic</w:t>
      </w:r>
      <w:r w:rsidR="009E05C2" w:rsidRPr="00625A76">
        <w:rPr>
          <w:color w:val="000000" w:themeColor="text1"/>
          <w:sz w:val="28"/>
          <w:szCs w:val="28"/>
          <w:lang w:val="en-US"/>
        </w:rPr>
        <w:t>i</w:t>
      </w:r>
      <w:r w:rsidR="00FB14D3" w:rsidRPr="00625A76">
        <w:rPr>
          <w:color w:val="000000" w:themeColor="text1"/>
          <w:sz w:val="28"/>
          <w:szCs w:val="28"/>
          <w:lang w:val="en-US"/>
        </w:rPr>
        <w:t>ty</w:t>
      </w:r>
      <w:r w:rsidR="009E05C2" w:rsidRPr="00625A76">
        <w:rPr>
          <w:color w:val="000000" w:themeColor="text1"/>
          <w:sz w:val="28"/>
          <w:szCs w:val="28"/>
          <w:lang w:val="en-US"/>
        </w:rPr>
        <w:t xml:space="preserve"> among patients</w:t>
      </w:r>
      <w:r w:rsidR="005C7D55" w:rsidRPr="00625A76">
        <w:rPr>
          <w:color w:val="000000" w:themeColor="text1"/>
          <w:sz w:val="28"/>
          <w:szCs w:val="28"/>
          <w:lang w:val="en-US"/>
        </w:rPr>
        <w:t xml:space="preserve"> with an excellent prognosis.</w:t>
      </w:r>
    </w:p>
    <w:p w14:paraId="63A6DDEE" w14:textId="77777777" w:rsidR="005C7D55" w:rsidRPr="00625A76" w:rsidRDefault="005C7D55" w:rsidP="00083C5D">
      <w:pPr>
        <w:rPr>
          <w:color w:val="000000" w:themeColor="text1"/>
          <w:sz w:val="28"/>
          <w:szCs w:val="28"/>
          <w:lang w:val="en-US"/>
        </w:rPr>
      </w:pPr>
    </w:p>
    <w:p w14:paraId="139CD459" w14:textId="37F70C86" w:rsidR="005C7D55" w:rsidRPr="00625A76" w:rsidRDefault="008806E2" w:rsidP="00EF4539">
      <w:pPr>
        <w:jc w:val="both"/>
        <w:rPr>
          <w:b/>
          <w:color w:val="000000" w:themeColor="text1"/>
          <w:sz w:val="32"/>
          <w:szCs w:val="32"/>
          <w:u w:val="single"/>
          <w:lang w:val="en-US"/>
        </w:rPr>
      </w:pPr>
      <w:r w:rsidRPr="00625A76">
        <w:rPr>
          <w:b/>
          <w:color w:val="000000" w:themeColor="text1"/>
          <w:sz w:val="32"/>
          <w:szCs w:val="32"/>
          <w:u w:val="single"/>
          <w:lang w:val="en-US"/>
        </w:rPr>
        <w:t>Tailoring</w:t>
      </w:r>
      <w:r w:rsidR="005C7D55" w:rsidRPr="00625A76">
        <w:rPr>
          <w:b/>
          <w:color w:val="000000" w:themeColor="text1"/>
          <w:sz w:val="32"/>
          <w:szCs w:val="32"/>
          <w:u w:val="single"/>
          <w:lang w:val="en-US"/>
        </w:rPr>
        <w:t xml:space="preserve"> chemotherapy</w:t>
      </w:r>
      <w:r w:rsidR="006776DB" w:rsidRPr="00625A76">
        <w:rPr>
          <w:b/>
          <w:color w:val="000000" w:themeColor="text1"/>
          <w:sz w:val="32"/>
          <w:szCs w:val="32"/>
          <w:u w:val="single"/>
          <w:lang w:val="en-US"/>
        </w:rPr>
        <w:t xml:space="preserve">: </w:t>
      </w:r>
      <w:r w:rsidR="006E12C8" w:rsidRPr="00625A76">
        <w:rPr>
          <w:b/>
          <w:color w:val="000000" w:themeColor="text1"/>
          <w:sz w:val="32"/>
          <w:szCs w:val="32"/>
          <w:u w:val="single"/>
          <w:lang w:val="en-US"/>
        </w:rPr>
        <w:t>Evidence</w:t>
      </w:r>
      <w:r w:rsidR="006776DB" w:rsidRPr="00625A76">
        <w:rPr>
          <w:b/>
          <w:color w:val="000000" w:themeColor="text1"/>
          <w:sz w:val="32"/>
          <w:szCs w:val="32"/>
          <w:u w:val="single"/>
          <w:lang w:val="en-US"/>
        </w:rPr>
        <w:t xml:space="preserve"> from biomarker</w:t>
      </w:r>
      <w:r w:rsidR="002A6F26" w:rsidRPr="00625A76">
        <w:rPr>
          <w:b/>
          <w:color w:val="000000" w:themeColor="text1"/>
          <w:sz w:val="32"/>
          <w:szCs w:val="32"/>
          <w:u w:val="single"/>
          <w:lang w:val="en-US"/>
        </w:rPr>
        <w:t>-</w:t>
      </w:r>
      <w:r w:rsidR="006776DB" w:rsidRPr="00625A76">
        <w:rPr>
          <w:b/>
          <w:color w:val="000000" w:themeColor="text1"/>
          <w:sz w:val="32"/>
          <w:szCs w:val="32"/>
          <w:u w:val="single"/>
          <w:lang w:val="en-US"/>
        </w:rPr>
        <w:t>based trials</w:t>
      </w:r>
    </w:p>
    <w:p w14:paraId="2AD1790E" w14:textId="2288AEE7" w:rsidR="005C7D55" w:rsidRPr="00625A76" w:rsidRDefault="00BA6D51" w:rsidP="00EF4539">
      <w:pPr>
        <w:jc w:val="both"/>
        <w:rPr>
          <w:color w:val="000000" w:themeColor="text1"/>
          <w:sz w:val="28"/>
          <w:szCs w:val="28"/>
          <w:lang w:val="en-US"/>
        </w:rPr>
      </w:pPr>
      <w:r w:rsidRPr="00625A76">
        <w:rPr>
          <w:color w:val="000000" w:themeColor="text1"/>
          <w:sz w:val="28"/>
          <w:szCs w:val="28"/>
          <w:lang w:val="en-US"/>
        </w:rPr>
        <w:t>The decision to f</w:t>
      </w:r>
      <w:r w:rsidR="00E8621B" w:rsidRPr="00625A76">
        <w:rPr>
          <w:color w:val="000000" w:themeColor="text1"/>
          <w:sz w:val="28"/>
          <w:szCs w:val="28"/>
          <w:lang w:val="en-US"/>
        </w:rPr>
        <w:t xml:space="preserve">orego </w:t>
      </w:r>
      <w:r w:rsidR="005C7D55" w:rsidRPr="00625A76">
        <w:rPr>
          <w:color w:val="000000" w:themeColor="text1"/>
          <w:sz w:val="28"/>
          <w:szCs w:val="28"/>
          <w:lang w:val="en-US"/>
        </w:rPr>
        <w:t>chemotherapy</w:t>
      </w:r>
      <w:r w:rsidR="0024137D" w:rsidRPr="00625A76">
        <w:rPr>
          <w:color w:val="000000" w:themeColor="text1"/>
          <w:sz w:val="28"/>
          <w:szCs w:val="28"/>
          <w:lang w:val="en-US"/>
        </w:rPr>
        <w:t xml:space="preserve"> </w:t>
      </w:r>
      <w:r w:rsidR="005C7D55" w:rsidRPr="00625A76">
        <w:rPr>
          <w:color w:val="000000" w:themeColor="text1"/>
          <w:sz w:val="28"/>
          <w:szCs w:val="28"/>
          <w:lang w:val="en-US"/>
        </w:rPr>
        <w:t xml:space="preserve">is challenging. The largest experience </w:t>
      </w:r>
      <w:r w:rsidR="00200730" w:rsidRPr="00625A76">
        <w:rPr>
          <w:color w:val="000000" w:themeColor="text1"/>
          <w:sz w:val="28"/>
          <w:szCs w:val="28"/>
          <w:lang w:val="en-US"/>
        </w:rPr>
        <w:t>is</w:t>
      </w:r>
      <w:r w:rsidR="005C7D55" w:rsidRPr="00625A76">
        <w:rPr>
          <w:color w:val="000000" w:themeColor="text1"/>
          <w:sz w:val="28"/>
          <w:szCs w:val="28"/>
          <w:lang w:val="en-US"/>
        </w:rPr>
        <w:t xml:space="preserve"> in luminal breast cancer for which </w:t>
      </w:r>
      <w:r w:rsidRPr="00625A76">
        <w:rPr>
          <w:color w:val="000000" w:themeColor="text1"/>
          <w:sz w:val="28"/>
          <w:szCs w:val="28"/>
          <w:lang w:val="en-US"/>
        </w:rPr>
        <w:t xml:space="preserve">effective </w:t>
      </w:r>
      <w:r w:rsidR="005C7D55" w:rsidRPr="00625A76">
        <w:rPr>
          <w:color w:val="000000" w:themeColor="text1"/>
          <w:sz w:val="28"/>
          <w:szCs w:val="28"/>
          <w:lang w:val="en-US"/>
        </w:rPr>
        <w:t>targeted endocrine therapy</w:t>
      </w:r>
      <w:r w:rsidR="00200730" w:rsidRPr="00625A76">
        <w:rPr>
          <w:color w:val="000000" w:themeColor="text1"/>
          <w:sz w:val="28"/>
          <w:szCs w:val="28"/>
          <w:lang w:val="en-US"/>
        </w:rPr>
        <w:t xml:space="preserve"> exists</w:t>
      </w:r>
      <w:r w:rsidR="005C7D55" w:rsidRPr="00625A76">
        <w:rPr>
          <w:color w:val="000000" w:themeColor="text1"/>
          <w:sz w:val="28"/>
          <w:szCs w:val="28"/>
          <w:lang w:val="en-US"/>
        </w:rPr>
        <w:t>.</w:t>
      </w:r>
      <w:r w:rsidR="009B4B71" w:rsidRPr="00625A76">
        <w:rPr>
          <w:color w:val="000000" w:themeColor="text1"/>
          <w:sz w:val="28"/>
          <w:szCs w:val="28"/>
          <w:lang w:val="en-US"/>
        </w:rPr>
        <w:t xml:space="preserve"> </w:t>
      </w:r>
      <w:r w:rsidR="005C7D55" w:rsidRPr="00625A76">
        <w:rPr>
          <w:color w:val="000000" w:themeColor="text1"/>
          <w:sz w:val="28"/>
          <w:szCs w:val="28"/>
          <w:lang w:val="en-US"/>
        </w:rPr>
        <w:t xml:space="preserve">With the development of multigene expression signatures, such as Oncotype-DX or </w:t>
      </w:r>
      <w:proofErr w:type="spellStart"/>
      <w:r w:rsidR="005C7D55" w:rsidRPr="00625A76">
        <w:rPr>
          <w:color w:val="000000" w:themeColor="text1"/>
          <w:sz w:val="28"/>
          <w:szCs w:val="28"/>
          <w:lang w:val="en-US"/>
        </w:rPr>
        <w:t>Mammaprint</w:t>
      </w:r>
      <w:proofErr w:type="spellEnd"/>
      <w:r w:rsidR="005C7D55" w:rsidRPr="00625A76">
        <w:rPr>
          <w:color w:val="000000" w:themeColor="text1"/>
          <w:sz w:val="28"/>
          <w:szCs w:val="28"/>
          <w:lang w:val="en-US"/>
        </w:rPr>
        <w:t>®, it has become easier to identify patients with excellent outcome</w:t>
      </w:r>
      <w:r w:rsidR="0089133E">
        <w:rPr>
          <w:color w:val="000000" w:themeColor="text1"/>
          <w:sz w:val="28"/>
          <w:szCs w:val="28"/>
          <w:lang w:val="en-US"/>
        </w:rPr>
        <w:t>s</w:t>
      </w:r>
      <w:r w:rsidR="005C7D55" w:rsidRPr="00625A76">
        <w:rPr>
          <w:color w:val="000000" w:themeColor="text1"/>
          <w:sz w:val="28"/>
          <w:szCs w:val="28"/>
          <w:lang w:val="en-US"/>
        </w:rPr>
        <w:t xml:space="preserve"> when treated with adjuvant endocrine therapy only (Oncotype-DX) or no adjuvant </w:t>
      </w:r>
      <w:r w:rsidR="00F14B9E" w:rsidRPr="00625A76">
        <w:rPr>
          <w:color w:val="000000" w:themeColor="text1"/>
          <w:sz w:val="28"/>
          <w:szCs w:val="28"/>
          <w:lang w:val="en-US"/>
        </w:rPr>
        <w:t>chemo</w:t>
      </w:r>
      <w:r w:rsidR="005C7D55" w:rsidRPr="00625A76">
        <w:rPr>
          <w:color w:val="000000" w:themeColor="text1"/>
          <w:sz w:val="28"/>
          <w:szCs w:val="28"/>
          <w:lang w:val="en-US"/>
        </w:rPr>
        <w:t>therapy (</w:t>
      </w:r>
      <w:proofErr w:type="spellStart"/>
      <w:r w:rsidR="005C7D55" w:rsidRPr="00625A76">
        <w:rPr>
          <w:color w:val="000000" w:themeColor="text1"/>
          <w:sz w:val="28"/>
          <w:szCs w:val="28"/>
          <w:lang w:val="en-US"/>
        </w:rPr>
        <w:t>Mammaprint</w:t>
      </w:r>
      <w:proofErr w:type="spellEnd"/>
      <w:r w:rsidR="005C7D55" w:rsidRPr="00625A76">
        <w:rPr>
          <w:color w:val="000000" w:themeColor="text1"/>
          <w:sz w:val="28"/>
          <w:szCs w:val="28"/>
          <w:lang w:val="en-US"/>
        </w:rPr>
        <w:t>®</w:t>
      </w:r>
      <w:r w:rsidR="0048569A" w:rsidRPr="00625A76">
        <w:rPr>
          <w:color w:val="000000" w:themeColor="text1"/>
          <w:sz w:val="28"/>
          <w:szCs w:val="28"/>
          <w:lang w:val="en-US"/>
        </w:rPr>
        <w:t>)</w:t>
      </w:r>
      <w:r w:rsidR="00327062" w:rsidRPr="00625A76">
        <w:rPr>
          <w:color w:val="000000" w:themeColor="text1"/>
          <w:sz w:val="28"/>
          <w:szCs w:val="28"/>
          <w:lang w:val="en-US"/>
        </w:rPr>
        <w:fldChar w:fldCharType="begin" w:fldLock="1"/>
      </w:r>
      <w:r w:rsidR="00122AB9" w:rsidRPr="00625A76">
        <w:rPr>
          <w:color w:val="000000" w:themeColor="text1"/>
          <w:sz w:val="28"/>
          <w:szCs w:val="28"/>
          <w:lang w:val="en-US"/>
        </w:rPr>
        <w:instrText>ADDIN CSL_CITATION {"citationItems":[{"id":"ITEM-1","itemData":{"author":[{"dropping-particle":"","family":"Ras-dependent","given":"M D A","non-dropping-particle":"","parse-names":false,"suffix":""},{"dropping-particle":"Van","family":"Veer","given":"Laura J","non-dropping-particle":"","parse-names":false,"suffix":""},{"dropping-particle":"","family":"Dai","given":"Hongyue","non-dropping-particle":"","parse-names":false,"suffix":""},{"dropping-particle":"Van De","family":"Vijver","given":"Marc J","non-dropping-particle":"","parse-names":false,"suffix":""},{"dropping-particle":"Van Der","family":"Kooy","given":"Karin","non-dropping-particle":"","parse-names":false,"suffix":""},{"dropping-particle":"","family":"Marton","given":"Matthew J","non-dropping-particle":"","parse-names":false,"suffix":""},{"dropping-particle":"","family":"Witteveen","given":"Anke T","non-dropping-particle":"","parse-names":false,"suffix":""},{"dropping-particle":"","family":"Schreiber","given":"George J","non-dropping-particle":"","parse-names":false,"suffix":""},{"dropping-particle":"","family":"Kerkhoven","given":"Ron M","non-dropping-particle":"","parse-names":false,"suffix":""},{"dropping-particle":"","family":"Roberts","given":"Chris","non-dropping-particle":"","parse-names":false,"suffix":""},{"dropping-particle":"","family":"Bernards","given":"Â","non-dropping-particle":"","parse-names":false,"suffix":""},{"dropping-particle":"","family":"Friend","given":"Stephen H","non-dropping-particle":"","parse-names":false,"suffix":""},{"dropping-particle":"","family":"Linsley","given":"Peter S","non-dropping-particle":"","parse-names":false,"suffix":""}],"id":"ITEM-1","issue":"345","issued":{"date-parts":[["2002"]]},"title":"Gene expression pro ® ling predicts clinical outcome of breast cancer","type":"article-journal","volume":"415"},"uris":["http://www.mendeley.com/documents/?uuid=ffe2897e-52d6-40f7-8c1c-656c24030f6d"]},{"id":"ITEM-2","itemData":{"DOI":"10.1056/NEJMoa041588","ISSN":"0028-4793","author":[{"dropping-particle":"","family":"Paik","given":"Soonmyung","non-dropping-particle":"","parse-names":false,"suffix":""},{"dropping-particle":"","family":"Shak","given":"Steven","non-dropping-particle":"","parse-names":false,"suffix":""},{"dropping-particle":"","family":"Tang","given":"Gong","non-dropping-particle":"","parse-names":false,"suffix":""},{"dropping-particle":"","family":"Kim","given":"Chungyeul","non-dropping-particle":"","parse-names":false,"suffix":""},{"dropping-particle":"","family":"Baker","given":"Joffre","non-dropping-particle":"","parse-names":false,"suffix":""},{"dropping-particle":"","family":"Cronin","given":"Maureen","non-dropping-particle":"","parse-names":false,"suffix":""},{"dropping-particle":"","family":"Baehner","given":"Frederick L.","non-dropping-particle":"","parse-names":false,"suffix":""},{"dropping-particle":"","family":"Walker","given":"Michael G.","non-dropping-particle":"","parse-names":false,"suffix":""},{"dropping-particle":"","family":"Watson","given":"Drew","non-dropping-particle":"","parse-names":false,"suffix":""},{"dropping-particle":"","family":"Park","given":"Taesung","non-dropping-particle":"","parse-names":false,"suffix":""},{"dropping-particle":"","family":"Hiller","given":"William","non-dropping-particle":"","parse-names":false,"suffix":""},{"dropping-particle":"","family":"Fisher","given":"Edwin R.","non-dropping-particle":"","parse-names":false,"suffix":""},{"dropping-particle":"","family":"Wickerham","given":"D. Lawrence","non-dropping-particle":"","parse-names":false,"suffix":""},{"dropping-particle":"","family":"Bryant","given":"John","non-dropping-particle":"","parse-names":false,"suffix":""},{"dropping-particle":"","family":"Wolmark","given":"Norman","non-dropping-particle":"","parse-names":false,"suffix":""}],"container-title":"New England Journal of Medicine","id":"ITEM-2","issue":"27","issued":{"date-parts":[["2004","12","30"]]},"page":"2817-2826","title":"A Multigene Assay to Predict Recurrence of Tamoxifen-Treated, Node-Negative Breast Cancer","type":"article-journal","volume":"351"},"uris":["http://www.mendeley.com/documents/?uuid=b5f25b55-7f40-367f-89df-5b892cd6fa08"]}],"mendeley":{"formattedCitation":"&lt;sup&gt;20,21&lt;/sup&gt;","plainTextFormattedCitation":"20,21","previouslyFormattedCitation":"&lt;sup&gt;20,21&lt;/sup&gt;"},"properties":{"noteIndex":0},"schema":"https://github.com/citation-style-language/schema/raw/master/csl-citation.json"}</w:instrText>
      </w:r>
      <w:r w:rsidR="00327062" w:rsidRPr="00625A76">
        <w:rPr>
          <w:color w:val="000000" w:themeColor="text1"/>
          <w:sz w:val="28"/>
          <w:szCs w:val="28"/>
          <w:lang w:val="en-US"/>
        </w:rPr>
        <w:fldChar w:fldCharType="separate"/>
      </w:r>
      <w:r w:rsidR="00122AB9" w:rsidRPr="00625A76">
        <w:rPr>
          <w:noProof/>
          <w:color w:val="000000" w:themeColor="text1"/>
          <w:sz w:val="28"/>
          <w:szCs w:val="28"/>
          <w:vertAlign w:val="superscript"/>
          <w:lang w:val="en-US"/>
        </w:rPr>
        <w:t>20,21</w:t>
      </w:r>
      <w:r w:rsidR="00327062" w:rsidRPr="00625A76">
        <w:rPr>
          <w:color w:val="000000" w:themeColor="text1"/>
          <w:sz w:val="28"/>
          <w:szCs w:val="28"/>
          <w:lang w:val="en-US"/>
        </w:rPr>
        <w:fldChar w:fldCharType="end"/>
      </w:r>
      <w:r w:rsidR="0048569A" w:rsidRPr="00625A76">
        <w:rPr>
          <w:color w:val="000000" w:themeColor="text1"/>
          <w:sz w:val="28"/>
          <w:szCs w:val="28"/>
          <w:lang w:val="en-US"/>
        </w:rPr>
        <w:t xml:space="preserve">. The clinical utility of these signatures in selected patients with luminal breast cancer who may safely forego chemotherapy has been tested in </w:t>
      </w:r>
      <w:r w:rsidR="00B46389">
        <w:rPr>
          <w:color w:val="000000" w:themeColor="text1"/>
          <w:sz w:val="28"/>
          <w:szCs w:val="28"/>
          <w:lang w:val="en-US"/>
        </w:rPr>
        <w:t>two</w:t>
      </w:r>
      <w:r w:rsidR="0048569A" w:rsidRPr="00625A76">
        <w:rPr>
          <w:color w:val="000000" w:themeColor="text1"/>
          <w:sz w:val="28"/>
          <w:szCs w:val="28"/>
          <w:lang w:val="en-US"/>
        </w:rPr>
        <w:t xml:space="preserve"> large, prospective trials</w:t>
      </w:r>
      <w:r w:rsidR="00BA0D71" w:rsidRPr="00625A76">
        <w:rPr>
          <w:color w:val="000000" w:themeColor="text1"/>
          <w:sz w:val="28"/>
          <w:szCs w:val="28"/>
          <w:lang w:val="en-US"/>
        </w:rPr>
        <w:t xml:space="preserve">, </w:t>
      </w:r>
      <w:r w:rsidR="0048569A" w:rsidRPr="00625A76">
        <w:rPr>
          <w:color w:val="000000" w:themeColor="text1"/>
          <w:sz w:val="28"/>
          <w:szCs w:val="28"/>
          <w:lang w:val="en-US"/>
        </w:rPr>
        <w:t>T</w:t>
      </w:r>
      <w:r w:rsidR="00925E04" w:rsidRPr="00625A76">
        <w:rPr>
          <w:color w:val="000000" w:themeColor="text1"/>
          <w:sz w:val="28"/>
          <w:szCs w:val="28"/>
          <w:lang w:val="en-US"/>
        </w:rPr>
        <w:t>AILOR</w:t>
      </w:r>
      <w:r w:rsidR="0048569A" w:rsidRPr="00625A76">
        <w:rPr>
          <w:color w:val="000000" w:themeColor="text1"/>
          <w:sz w:val="28"/>
          <w:szCs w:val="28"/>
          <w:lang w:val="en-US"/>
        </w:rPr>
        <w:t>X</w:t>
      </w:r>
      <w:r w:rsidR="00281DDE" w:rsidRPr="00625A76">
        <w:rPr>
          <w:color w:val="000000" w:themeColor="text1"/>
          <w:sz w:val="28"/>
          <w:szCs w:val="28"/>
          <w:lang w:val="en-US"/>
        </w:rPr>
        <w:t xml:space="preserve"> (NCT00310180)</w:t>
      </w:r>
      <w:r w:rsidR="0048569A" w:rsidRPr="00625A76">
        <w:rPr>
          <w:color w:val="000000" w:themeColor="text1"/>
          <w:sz w:val="28"/>
          <w:szCs w:val="28"/>
          <w:lang w:val="en-US"/>
        </w:rPr>
        <w:t xml:space="preserve"> and M</w:t>
      </w:r>
      <w:r w:rsidR="00925E04" w:rsidRPr="00625A76">
        <w:rPr>
          <w:color w:val="000000" w:themeColor="text1"/>
          <w:sz w:val="28"/>
          <w:szCs w:val="28"/>
          <w:lang w:val="en-US"/>
        </w:rPr>
        <w:t>INDACT</w:t>
      </w:r>
      <w:r w:rsidR="00281DDE" w:rsidRPr="00625A76">
        <w:rPr>
          <w:color w:val="000000" w:themeColor="text1"/>
          <w:sz w:val="28"/>
          <w:szCs w:val="28"/>
          <w:lang w:val="en-US"/>
        </w:rPr>
        <w:t xml:space="preserve"> (NCT00433589)</w:t>
      </w:r>
      <w:r w:rsidR="00BA0D71" w:rsidRPr="00625A76">
        <w:rPr>
          <w:color w:val="000000" w:themeColor="text1"/>
          <w:sz w:val="28"/>
          <w:szCs w:val="28"/>
          <w:lang w:val="en-US"/>
        </w:rPr>
        <w:t>,</w:t>
      </w:r>
      <w:r w:rsidR="0048569A" w:rsidRPr="00625A76">
        <w:rPr>
          <w:color w:val="000000" w:themeColor="text1"/>
          <w:sz w:val="28"/>
          <w:szCs w:val="28"/>
          <w:lang w:val="en-US"/>
        </w:rPr>
        <w:t xml:space="preserve"> which differ in terms of patient populations, design and length of follow-up (tabl</w:t>
      </w:r>
      <w:r w:rsidR="002A7BC0" w:rsidRPr="00625A76">
        <w:rPr>
          <w:color w:val="000000" w:themeColor="text1"/>
          <w:sz w:val="28"/>
          <w:szCs w:val="28"/>
          <w:lang w:val="en-US"/>
        </w:rPr>
        <w:t>e 2</w:t>
      </w:r>
      <w:r w:rsidR="0048569A" w:rsidRPr="00625A76">
        <w:rPr>
          <w:color w:val="000000" w:themeColor="text1"/>
          <w:sz w:val="28"/>
          <w:szCs w:val="28"/>
          <w:lang w:val="en-US"/>
        </w:rPr>
        <w:t>). Both</w:t>
      </w:r>
      <w:r w:rsidR="00F14B9E" w:rsidRPr="00625A76">
        <w:rPr>
          <w:color w:val="000000" w:themeColor="text1"/>
          <w:sz w:val="28"/>
          <w:szCs w:val="28"/>
          <w:lang w:val="en-US"/>
        </w:rPr>
        <w:t xml:space="preserve"> trials</w:t>
      </w:r>
      <w:r w:rsidR="0048569A" w:rsidRPr="00625A76">
        <w:rPr>
          <w:color w:val="000000" w:themeColor="text1"/>
          <w:sz w:val="28"/>
          <w:szCs w:val="28"/>
          <w:lang w:val="en-US"/>
        </w:rPr>
        <w:t xml:space="preserve"> </w:t>
      </w:r>
      <w:r w:rsidR="00BA0D71" w:rsidRPr="00625A76">
        <w:rPr>
          <w:color w:val="000000" w:themeColor="text1"/>
          <w:sz w:val="28"/>
          <w:szCs w:val="28"/>
          <w:lang w:val="en-US"/>
        </w:rPr>
        <w:t>concluded that chemotherapy could be avoided in selected patients without a</w:t>
      </w:r>
      <w:r w:rsidR="00786A35" w:rsidRPr="00625A76">
        <w:rPr>
          <w:color w:val="000000" w:themeColor="text1"/>
          <w:sz w:val="28"/>
          <w:szCs w:val="28"/>
          <w:lang w:val="en-US"/>
        </w:rPr>
        <w:t>n</w:t>
      </w:r>
      <w:r w:rsidR="00BA0D71" w:rsidRPr="00625A76">
        <w:rPr>
          <w:color w:val="000000" w:themeColor="text1"/>
          <w:sz w:val="28"/>
          <w:szCs w:val="28"/>
          <w:lang w:val="en-US"/>
        </w:rPr>
        <w:t xml:space="preserve"> unacceptable loss in efficacy</w:t>
      </w:r>
      <w:r w:rsidR="00F14B9E" w:rsidRPr="00625A76">
        <w:rPr>
          <w:color w:val="000000" w:themeColor="text1"/>
          <w:sz w:val="28"/>
          <w:szCs w:val="28"/>
          <w:lang w:val="en-US"/>
        </w:rPr>
        <w:t>.</w:t>
      </w:r>
      <w:r w:rsidR="0048569A" w:rsidRPr="00625A76">
        <w:rPr>
          <w:color w:val="000000" w:themeColor="text1"/>
          <w:sz w:val="28"/>
          <w:szCs w:val="28"/>
          <w:lang w:val="en-US"/>
        </w:rPr>
        <w:t xml:space="preserve"> T</w:t>
      </w:r>
      <w:r w:rsidR="00925E04" w:rsidRPr="00625A76">
        <w:rPr>
          <w:color w:val="000000" w:themeColor="text1"/>
          <w:sz w:val="28"/>
          <w:szCs w:val="28"/>
          <w:lang w:val="en-US"/>
        </w:rPr>
        <w:t>AILOR</w:t>
      </w:r>
      <w:r w:rsidR="0048569A" w:rsidRPr="00625A76">
        <w:rPr>
          <w:color w:val="000000" w:themeColor="text1"/>
          <w:sz w:val="28"/>
          <w:szCs w:val="28"/>
          <w:lang w:val="en-US"/>
        </w:rPr>
        <w:t xml:space="preserve">X </w:t>
      </w:r>
      <w:r w:rsidR="00D755F6" w:rsidRPr="00625A76">
        <w:rPr>
          <w:color w:val="000000" w:themeColor="text1"/>
          <w:sz w:val="28"/>
          <w:szCs w:val="28"/>
          <w:lang w:val="en-US"/>
        </w:rPr>
        <w:t xml:space="preserve">did not </w:t>
      </w:r>
      <w:r w:rsidR="0048569A" w:rsidRPr="00625A76">
        <w:rPr>
          <w:color w:val="000000" w:themeColor="text1"/>
          <w:sz w:val="28"/>
          <w:szCs w:val="28"/>
          <w:lang w:val="en-US"/>
        </w:rPr>
        <w:t>sho</w:t>
      </w:r>
      <w:r w:rsidR="00D755F6" w:rsidRPr="00625A76">
        <w:rPr>
          <w:color w:val="000000" w:themeColor="text1"/>
          <w:sz w:val="28"/>
          <w:szCs w:val="28"/>
          <w:lang w:val="en-US"/>
        </w:rPr>
        <w:t>w a</w:t>
      </w:r>
      <w:r w:rsidR="0048569A" w:rsidRPr="00625A76">
        <w:rPr>
          <w:color w:val="000000" w:themeColor="text1"/>
          <w:sz w:val="28"/>
          <w:szCs w:val="28"/>
          <w:lang w:val="en-US"/>
        </w:rPr>
        <w:t xml:space="preserve"> benefit from adding chemotherapy to endocrine therapy in women</w:t>
      </w:r>
      <w:r w:rsidR="0089133E">
        <w:rPr>
          <w:color w:val="000000" w:themeColor="text1"/>
          <w:sz w:val="28"/>
          <w:szCs w:val="28"/>
          <w:lang w:val="en-US"/>
        </w:rPr>
        <w:t xml:space="preserve"> with</w:t>
      </w:r>
      <w:r w:rsidR="0048569A" w:rsidRPr="00625A76">
        <w:rPr>
          <w:color w:val="000000" w:themeColor="text1"/>
          <w:sz w:val="28"/>
          <w:szCs w:val="28"/>
          <w:lang w:val="en-US"/>
        </w:rPr>
        <w:t xml:space="preserve"> </w:t>
      </w:r>
      <w:r w:rsidR="00BA0D71" w:rsidRPr="00625A76">
        <w:rPr>
          <w:color w:val="000000" w:themeColor="text1"/>
          <w:sz w:val="28"/>
          <w:szCs w:val="28"/>
          <w:lang w:val="en-US"/>
        </w:rPr>
        <w:t>node-negative disease</w:t>
      </w:r>
      <w:r w:rsidR="0077794A" w:rsidRPr="00625A76">
        <w:rPr>
          <w:color w:val="000000" w:themeColor="text1"/>
          <w:sz w:val="28"/>
          <w:szCs w:val="28"/>
          <w:lang w:val="en-US"/>
        </w:rPr>
        <w:t xml:space="preserve"> and</w:t>
      </w:r>
      <w:r w:rsidR="0048569A" w:rsidRPr="00625A76">
        <w:rPr>
          <w:color w:val="000000" w:themeColor="text1"/>
          <w:sz w:val="28"/>
          <w:szCs w:val="28"/>
          <w:lang w:val="en-US"/>
        </w:rPr>
        <w:t xml:space="preserve"> an intermediate recurrence score, according to a fully powered randomized design, while M</w:t>
      </w:r>
      <w:r w:rsidR="00925E04" w:rsidRPr="00625A76">
        <w:rPr>
          <w:color w:val="000000" w:themeColor="text1"/>
          <w:sz w:val="28"/>
          <w:szCs w:val="28"/>
          <w:lang w:val="en-US"/>
        </w:rPr>
        <w:t>INDACT</w:t>
      </w:r>
      <w:r w:rsidR="0048569A" w:rsidRPr="00625A76">
        <w:rPr>
          <w:color w:val="000000" w:themeColor="text1"/>
          <w:sz w:val="28"/>
          <w:szCs w:val="28"/>
          <w:lang w:val="en-US"/>
        </w:rPr>
        <w:t xml:space="preserve"> demonstrated the per protocol predefined excellent outcome at 5 years </w:t>
      </w:r>
      <w:r w:rsidR="001E7AE3">
        <w:rPr>
          <w:color w:val="000000" w:themeColor="text1"/>
          <w:sz w:val="28"/>
          <w:szCs w:val="28"/>
          <w:lang w:val="en-US"/>
        </w:rPr>
        <w:t>in</w:t>
      </w:r>
      <w:r w:rsidR="0048569A" w:rsidRPr="00625A76">
        <w:rPr>
          <w:color w:val="000000" w:themeColor="text1"/>
          <w:sz w:val="28"/>
          <w:szCs w:val="28"/>
          <w:lang w:val="en-US"/>
        </w:rPr>
        <w:t xml:space="preserve"> women treated with hormonal therapy only, whose tumors were classified as high clinical risk but found to have a low genomic risk signature (the key “target” group of </w:t>
      </w:r>
      <w:r w:rsidR="00925E04" w:rsidRPr="00625A76">
        <w:rPr>
          <w:color w:val="000000" w:themeColor="text1"/>
          <w:sz w:val="28"/>
          <w:szCs w:val="28"/>
          <w:lang w:val="en-US"/>
        </w:rPr>
        <w:t>MINDACT</w:t>
      </w:r>
      <w:r w:rsidR="0048569A" w:rsidRPr="00625A76">
        <w:rPr>
          <w:color w:val="000000" w:themeColor="text1"/>
          <w:sz w:val="28"/>
          <w:szCs w:val="28"/>
          <w:lang w:val="en-US"/>
        </w:rPr>
        <w:t>)</w:t>
      </w:r>
      <w:r w:rsidR="00C9542E" w:rsidRPr="00625A76">
        <w:rPr>
          <w:color w:val="000000" w:themeColor="text1"/>
          <w:sz w:val="28"/>
          <w:szCs w:val="28"/>
          <w:lang w:val="en-US"/>
        </w:rPr>
        <w:fldChar w:fldCharType="begin" w:fldLock="1"/>
      </w:r>
      <w:r w:rsidR="00B21CA2">
        <w:rPr>
          <w:color w:val="000000" w:themeColor="text1"/>
          <w:sz w:val="28"/>
          <w:szCs w:val="28"/>
          <w:lang w:val="en-US"/>
        </w:rPr>
        <w:instrText>ADDIN CSL_CITATION {"citationItems":[{"id":"ITEM-1","itemData":{"DOI":"10.1056/NEJMoa1602253","ISSN":"15334406","PMID":"28401821","abstract":"BACKGROUND: The 70-gene signature test (MammaPrint) has been shown to improve prediction of clinical outcome in women with early-stage breast cancer. We sought to provide prospective evidence of the clinical utility of the addition of the 70-gene signature to standard clinical-pathological criteria in selecting patients for adjuvant chemotherapy. METHODS: In this randomized, phase 3 study, we enrolled 6693 women with early-stage breast cancer and determined their genomic risk (using the 70-gene signature) and their clinical risk (using a modified version of Adjuvant! Online). Women at low clinical and genomic risk did not receive chemotherapy, whereas those at high clinical and genomic risk did receive such therapy. In patients with discordant risk results, either the genomic risk or the clinical risk was used to determine the use of chemotherapy. The primary goal was to assess whether, among patients with high-risk clinical features and a low-risk gene-expression profile who did not receive chemotherapy, the lower boundary of the 95% confidence interval for the rate of 5-year survival without distant metastasis would be 92% (i.e., the noninferiority boundary) or higher. RESULTS: A total of 1550 patients (23.2%) were deemed to be at high clinical risk and low genomic risk. At 5 years, the rate of survival without distant metastasis in this group was 94.7% (95% confidence interval, 92.5 to 96.2) among those not receiving chemotherapy. The absolute difference in this survival rate between these patients and those who received chemother apy was 1.5 percentage points, with the rate being lower without chemotherapy. Similar rates of survival without distant metastasis were reported in the subgroup of patients who had estrogen-receptor-positive, human epidermal growth factor receptor 2-negative, and either node-negative or node-positive disease. CONCLUSIONS: Among women with early-stage breast cancer who were at high clinical risk and low genomic risk for recurrence, the receipt of no chemotherapy on the basis of the 70-gene signature led to a 5-year rate of survival without distant metastasis that was 1.5 percentage points lower than the rate with chemotherapy. Given these findings, approximately 46% of women with breast cancer who are at high clinical risk might not require chemotherapy.","author":[{"dropping-particle":"","family":"Cardoso","given":"Fatima","non-dropping-particle":"","parse-names":false,"suffix":""},{"dropping-particle":"","family":"Van't Veer","given":"L. J.","non-dropping-particle":"","parse-names":false,"suffix":""},{"dropping-particle":"","family":"Bogaerts","given":"J.","non-dropping-particle":"","parse-names":false,"suffix":""},{"dropping-particle":"","family":"Slaets","given":"L.","non-dropping-particle":"","parse-names":false,"suffix":""},{"dropping-particle":"","family":"Viale","given":"G.","non-dropping-particle":"","parse-names":false,"suffix":""},{"dropping-particle":"","family":"Delaloge","given":"S.","non-dropping-particle":"","parse-names":false,"suffix":""},{"dropping-particle":"","family":"Pierga","given":"J. Y.","non-dropping-particle":"","parse-names":false,"suffix":""},{"dropping-particle":"","family":"Brain","given":"E.","non-dropping-particle":"","parse-names":false,"suffix":""},{"dropping-particle":"","family":"Causeret","given":"S.","non-dropping-particle":"","parse-names":false,"suffix":""},{"dropping-particle":"","family":"DeLorenzi","given":"M.","non-dropping-particle":"","parse-names":false,"suffix":""},{"dropping-particle":"","family":"Glas","given":"A. M.","non-dropping-particle":"","parse-names":false,"suffix":""},{"dropping-particle":"","family":"Golfinopoulos","given":"V.","non-dropping-particle":"","parse-names":false,"suffix":""},{"dropping-particle":"","family":"Goulioti","given":"T.","non-dropping-particle":"","parse-names":false,"suffix":""},{"dropping-particle":"","family":"Knox","given":"S.","non-dropping-particle":"","parse-names":false,"suffix":""},{"dropping-particle":"","family":"Matos","given":"E.","non-dropping-particle":"","parse-names":false,"suffix":""},{"dropping-particle":"","family":"Meulemans","given":"B.","non-dropping-particle":"","parse-names":false,"suffix":""},{"dropping-particle":"","family":"Neijenhuis","given":"P. A.","non-dropping-particle":"","parse-names":false,"suffix":""},{"dropping-particle":"","family":"Nitz","given":"U.","non-dropping-particle":"","parse-names":false,"suffix":""},{"dropping-particle":"","family":"Passalacqua","given":"R.","non-dropping-particle":"","parse-names":false,"suffix":""},{"dropping-particle":"","family":"Ravdin","given":"P.","non-dropping-particle":"","parse-names":false,"suffix":""},{"dropping-particle":"","family":"Rubio","given":"I. T.","non-dropping-particle":"","parse-names":false,"suffix":""},{"dropping-particle":"","family":"Saghatchian","given":"M.","non-dropping-particle":"","parse-names":false,"suffix":""},{"dropping-particle":"","family":"Smilde","given":"T. J.","non-dropping-particle":"","parse-names":false,"suffix":""},{"dropping-particle":"","family":"Sotiriou","given":"C.","non-dropping-particle":"","parse-names":false,"suffix":""},{"dropping-particle":"","family":"Stork","given":"L.","non-dropping-particle":"","parse-names":false,"suffix":""},{"dropping-particle":"","family":"Straehle","given":"C.","non-dropping-particle":"","parse-names":false,"suffix":""},{"dropping-particle":"","family":"Thomas","given":"G.","non-dropping-particle":"","parse-names":false,"suffix":""},{"dropping-particle":"","family":"Thompson","given":"A. M.","non-dropping-particle":"","parse-names":false,"suffix":""},{"dropping-particle":"","family":"Hoeven","given":"J. M.","non-dropping-particle":"Van Der","parse-names":false,"suffix":""},{"dropping-particle":"","family":"Vuylsteke","given":"P.","non-dropping-particle":"","parse-names":false,"suffix":""},{"dropping-particle":"","family":"Bernards","given":"R.","non-dropping-particle":"","parse-names":false,"suffix":""},{"dropping-particle":"","family":"Tryfonidis","given":"K.","non-dropping-particle":"","parse-names":false,"suffix":""},{"dropping-particle":"","family":"Rutgers","given":"E.","non-dropping-particle":"","parse-names":false,"suffix":""},{"dropping-particle":"","family":"Piccart","given":"M.","non-dropping-particle":"","parse-names":false,"suffix":""}],"container-title":"New England Journal of Medicine","id":"ITEM-1","issue":"8","issued":{"date-parts":[["2016","8","25"]]},"page":"717-729","publisher":"Massachussetts Medical Society","title":"70-Gene signature as an aid to treatment decisions in early-stage breast cancer","type":"article-journal","volume":"375"},"uris":["http://www.mendeley.com/documents/?uuid=e0d6817b-6bbe-3911-a47c-79070f706c75"]},{"id":"ITEM-2","itemData":{"DOI":"10.1056/NEJMoa1804710","ISSN":"15334406","PMID":"29860917","abstract":"BACKGROUND: The recurrence score based on the 21-gene breast cancer assay predicts chemotherapy benefit if it is high and a low risk of recurrence in the absence of chemotherapy if it is low; however, there is uncertainty about the benefit of chemotherapy for most patients, who have a midrange score. METHODS: We performed a prospective trial involving 10,273 women with hormone-receptor-positive, human epidermal growth factor receptor 2 (HER2)-negative, axillary node-negative breast cancer. Of the 9719 eligible patients with follow-up information, 6711 (69%) had a midrange recurrence score of 11 to 25 and were randomly assigned to receive either chemoendocrine therapy or endocrine therapy alone. The trial was designed to show noninferiority of endocrine therapy alone for invasive disease-free survival (defined as freedom from invasive disease recurrence, second primary cancer, or death). RESULTS: Endocrine therapy was noninferior to chemoendocrine therapy in the analysis of invasive disease-free survival (hazard ratio for invasive disease recurrence, second primary cancer, or death [endocrine vs. chemoendocrine therapy], 1.08; 95% confidence interval, 0.94 to 1.24; P = 0.26). At 9 years, the two treatment groups had similar rates of invasive disease-free survival (83.3% in the endocrine-therapy group and 84.3% in the chemoendocrine-therapy group), freedom from disease recurrence at a distant site (94.5% and 95.0%) or at a distant or local-regional site (92.2% and 92.9%), and overall survival (93.9% and 93.8%). The chemotherapy benefit for invasive disease-free survival varied with the combination of recurrence score and age (P = 0.004), with some benefit of chemotherapy found in women 50 years of age or younger with a recurrence score of 16 to 25. CONCLUSIONS: Adjuvant endocrine therapy and chemoendocrine therapy had similar efficacy in women with hormone-receptor-positive, HER2-negative, axillary node-negative breast cancer who had a midrange 21-gene recurrence score, although some benefit of chemotherapy was found in some women 50 years of age or younger.","author":[{"dropping-particle":"","family":"Sparano","given":"J. A.","non-dropping-particle":"","parse-names":false,"suffix":""},{"dropping-particle":"","family":"Gray","given":"R. J.","non-dropping-particle":"","parse-names":false,"suffix":""},{"dropping-particle":"","family":"Makower","given":"D. F.","non-dropping-particle":"","parse-names":false,"suffix":""},{"dropping-particle":"","family":"Pritchard","given":"K. I.","non-dropping-particle":"","parse-names":false,"suffix":""},{"dropping-particle":"","family":"Albain","given":"K. S.","non-dropping-particle":"","parse-names":false,"suffix":""},{"dropping-particle":"","family":"Hayes","given":"D. F.","non-dropping-particle":"","parse-names":false,"suffix":""},{"dropping-particle":"","family":"Geyer","given":"C. E.","non-dropping-particle":"","parse-names":false,"suffix":""},{"dropping-particle":"","family":"Dees","given":"E. C.","non-dropping-particle":"","parse-names":false,"suffix":""},{"dropping-particle":"","family":"Goetz","given":"M. P.","non-dropping-particle":"","parse-names":false,"suffix":""},{"dropping-particle":"","family":"Olson","given":"J. A.","non-dropping-particle":"","parse-names":false,"suffix":""},{"dropping-particle":"","family":"Lively","given":"T.","non-dropping-particle":"","parse-names":false,"suffix":""},{"dropping-particle":"","family":"Badve","given":"S. S.","non-dropping-particle":"","parse-names":false,"suffix":""},{"dropping-particle":"","family":"Saphner","given":"T. J.","non-dropping-particle":"","parse-names":false,"suffix":""},{"dropping-particle":"","family":"Wagner","given":"L. I.","non-dropping-particle":"","parse-names":false,"suffix":""},{"dropping-particle":"","family":"Whelan","given":"T. J.","non-dropping-particle":"","parse-names":false,"suffix":""},{"dropping-particle":"","family":"Ellis","given":"M. J.","non-dropping-particle":"","parse-names":false,"suffix":""},{"dropping-particle":"","family":"Paik","given":"S.","non-dropping-particle":"","parse-names":false,"suffix":""},{"dropping-particle":"","family":"Wood","given":"W. C.","non-dropping-particle":"","parse-names":false,"suffix":""},{"dropping-particle":"","family":"Ravdin","given":"P. M.","non-dropping-particle":"","parse-names":false,"suffix":""},{"dropping-particle":"","family":"Keane","given":"M. M.","non-dropping-particle":"","parse-names":false,"suffix":""},{"dropping-particle":"","family":"Gomez Moreno","given":"H. L.","non-dropping-particle":"","parse-names":false,"suffix":""},{"dropping-particle":"","family":"Reddy","given":"P. S.","non-dropping-particle":"","parse-names":false,"suffix":""},{"dropping-particle":"","family":"Goggins","given":"T. F.","non-dropping-particle":"","parse-names":false,"suffix":""},{"dropping-particle":"","family":"Mayer","given":"I. A.","non-dropping-particle":"","parse-names":false,"suffix":""},{"dropping-particle":"","family":"Brufsky","given":"A. M.","non-dropping-particle":"","parse-names":false,"suffix":""},{"dropping-particle":"","family":"Toppmeyer","given":"D. L.","non-dropping-particle":"","parse-names":false,"suffix":""},{"dropping-particle":"","family":"Kaklamani","given":"V. G.","non-dropping-particle":"","parse-names":false,"suffix":""},{"dropping-particle":"","family":"Berenberg","given":"J. L.","non-dropping-particle":"","parse-names":false,"suffix":""},{"dropping-particle":"","family":"Abrams","given":"J.","non-dropping-particle":"","parse-names":false,"suffix":""},{"dropping-particle":"","family":"Sledge","given":"G. W.","non-dropping-particle":"","parse-names":false,"suffix":""}],"container-title":"New England Journal of Medicine","id":"ITEM-2","issue":"2","issued":{"date-parts":[["2018","7","12"]]},"page":"111-121","publisher":"Massachussetts Medical Society","title":"Adjuvant chemotherapy guided by a 21-gene expression assay in breast cancer","type":"article-journal","volume":"379"},"uris":["http://www.mendeley.com/documents/?uuid=6bba371b-9a00-365c-9c4e-69f00dc4a9d3"]}],"mendeley":{"formattedCitation":"&lt;sup&gt;22,23&lt;/sup&gt;","plainTextFormattedCitation":"22,23","previouslyFormattedCitation":"&lt;sup&gt;22,23&lt;/sup&gt;"},"properties":{"noteIndex":0},"schema":"https://github.com/citation-style-language/schema/raw/master/csl-citation.json"}</w:instrText>
      </w:r>
      <w:r w:rsidR="00C9542E" w:rsidRPr="00625A76">
        <w:rPr>
          <w:color w:val="000000" w:themeColor="text1"/>
          <w:sz w:val="28"/>
          <w:szCs w:val="28"/>
          <w:lang w:val="en-US"/>
        </w:rPr>
        <w:fldChar w:fldCharType="separate"/>
      </w:r>
      <w:r w:rsidR="00122AB9" w:rsidRPr="00625A76">
        <w:rPr>
          <w:noProof/>
          <w:color w:val="000000" w:themeColor="text1"/>
          <w:sz w:val="28"/>
          <w:szCs w:val="28"/>
          <w:vertAlign w:val="superscript"/>
          <w:lang w:val="en-US"/>
        </w:rPr>
        <w:t>22,23</w:t>
      </w:r>
      <w:r w:rsidR="00C9542E" w:rsidRPr="00625A76">
        <w:rPr>
          <w:color w:val="000000" w:themeColor="text1"/>
          <w:sz w:val="28"/>
          <w:szCs w:val="28"/>
          <w:lang w:val="en-US"/>
        </w:rPr>
        <w:fldChar w:fldCharType="end"/>
      </w:r>
      <w:r w:rsidR="0048569A" w:rsidRPr="00625A76">
        <w:rPr>
          <w:color w:val="000000" w:themeColor="text1"/>
          <w:sz w:val="28"/>
          <w:szCs w:val="28"/>
          <w:lang w:val="en-US"/>
        </w:rPr>
        <w:t>. Although treatment allocation for women with discordant risks (as determined clinically or genomically) was the result of randomization in M</w:t>
      </w:r>
      <w:r w:rsidR="00925E04" w:rsidRPr="00625A76">
        <w:rPr>
          <w:color w:val="000000" w:themeColor="text1"/>
          <w:sz w:val="28"/>
          <w:szCs w:val="28"/>
          <w:lang w:val="en-US"/>
        </w:rPr>
        <w:t>INDACT</w:t>
      </w:r>
      <w:r w:rsidR="0048569A" w:rsidRPr="00625A76">
        <w:rPr>
          <w:color w:val="000000" w:themeColor="text1"/>
          <w:sz w:val="28"/>
          <w:szCs w:val="28"/>
          <w:lang w:val="en-US"/>
        </w:rPr>
        <w:t xml:space="preserve">, </w:t>
      </w:r>
      <w:r w:rsidR="00E76BFD" w:rsidRPr="00625A76">
        <w:rPr>
          <w:color w:val="000000" w:themeColor="text1"/>
          <w:sz w:val="28"/>
          <w:szCs w:val="28"/>
          <w:lang w:val="en-US"/>
        </w:rPr>
        <w:t>t</w:t>
      </w:r>
      <w:r w:rsidR="0048569A" w:rsidRPr="00625A76">
        <w:rPr>
          <w:color w:val="000000" w:themeColor="text1"/>
          <w:sz w:val="28"/>
          <w:szCs w:val="28"/>
          <w:lang w:val="en-US"/>
        </w:rPr>
        <w:t>here was</w:t>
      </w:r>
      <w:r w:rsidR="00E76BFD" w:rsidRPr="00625A76">
        <w:rPr>
          <w:color w:val="000000" w:themeColor="text1"/>
          <w:sz w:val="28"/>
          <w:szCs w:val="28"/>
          <w:lang w:val="en-US"/>
        </w:rPr>
        <w:t xml:space="preserve"> not enough statistical power for a reliable comparison of these “randomized groups”</w:t>
      </w:r>
      <w:r w:rsidR="00C9542E" w:rsidRPr="00625A76">
        <w:rPr>
          <w:color w:val="000000" w:themeColor="text1"/>
          <w:sz w:val="28"/>
          <w:szCs w:val="28"/>
          <w:lang w:val="en-US"/>
        </w:rPr>
        <w:t>.</w:t>
      </w:r>
      <w:r w:rsidR="00E76BFD" w:rsidRPr="00625A76">
        <w:rPr>
          <w:color w:val="000000" w:themeColor="text1"/>
          <w:sz w:val="28"/>
          <w:szCs w:val="28"/>
          <w:lang w:val="en-US"/>
        </w:rPr>
        <w:t xml:space="preserve"> </w:t>
      </w:r>
      <w:r w:rsidR="00C9542E" w:rsidRPr="00625A76">
        <w:rPr>
          <w:color w:val="000000" w:themeColor="text1"/>
          <w:sz w:val="28"/>
          <w:szCs w:val="28"/>
          <w:lang w:val="en-US"/>
        </w:rPr>
        <w:t>A</w:t>
      </w:r>
      <w:r w:rsidR="00E76BFD" w:rsidRPr="00625A76">
        <w:rPr>
          <w:color w:val="000000" w:themeColor="text1"/>
          <w:sz w:val="28"/>
          <w:szCs w:val="28"/>
          <w:lang w:val="en-US"/>
        </w:rPr>
        <w:t xml:space="preserve">s a result, </w:t>
      </w:r>
      <w:r w:rsidR="00E91761" w:rsidRPr="00625A76">
        <w:rPr>
          <w:color w:val="000000" w:themeColor="text1"/>
          <w:sz w:val="28"/>
          <w:szCs w:val="28"/>
          <w:lang w:val="en-US"/>
        </w:rPr>
        <w:t xml:space="preserve">a small distant metastasis free survival (DMFS) advantage </w:t>
      </w:r>
      <w:r w:rsidR="00E76BFD" w:rsidRPr="00625A76">
        <w:rPr>
          <w:color w:val="000000" w:themeColor="text1"/>
          <w:sz w:val="28"/>
          <w:szCs w:val="28"/>
          <w:lang w:val="en-US"/>
        </w:rPr>
        <w:t>from the addition of chemotherapy cannot be formally</w:t>
      </w:r>
      <w:r w:rsidR="0048569A" w:rsidRPr="00625A76">
        <w:rPr>
          <w:color w:val="000000" w:themeColor="text1"/>
          <w:sz w:val="28"/>
          <w:szCs w:val="28"/>
          <w:lang w:val="en-US"/>
        </w:rPr>
        <w:t xml:space="preserve"> </w:t>
      </w:r>
      <w:r w:rsidR="00E76BFD" w:rsidRPr="00625A76">
        <w:rPr>
          <w:color w:val="000000" w:themeColor="text1"/>
          <w:sz w:val="28"/>
          <w:szCs w:val="28"/>
          <w:lang w:val="en-US"/>
        </w:rPr>
        <w:t>excluded in the target subgroup of M</w:t>
      </w:r>
      <w:r w:rsidR="00925E04" w:rsidRPr="00625A76">
        <w:rPr>
          <w:color w:val="000000" w:themeColor="text1"/>
          <w:sz w:val="28"/>
          <w:szCs w:val="28"/>
          <w:lang w:val="en-US"/>
        </w:rPr>
        <w:t>INDACT</w:t>
      </w:r>
      <w:r w:rsidR="00E76BFD" w:rsidRPr="00625A76">
        <w:rPr>
          <w:color w:val="000000" w:themeColor="text1"/>
          <w:sz w:val="28"/>
          <w:szCs w:val="28"/>
          <w:lang w:val="en-US"/>
        </w:rPr>
        <w:t xml:space="preserve"> but if it exists it does not exceed 2% at 5 years in absolute terms, a benefit that women should be free to take or to reject </w:t>
      </w:r>
      <w:r w:rsidR="001E7AE3">
        <w:rPr>
          <w:color w:val="000000" w:themeColor="text1"/>
          <w:sz w:val="28"/>
          <w:szCs w:val="28"/>
          <w:lang w:val="en-US"/>
        </w:rPr>
        <w:t>based on</w:t>
      </w:r>
      <w:r w:rsidR="00E76BFD" w:rsidRPr="00625A76">
        <w:rPr>
          <w:color w:val="000000" w:themeColor="text1"/>
          <w:sz w:val="28"/>
          <w:szCs w:val="28"/>
          <w:lang w:val="en-US"/>
        </w:rPr>
        <w:t xml:space="preserve"> their own perception of benefit versus risk.</w:t>
      </w:r>
    </w:p>
    <w:p w14:paraId="31211140" w14:textId="50C677B2" w:rsidR="00E76BFD" w:rsidRPr="00625A76" w:rsidRDefault="00E76BFD" w:rsidP="00870F63">
      <w:pPr>
        <w:jc w:val="both"/>
        <w:rPr>
          <w:color w:val="000000" w:themeColor="text1"/>
          <w:sz w:val="28"/>
          <w:szCs w:val="28"/>
          <w:lang w:val="en-US"/>
        </w:rPr>
      </w:pPr>
      <w:r w:rsidRPr="00625A76">
        <w:rPr>
          <w:color w:val="000000" w:themeColor="text1"/>
          <w:sz w:val="28"/>
          <w:szCs w:val="28"/>
          <w:lang w:val="en-US"/>
        </w:rPr>
        <w:t xml:space="preserve">There are important differences in the use of the </w:t>
      </w:r>
      <w:r w:rsidR="00040A57" w:rsidRPr="00625A76">
        <w:rPr>
          <w:color w:val="000000" w:themeColor="text1"/>
          <w:sz w:val="28"/>
          <w:szCs w:val="28"/>
          <w:lang w:val="en-US"/>
        </w:rPr>
        <w:t>two</w:t>
      </w:r>
      <w:r w:rsidRPr="00625A76">
        <w:rPr>
          <w:color w:val="000000" w:themeColor="text1"/>
          <w:sz w:val="28"/>
          <w:szCs w:val="28"/>
          <w:lang w:val="en-US"/>
        </w:rPr>
        <w:t xml:space="preserve"> genomic signatures</w:t>
      </w:r>
      <w:r w:rsidR="00786A35" w:rsidRPr="00625A76">
        <w:rPr>
          <w:color w:val="000000" w:themeColor="text1"/>
          <w:sz w:val="28"/>
          <w:szCs w:val="28"/>
          <w:lang w:val="en-US"/>
        </w:rPr>
        <w:t xml:space="preserve"> in the trials</w:t>
      </w:r>
      <w:r w:rsidR="00040A57" w:rsidRPr="00625A76">
        <w:rPr>
          <w:color w:val="000000" w:themeColor="text1"/>
          <w:sz w:val="28"/>
          <w:szCs w:val="28"/>
          <w:lang w:val="en-US"/>
        </w:rPr>
        <w:t>. In TAILORX,</w:t>
      </w:r>
      <w:r w:rsidRPr="00625A76">
        <w:rPr>
          <w:color w:val="000000" w:themeColor="text1"/>
          <w:sz w:val="28"/>
          <w:szCs w:val="28"/>
          <w:lang w:val="en-US"/>
        </w:rPr>
        <w:t xml:space="preserve"> Oncotype-DX </w:t>
      </w:r>
      <w:r w:rsidR="00786A35" w:rsidRPr="00625A76">
        <w:rPr>
          <w:color w:val="000000" w:themeColor="text1"/>
          <w:sz w:val="28"/>
          <w:szCs w:val="28"/>
          <w:lang w:val="en-US"/>
        </w:rPr>
        <w:t xml:space="preserve">was </w:t>
      </w:r>
      <w:r w:rsidRPr="00625A76">
        <w:rPr>
          <w:color w:val="000000" w:themeColor="text1"/>
          <w:sz w:val="28"/>
          <w:szCs w:val="28"/>
          <w:lang w:val="en-US"/>
        </w:rPr>
        <w:t xml:space="preserve">used </w:t>
      </w:r>
      <w:r w:rsidR="00040A57" w:rsidRPr="00625A76">
        <w:rPr>
          <w:color w:val="000000" w:themeColor="text1"/>
          <w:sz w:val="28"/>
          <w:szCs w:val="28"/>
          <w:lang w:val="en-US"/>
        </w:rPr>
        <w:t>at time of primary surgery</w:t>
      </w:r>
      <w:r w:rsidRPr="00625A76">
        <w:rPr>
          <w:color w:val="000000" w:themeColor="text1"/>
          <w:sz w:val="28"/>
          <w:szCs w:val="28"/>
          <w:lang w:val="en-US"/>
        </w:rPr>
        <w:t>, independently from “</w:t>
      </w:r>
      <w:r w:rsidR="00365473" w:rsidRPr="00625A76">
        <w:rPr>
          <w:color w:val="000000" w:themeColor="text1"/>
          <w:sz w:val="28"/>
          <w:szCs w:val="28"/>
          <w:lang w:val="en-US"/>
        </w:rPr>
        <w:t xml:space="preserve">clinical risk” </w:t>
      </w:r>
      <w:r w:rsidR="0077794A" w:rsidRPr="00625A76">
        <w:rPr>
          <w:color w:val="000000" w:themeColor="text1"/>
          <w:sz w:val="28"/>
          <w:szCs w:val="28"/>
          <w:lang w:val="en-US"/>
        </w:rPr>
        <w:t>in N0</w:t>
      </w:r>
      <w:r w:rsidR="00040A57" w:rsidRPr="00625A76">
        <w:rPr>
          <w:color w:val="000000" w:themeColor="text1"/>
          <w:sz w:val="28"/>
          <w:szCs w:val="28"/>
          <w:lang w:val="en-US"/>
        </w:rPr>
        <w:t>, hormone</w:t>
      </w:r>
      <w:r w:rsidR="00C9542E" w:rsidRPr="00625A76">
        <w:rPr>
          <w:color w:val="000000" w:themeColor="text1"/>
          <w:sz w:val="28"/>
          <w:szCs w:val="28"/>
          <w:lang w:val="en-US"/>
        </w:rPr>
        <w:t xml:space="preserve"> </w:t>
      </w:r>
      <w:r w:rsidR="00040A57" w:rsidRPr="00625A76">
        <w:rPr>
          <w:color w:val="000000" w:themeColor="text1"/>
          <w:sz w:val="28"/>
          <w:szCs w:val="28"/>
          <w:lang w:val="en-US"/>
        </w:rPr>
        <w:t xml:space="preserve">receptor-positive </w:t>
      </w:r>
      <w:r w:rsidR="00C9542E" w:rsidRPr="00625A76">
        <w:rPr>
          <w:color w:val="000000" w:themeColor="text1"/>
          <w:sz w:val="28"/>
          <w:szCs w:val="28"/>
          <w:lang w:val="en-US"/>
        </w:rPr>
        <w:t>disease</w:t>
      </w:r>
      <w:r w:rsidR="00DE6A53">
        <w:rPr>
          <w:color w:val="000000" w:themeColor="text1"/>
          <w:sz w:val="28"/>
          <w:szCs w:val="28"/>
          <w:lang w:val="en-US"/>
        </w:rPr>
        <w:t>,</w:t>
      </w:r>
      <w:r w:rsidR="0077794A" w:rsidRPr="00625A76">
        <w:rPr>
          <w:color w:val="000000" w:themeColor="text1"/>
          <w:sz w:val="28"/>
          <w:szCs w:val="28"/>
          <w:lang w:val="en-US"/>
        </w:rPr>
        <w:t xml:space="preserve"> </w:t>
      </w:r>
      <w:r w:rsidR="00365473" w:rsidRPr="00625A76">
        <w:rPr>
          <w:color w:val="000000" w:themeColor="text1"/>
          <w:sz w:val="28"/>
          <w:szCs w:val="28"/>
          <w:lang w:val="en-US"/>
        </w:rPr>
        <w:lastRenderedPageBreak/>
        <w:t>whil</w:t>
      </w:r>
      <w:r w:rsidR="00786A35" w:rsidRPr="00625A76">
        <w:rPr>
          <w:color w:val="000000" w:themeColor="text1"/>
          <w:sz w:val="28"/>
          <w:szCs w:val="28"/>
          <w:lang w:val="en-US"/>
        </w:rPr>
        <w:t xml:space="preserve">e </w:t>
      </w:r>
      <w:r w:rsidR="00C9542E" w:rsidRPr="00625A76">
        <w:rPr>
          <w:color w:val="000000" w:themeColor="text1"/>
          <w:sz w:val="28"/>
          <w:szCs w:val="28"/>
          <w:lang w:val="en-US"/>
        </w:rPr>
        <w:t xml:space="preserve">in </w:t>
      </w:r>
      <w:r w:rsidR="00786A35" w:rsidRPr="00625A76">
        <w:rPr>
          <w:color w:val="000000" w:themeColor="text1"/>
          <w:sz w:val="28"/>
          <w:szCs w:val="28"/>
          <w:lang w:val="en-US"/>
        </w:rPr>
        <w:t>MINDACT</w:t>
      </w:r>
      <w:r w:rsidR="003320E0" w:rsidRPr="00625A76">
        <w:rPr>
          <w:color w:val="000000" w:themeColor="text1"/>
          <w:sz w:val="28"/>
          <w:szCs w:val="28"/>
          <w:lang w:val="en-US"/>
        </w:rPr>
        <w:t xml:space="preserve"> </w:t>
      </w:r>
      <w:r w:rsidR="00786A35" w:rsidRPr="00625A76">
        <w:rPr>
          <w:color w:val="000000" w:themeColor="text1"/>
          <w:sz w:val="28"/>
          <w:szCs w:val="28"/>
          <w:lang w:val="en-US"/>
        </w:rPr>
        <w:t xml:space="preserve">a large </w:t>
      </w:r>
      <w:r w:rsidR="00C9542E" w:rsidRPr="00625A76">
        <w:rPr>
          <w:color w:val="000000" w:themeColor="text1"/>
          <w:sz w:val="28"/>
          <w:szCs w:val="28"/>
          <w:lang w:val="en-US"/>
        </w:rPr>
        <w:t>proportion</w:t>
      </w:r>
      <w:r w:rsidR="00786A35" w:rsidRPr="00625A76">
        <w:rPr>
          <w:color w:val="000000" w:themeColor="text1"/>
          <w:sz w:val="28"/>
          <w:szCs w:val="28"/>
          <w:lang w:val="en-US"/>
        </w:rPr>
        <w:t xml:space="preserve"> of clinical high</w:t>
      </w:r>
      <w:r w:rsidR="00A92C0D" w:rsidRPr="00625A76">
        <w:rPr>
          <w:color w:val="000000" w:themeColor="text1"/>
          <w:sz w:val="28"/>
          <w:szCs w:val="28"/>
          <w:lang w:val="en-US"/>
        </w:rPr>
        <w:t>-</w:t>
      </w:r>
      <w:r w:rsidR="00786A35" w:rsidRPr="00625A76">
        <w:rPr>
          <w:color w:val="000000" w:themeColor="text1"/>
          <w:sz w:val="28"/>
          <w:szCs w:val="28"/>
          <w:lang w:val="en-US"/>
        </w:rPr>
        <w:t>risk patients</w:t>
      </w:r>
      <w:r w:rsidR="00C9542E" w:rsidRPr="00625A76">
        <w:rPr>
          <w:color w:val="000000" w:themeColor="text1"/>
          <w:sz w:val="28"/>
          <w:szCs w:val="28"/>
          <w:lang w:val="en-US"/>
        </w:rPr>
        <w:t xml:space="preserve"> were recruited, </w:t>
      </w:r>
      <w:r w:rsidR="00040A57" w:rsidRPr="00625A76">
        <w:rPr>
          <w:color w:val="000000" w:themeColor="text1"/>
          <w:sz w:val="28"/>
          <w:szCs w:val="28"/>
          <w:lang w:val="en-US"/>
        </w:rPr>
        <w:t xml:space="preserve">with </w:t>
      </w:r>
      <w:r w:rsidR="00C9542E" w:rsidRPr="00625A76">
        <w:rPr>
          <w:color w:val="000000" w:themeColor="text1"/>
          <w:sz w:val="28"/>
          <w:szCs w:val="28"/>
          <w:lang w:val="en-US"/>
        </w:rPr>
        <w:t>21% with N1 disease overall and 47.6 % in the “high clinical-low genomic risk” subgroup</w:t>
      </w:r>
      <w:r w:rsidR="00C92815" w:rsidRPr="00625A76">
        <w:rPr>
          <w:color w:val="000000" w:themeColor="text1"/>
          <w:sz w:val="28"/>
          <w:szCs w:val="28"/>
          <w:lang w:val="en-US"/>
        </w:rPr>
        <w:t xml:space="preserve">. </w:t>
      </w:r>
      <w:r w:rsidR="00C9542E" w:rsidRPr="00625A76">
        <w:rPr>
          <w:color w:val="000000" w:themeColor="text1"/>
          <w:sz w:val="28"/>
          <w:szCs w:val="28"/>
          <w:lang w:val="en-US"/>
        </w:rPr>
        <w:t xml:space="preserve">Controversy remains as to whether Oncotype-Dx and/or </w:t>
      </w:r>
      <w:proofErr w:type="spellStart"/>
      <w:r w:rsidR="00C9542E" w:rsidRPr="00625A76">
        <w:rPr>
          <w:color w:val="000000" w:themeColor="text1"/>
          <w:sz w:val="28"/>
          <w:szCs w:val="28"/>
          <w:lang w:val="en-US"/>
        </w:rPr>
        <w:t>Mammaprint</w:t>
      </w:r>
      <w:proofErr w:type="spellEnd"/>
      <w:r w:rsidR="00C9542E" w:rsidRPr="00625A76">
        <w:rPr>
          <w:color w:val="000000" w:themeColor="text1"/>
          <w:sz w:val="28"/>
          <w:szCs w:val="28"/>
          <w:lang w:val="en-US"/>
        </w:rPr>
        <w:t xml:space="preserve">® can be safely used in patients with 1 to 3 positive nodes. </w:t>
      </w:r>
      <w:r w:rsidR="003320E0" w:rsidRPr="00625A76">
        <w:rPr>
          <w:color w:val="000000" w:themeColor="text1"/>
          <w:sz w:val="28"/>
          <w:szCs w:val="28"/>
          <w:lang w:val="en-US"/>
        </w:rPr>
        <w:t>R</w:t>
      </w:r>
      <w:r w:rsidR="00C9542E" w:rsidRPr="00625A76">
        <w:rPr>
          <w:color w:val="000000" w:themeColor="text1"/>
          <w:sz w:val="28"/>
          <w:szCs w:val="28"/>
          <w:lang w:val="en-US"/>
        </w:rPr>
        <w:t>egistry data would support the use of Oncotype-Dx in such patients while MINDACT can claim the prospective inclusion of such patients, al</w:t>
      </w:r>
      <w:r w:rsidR="001F3045" w:rsidRPr="00625A76">
        <w:rPr>
          <w:color w:val="000000" w:themeColor="text1"/>
          <w:sz w:val="28"/>
          <w:szCs w:val="28"/>
          <w:lang w:val="en-US"/>
        </w:rPr>
        <w:t>though</w:t>
      </w:r>
      <w:r w:rsidR="00C9542E" w:rsidRPr="00625A76">
        <w:rPr>
          <w:color w:val="000000" w:themeColor="text1"/>
          <w:sz w:val="28"/>
          <w:szCs w:val="28"/>
          <w:lang w:val="en-US"/>
        </w:rPr>
        <w:t xml:space="preserve"> only 226 patients women with 2 or 3 positive nodes were part of the target group.</w:t>
      </w:r>
      <w:r w:rsidR="00696F47" w:rsidRPr="00625A76">
        <w:rPr>
          <w:color w:val="000000" w:themeColor="text1"/>
          <w:sz w:val="28"/>
          <w:szCs w:val="28"/>
          <w:lang w:val="en-US"/>
        </w:rPr>
        <w:fldChar w:fldCharType="begin" w:fldLock="1"/>
      </w:r>
      <w:r w:rsidR="00F8502A" w:rsidRPr="00625A76">
        <w:rPr>
          <w:color w:val="000000" w:themeColor="text1"/>
          <w:sz w:val="28"/>
          <w:szCs w:val="28"/>
          <w:lang w:val="en-US"/>
        </w:rPr>
        <w:instrText>ADDIN CSL_CITATION {"citationItems":[{"id":"ITEM-1","itemData":{"DOI":"10.1158/1538-7445.SABCS19-P3-07-01","abstract":"Abstracts: 2019 San Antonio Breast Cancer Symposium; December 10-14, 2019; San Antonio, TexasIntroduction: The 21-gene Breast Recurrence Score® assay was shown in SWOG 8814 to predict chemotherapy (CT) benefit for patients (pts) with N+ BC and Recurrence Score® (RS) result≥31 but not RS &amp;amp;lt;18. In TAILORx, endocrine therapy was non-inferior to chemoendocrine therapy in 6,711 randomized pts with RS results 11-25 and N0 disease, although subgroup analyses suggested that pts age 50 years and younger with RS results 16-25 may derive some CT benefit. As we await the randomized RxPONDER results for RS 0-25 in N+ pts, we characterize BCSM in N+ pts diagnosed at age 50 years or younger by RS groups in the population-based SEER study of pts treated according to Recurrence Score results. Methods: Recurrence Score results were provided electronically to SEER registries per their linkage methods (Petkov npj Breast Cancer 2016). Eligible pts were diagnosed (Jan 2004 - Dec 2014) with N+ (micrometastases, 1-3 positive nodes), HR+, HER2-negative BC, and had no prior malignancy or multiple tumors. BCSM estimates by reported CT use were computed using TAILORx/RxPONDER cut-points of 11, 15, 20, and 25, and should be interpreted cautiously given known under-reporting of CT use to SEER, lack of randomization, and limited follow-up. Results: Among 2,588 eligible pts with Recurrence Score results, 417 (16%) had RS 0-10, 756 (29%) had RS 11-15, 715 (27%) had RS 16-20, 350 (14%) had RS 21-25, and 350 (14%) had RS 26-100. Median follow-up time was 41 months (interquartile range 24-65.) There was a significant association between Recurrence Score result and BCSM (p&amp;amp;lt;0.0001) without and with adjustment for tumor size, grade, and reported CT use. Reported CT use and 5-year BCSM increased with increasing Recurrence Score result (Table.)Conclusions: Reported CT and 5-year BCSM in young pts with N+ BC increased with increasing Recurrence Score results in real-world clinical practice. 5-year BCSM was less than 2% in young pts with Recurrence Score result 0-25 and CT use reported as no or unknown. Pts with Recurrence Score result 26-100 have increased risk of BCSM despite high reported CT use.CT reported as &amp;#039;No/Unknown&amp;#039;CT reported as &amp;#039;Yes&amp;#039;RS GroupN (%)5-y BCSM ±SEN (%)5-y BCSM ±SE0-10295 (71%)0.0% ±0.0122 (29%)0.0% ±0.011-15471 (62%)0.5% ±0.3285 (38%)2.3% ±1.416-20368 (51%)1.3% ±0.9347 (49%)1.6% ±0.921-25119 (34%)1.6% ±1.6231 (66%)1.2% ±1.226-10049 (14%)4.4…","author":[{"dropping-particle":"","family":"Petkov","given":"Valentina I","non-dropping-particle":"","parse-names":false,"suffix":""},{"dropping-particle":"","family":"Kurian","given":"Allison W","non-dropping-particle":"","parse-names":false,"suffix":""},{"dropping-particle":"","family":"Jakubowski","given":"Debbie M","non-dropping-particle":"","parse-names":false,"suffix":""},{"dropping-particle":"","family":"Shak","given":"Steven","non-dropping-particle":"","parse-names":false,"suffix":""}],"container-title":"Cancer Research","id":"ITEM-1","issue":"4 Supplement","issued":{"date-parts":[["2020","2","15"]]},"page":"P3-07-01 LP  - P3-07-01","title":"Abstract P3-07-01: Breast cancer-specific mortality (BCSM) in patients age 50 years or younger with node-positive (N+) breast cancer (BC) treated based on the 21-gene assay in clinical practice","type":"article-journal","volume":"80"},"uris":["http://www.mendeley.com/documents/?uuid=413b7736-ea64-49ad-a385-4be705b07019"]},{"id":"ITEM-2","itemData":{"DOI":"10.1056/NEJMoa1602253","ISSN":"15334406","PMID":"28401821","abstract":"BACKGROUND: The 70-gene signature test (MammaPrint) has been shown to improve prediction of clinical outcome in women with early-stage breast cancer. We sought to provide prospective evidence of the clinical utility of the addition of the 70-gene signature to standard clinical-pathological criteria in selecting patients for adjuvant chemotherapy. METHODS: In this randomized, phase 3 study, we enrolled 6693 women with early-stage breast cancer and determined their genomic risk (using the 70-gene signature) and their clinical risk (using a modified version of Adjuvant! Online). Women at low clinical and genomic risk did not receive chemotherapy, whereas those at high clinical and genomic risk did receive such therapy. In patients with discordant risk results, either the genomic risk or the clinical risk was used to determine the use of chemotherapy. The primary goal was to assess whether, among patients with high-risk clinical features and a low-risk gene-expression profile who did not receive chemotherapy, the lower boundary of the 95% confidence interval for the rate of 5-year survival without distant metastasis would be 92% (i.e., the noninferiority boundary) or higher. RESULTS: A total of 1550 patients (23.2%) were deemed to be at high clinical risk and low genomic risk. At 5 years, the rate of survival without distant metastasis in this group was 94.7% (95% confidence interval, 92.5 to 96.2) among those not receiving chemotherapy. The absolute difference in this survival rate between these patients and those who received chemother apy was 1.5 percentage points, with the rate being lower without chemotherapy. Similar rates of survival without distant metastasis were reported in the subgroup of patients who had estrogen-receptor-positive, human epidermal growth factor receptor 2-negative, and either node-negative or node-positive disease. CONCLUSIONS: Among women with early-stage breast cancer who were at high clinical risk and low genomic risk for recurrence, the receipt of no chemotherapy on the basis of the 70-gene signature led to a 5-year rate of survival without distant metastasis that was 1.5 percentage points lower than the rate with chemotherapy. Given these findings, approximately 46% of women with breast cancer who are at high clinical risk might not require chemotherapy.","author":[{"dropping-particle":"","family":"Cardoso","given":"Fatima","non-dropping-particle":"","parse-names":false,"suffix":""},{"dropping-particle":"","family":"Van't Veer","given":"L. J.","non-dropping-particle":"","parse-names":false,"suffix":""},{"dropping-particle":"","family":"Bogaerts","given":"J.","non-dropping-particle":"","parse-names":false,"suffix":""},{"dropping-particle":"","family":"Slaets","given":"L.","non-dropping-particle":"","parse-names":false,"suffix":""},{"dropping-particle":"","family":"Viale","given":"G.","non-dropping-particle":"","parse-names":false,"suffix":""},{"dropping-particle":"","family":"Delaloge","given":"S.","non-dropping-particle":"","parse-names":false,"suffix":""},{"dropping-particle":"","family":"Pierga","given":"J. Y.","non-dropping-particle":"","parse-names":false,"suffix":""},{"dropping-particle":"","family":"Brain","given":"E.","non-dropping-particle":"","parse-names":false,"suffix":""},{"dropping-particle":"","family":"Causeret","given":"S.","non-dropping-particle":"","parse-names":false,"suffix":""},{"dropping-particle":"","family":"DeLorenzi","given":"M.","non-dropping-particle":"","parse-names":false,"suffix":""},{"dropping-particle":"","family":"Glas","given":"A. M.","non-dropping-particle":"","parse-names":false,"suffix":""},{"dropping-particle":"","family":"Golfinopoulos","given":"V.","non-dropping-particle":"","parse-names":false,"suffix":""},{"dropping-particle":"","family":"Goulioti","given":"T.","non-dropping-particle":"","parse-names":false,"suffix":""},{"dropping-particle":"","family":"Knox","given":"S.","non-dropping-particle":"","parse-names":false,"suffix":""},{"dropping-particle":"","family":"Matos","given":"E.","non-dropping-particle":"","parse-names":false,"suffix":""},{"dropping-particle":"","family":"Meulemans","given":"B.","non-dropping-particle":"","parse-names":false,"suffix":""},{"dropping-particle":"","family":"Neijenhuis","given":"P. A.","non-dropping-particle":"","parse-names":false,"suffix":""},{"dropping-particle":"","family":"Nitz","given":"U.","non-dropping-particle":"","parse-names":false,"suffix":""},{"dropping-particle":"","family":"Passalacqua","given":"R.","non-dropping-particle":"","parse-names":false,"suffix":""},{"dropping-particle":"","family":"Ravdin","given":"P.","non-dropping-particle":"","parse-names":false,"suffix":""},{"dropping-particle":"","family":"Rubio","given":"I. T.","non-dropping-particle":"","parse-names":false,"suffix":""},{"dropping-particle":"","family":"Saghatchian","given":"M.","non-dropping-particle":"","parse-names":false,"suffix":""},{"dropping-particle":"","family":"Smilde","given":"T. J.","non-dropping-particle":"","parse-names":false,"suffix":""},{"dropping-particle":"","family":"Sotiriou","given":"C.","non-dropping-particle":"","parse-names":false,"suffix":""},{"dropping-particle":"","family":"Stork","given":"L.","non-dropping-particle":"","parse-names":false,"suffix":""},{"dropping-particle":"","family":"Straehle","given":"C.","non-dropping-particle":"","parse-names":false,"suffix":""},{"dropping-particle":"","family":"Thomas","given":"G.","non-dropping-particle":"","parse-names":false,"suffix":""},{"dropping-particle":"","family":"Thompson","given":"A. M.","non-dropping-particle":"","parse-names":false,"suffix":""},{"dropping-particle":"","family":"Hoeven","given":"J. M.","non-dropping-particle":"Van Der","parse-names":false,"suffix":""},{"dropping-particle":"","family":"Vuylsteke","given":"P.","non-dropping-particle":"","parse-names":false,"suffix":""},{"dropping-particle":"","family":"Bernards","given":"R.","non-dropping-particle":"","parse-names":false,"suffix":""},{"dropping-particle":"","family":"Tryfonidis","given":"K.","non-dropping-particle":"","parse-names":false,"suffix":""},{"dropping-particle":"","family":"Rutgers","given":"E.","non-dropping-particle":"","parse-names":false,"suffix":""},{"dropping-particle":"","family":"Piccart","given":"M.","non-dropping-particle":"","parse-names":false,"suffix":""}],"container-title":"New England Journal of Medicine","id":"ITEM-2","issue":"8","issued":{"date-parts":[["2016","8","25"]]},"page":"717-729","publisher":"Massachussetts Medical Society","title":"70-Gene signature as an aid to treatment decisions in early-stage breast cancer","type":"article-journal","volume":"375"},"uris":["http://www.mendeley.com/documents/?uuid=e0d6817b-6bbe-3911-a47c-79070f706c75"]}],"mendeley":{"formattedCitation":"&lt;sup&gt;22,24&lt;/sup&gt;","plainTextFormattedCitation":"22,24","previouslyFormattedCitation":"&lt;sup&gt;22,24&lt;/sup&gt;"},"properties":{"noteIndex":0},"schema":"https://github.com/citation-style-language/schema/raw/master/csl-citation.json"}</w:instrText>
      </w:r>
      <w:r w:rsidR="00696F47" w:rsidRPr="00625A76">
        <w:rPr>
          <w:color w:val="000000" w:themeColor="text1"/>
          <w:sz w:val="28"/>
          <w:szCs w:val="28"/>
          <w:lang w:val="en-US"/>
        </w:rPr>
        <w:fldChar w:fldCharType="separate"/>
      </w:r>
      <w:r w:rsidR="00696F47" w:rsidRPr="00625A76">
        <w:rPr>
          <w:noProof/>
          <w:color w:val="000000" w:themeColor="text1"/>
          <w:sz w:val="28"/>
          <w:szCs w:val="28"/>
          <w:vertAlign w:val="superscript"/>
          <w:lang w:val="en-US"/>
        </w:rPr>
        <w:t>22,24</w:t>
      </w:r>
      <w:r w:rsidR="00696F47" w:rsidRPr="00625A76">
        <w:rPr>
          <w:color w:val="000000" w:themeColor="text1"/>
          <w:sz w:val="28"/>
          <w:szCs w:val="28"/>
          <w:lang w:val="en-US"/>
        </w:rPr>
        <w:fldChar w:fldCharType="end"/>
      </w:r>
      <w:r w:rsidR="00C9542E" w:rsidRPr="00625A76">
        <w:rPr>
          <w:color w:val="000000" w:themeColor="text1"/>
          <w:sz w:val="28"/>
          <w:szCs w:val="28"/>
          <w:lang w:val="en-US"/>
        </w:rPr>
        <w:t xml:space="preserve"> This is why </w:t>
      </w:r>
      <w:r w:rsidR="003320E0" w:rsidRPr="00625A76">
        <w:rPr>
          <w:color w:val="000000" w:themeColor="text1"/>
          <w:sz w:val="28"/>
          <w:szCs w:val="28"/>
          <w:lang w:val="en-US"/>
        </w:rPr>
        <w:t xml:space="preserve">results </w:t>
      </w:r>
      <w:r w:rsidR="00365473" w:rsidRPr="00625A76">
        <w:rPr>
          <w:color w:val="000000" w:themeColor="text1"/>
          <w:sz w:val="28"/>
          <w:szCs w:val="28"/>
          <w:lang w:val="en-US"/>
        </w:rPr>
        <w:t xml:space="preserve">from </w:t>
      </w:r>
      <w:proofErr w:type="spellStart"/>
      <w:r w:rsidR="00365473" w:rsidRPr="00625A76">
        <w:rPr>
          <w:color w:val="000000" w:themeColor="text1"/>
          <w:sz w:val="28"/>
          <w:szCs w:val="28"/>
          <w:lang w:val="en-US"/>
        </w:rPr>
        <w:t>R</w:t>
      </w:r>
      <w:r w:rsidR="00CF19EC" w:rsidRPr="00625A76">
        <w:rPr>
          <w:color w:val="000000" w:themeColor="text1"/>
          <w:sz w:val="28"/>
          <w:szCs w:val="28"/>
          <w:lang w:val="en-US"/>
        </w:rPr>
        <w:t>x</w:t>
      </w:r>
      <w:r w:rsidR="00365473" w:rsidRPr="00625A76">
        <w:rPr>
          <w:color w:val="000000" w:themeColor="text1"/>
          <w:sz w:val="28"/>
          <w:szCs w:val="28"/>
          <w:lang w:val="en-US"/>
        </w:rPr>
        <w:t>PONDER</w:t>
      </w:r>
      <w:proofErr w:type="spellEnd"/>
      <w:r w:rsidR="00CF19EC" w:rsidRPr="00625A76">
        <w:rPr>
          <w:color w:val="000000" w:themeColor="text1"/>
          <w:sz w:val="28"/>
          <w:szCs w:val="28"/>
          <w:lang w:val="en-US"/>
        </w:rPr>
        <w:t xml:space="preserve"> (NCT01272037)</w:t>
      </w:r>
      <w:r w:rsidR="00365473" w:rsidRPr="00625A76">
        <w:rPr>
          <w:color w:val="000000" w:themeColor="text1"/>
          <w:sz w:val="28"/>
          <w:szCs w:val="28"/>
          <w:lang w:val="en-US"/>
        </w:rPr>
        <w:t>, a US trial exploring chemotherapy de-escalation with the use of Oncotype-DX</w:t>
      </w:r>
      <w:r w:rsidRPr="00625A76">
        <w:rPr>
          <w:color w:val="000000" w:themeColor="text1"/>
          <w:sz w:val="28"/>
          <w:szCs w:val="28"/>
          <w:lang w:val="en-US"/>
        </w:rPr>
        <w:t xml:space="preserve"> </w:t>
      </w:r>
      <w:r w:rsidR="00365473" w:rsidRPr="00625A76">
        <w:rPr>
          <w:color w:val="000000" w:themeColor="text1"/>
          <w:sz w:val="28"/>
          <w:szCs w:val="28"/>
          <w:lang w:val="en-US"/>
        </w:rPr>
        <w:t>in women with 1 to 3 positive nodes</w:t>
      </w:r>
      <w:r w:rsidR="001F3045" w:rsidRPr="00625A76">
        <w:rPr>
          <w:color w:val="000000" w:themeColor="text1"/>
          <w:sz w:val="28"/>
          <w:szCs w:val="28"/>
          <w:lang w:val="en-US"/>
        </w:rPr>
        <w:t>, are eagerly awaited</w:t>
      </w:r>
      <w:r w:rsidR="00365473" w:rsidRPr="00625A76">
        <w:rPr>
          <w:color w:val="000000" w:themeColor="text1"/>
          <w:sz w:val="28"/>
          <w:szCs w:val="28"/>
          <w:lang w:val="en-US"/>
        </w:rPr>
        <w:t>.</w:t>
      </w:r>
    </w:p>
    <w:p w14:paraId="5C9F9ACA" w14:textId="69AC3C2D" w:rsidR="00365473" w:rsidRPr="00625A76" w:rsidRDefault="00365473" w:rsidP="00EF4539">
      <w:pPr>
        <w:jc w:val="both"/>
        <w:rPr>
          <w:color w:val="000000" w:themeColor="text1"/>
          <w:sz w:val="28"/>
          <w:szCs w:val="28"/>
          <w:lang w:val="en-US"/>
        </w:rPr>
      </w:pPr>
      <w:r w:rsidRPr="00625A76">
        <w:rPr>
          <w:color w:val="000000" w:themeColor="text1"/>
          <w:sz w:val="28"/>
          <w:szCs w:val="28"/>
          <w:lang w:val="en-US"/>
        </w:rPr>
        <w:t xml:space="preserve">In spite of the huge enthusiasm of patients and doctors for </w:t>
      </w:r>
      <w:r w:rsidR="001F3045" w:rsidRPr="00625A76">
        <w:rPr>
          <w:color w:val="000000" w:themeColor="text1"/>
          <w:sz w:val="28"/>
          <w:szCs w:val="28"/>
          <w:lang w:val="en-US"/>
        </w:rPr>
        <w:t xml:space="preserve">conduct of and application of results from </w:t>
      </w:r>
      <w:r w:rsidRPr="00625A76">
        <w:rPr>
          <w:color w:val="000000" w:themeColor="text1"/>
          <w:sz w:val="28"/>
          <w:szCs w:val="28"/>
          <w:lang w:val="en-US"/>
        </w:rPr>
        <w:t>these well designed and expensive de-escalation trials, health technology assessment specialists from outside the US have remained “</w:t>
      </w:r>
      <w:r w:rsidR="004762D4" w:rsidRPr="00625A76">
        <w:rPr>
          <w:color w:val="000000" w:themeColor="text1"/>
          <w:sz w:val="28"/>
          <w:szCs w:val="28"/>
          <w:lang w:val="en-US"/>
        </w:rPr>
        <w:t>skeptical”</w:t>
      </w:r>
      <w:r w:rsidR="001F3045" w:rsidRPr="00625A76">
        <w:rPr>
          <w:color w:val="000000" w:themeColor="text1"/>
          <w:sz w:val="28"/>
          <w:szCs w:val="28"/>
          <w:lang w:val="en-US"/>
        </w:rPr>
        <w:t>. They wonder if</w:t>
      </w:r>
      <w:r w:rsidRPr="00625A76">
        <w:rPr>
          <w:color w:val="000000" w:themeColor="text1"/>
          <w:sz w:val="28"/>
          <w:szCs w:val="28"/>
          <w:lang w:val="en-US"/>
        </w:rPr>
        <w:t xml:space="preserve"> the immediate cost linked to the use of these genomic tests </w:t>
      </w:r>
      <w:r w:rsidR="001F3045" w:rsidRPr="00625A76">
        <w:rPr>
          <w:color w:val="000000" w:themeColor="text1"/>
          <w:sz w:val="28"/>
          <w:szCs w:val="28"/>
          <w:lang w:val="en-US"/>
        </w:rPr>
        <w:t>will</w:t>
      </w:r>
      <w:r w:rsidRPr="00625A76">
        <w:rPr>
          <w:color w:val="000000" w:themeColor="text1"/>
          <w:sz w:val="28"/>
          <w:szCs w:val="28"/>
          <w:lang w:val="en-US"/>
        </w:rPr>
        <w:t xml:space="preserve"> be offset by a reduction in indirect costs such as those induced by short</w:t>
      </w:r>
      <w:r w:rsidR="0009637A">
        <w:rPr>
          <w:color w:val="000000" w:themeColor="text1"/>
          <w:sz w:val="28"/>
          <w:szCs w:val="28"/>
          <w:lang w:val="en-US"/>
        </w:rPr>
        <w:t>-</w:t>
      </w:r>
      <w:r w:rsidRPr="00625A76">
        <w:rPr>
          <w:color w:val="000000" w:themeColor="text1"/>
          <w:sz w:val="28"/>
          <w:szCs w:val="28"/>
          <w:lang w:val="en-US"/>
        </w:rPr>
        <w:t xml:space="preserve"> and long</w:t>
      </w:r>
      <w:r w:rsidR="0009637A">
        <w:rPr>
          <w:color w:val="000000" w:themeColor="text1"/>
          <w:sz w:val="28"/>
          <w:szCs w:val="28"/>
          <w:lang w:val="en-US"/>
        </w:rPr>
        <w:t>-</w:t>
      </w:r>
      <w:r w:rsidRPr="00625A76">
        <w:rPr>
          <w:color w:val="000000" w:themeColor="text1"/>
          <w:sz w:val="28"/>
          <w:szCs w:val="28"/>
          <w:lang w:val="en-US"/>
        </w:rPr>
        <w:t>term chemotherapy side</w:t>
      </w:r>
      <w:r w:rsidR="008A5A01" w:rsidRPr="00625A76">
        <w:rPr>
          <w:color w:val="000000" w:themeColor="text1"/>
          <w:sz w:val="28"/>
          <w:szCs w:val="28"/>
          <w:lang w:val="en-US"/>
        </w:rPr>
        <w:t xml:space="preserve"> </w:t>
      </w:r>
      <w:r w:rsidR="004762D4" w:rsidRPr="00625A76">
        <w:rPr>
          <w:color w:val="000000" w:themeColor="text1"/>
          <w:sz w:val="28"/>
          <w:szCs w:val="28"/>
          <w:lang w:val="en-US"/>
        </w:rPr>
        <w:t>effects</w:t>
      </w:r>
      <w:r w:rsidR="001F3045" w:rsidRPr="00625A76">
        <w:rPr>
          <w:color w:val="000000" w:themeColor="text1"/>
          <w:sz w:val="28"/>
          <w:szCs w:val="28"/>
          <w:lang w:val="en-US"/>
        </w:rPr>
        <w:t>.</w:t>
      </w:r>
      <w:r w:rsidR="004762D4" w:rsidRPr="00625A76">
        <w:rPr>
          <w:color w:val="000000" w:themeColor="text1"/>
          <w:sz w:val="28"/>
          <w:szCs w:val="28"/>
          <w:lang w:val="en-US"/>
        </w:rPr>
        <w:t xml:space="preserve"> </w:t>
      </w:r>
      <w:r w:rsidR="00026C3F" w:rsidRPr="00625A76">
        <w:rPr>
          <w:color w:val="000000" w:themeColor="text1"/>
          <w:sz w:val="28"/>
          <w:szCs w:val="28"/>
          <w:lang w:val="en-US"/>
        </w:rPr>
        <w:t xml:space="preserve">They argue that </w:t>
      </w:r>
      <w:r w:rsidRPr="00625A76">
        <w:rPr>
          <w:color w:val="000000" w:themeColor="text1"/>
          <w:sz w:val="28"/>
          <w:szCs w:val="28"/>
          <w:lang w:val="en-US"/>
        </w:rPr>
        <w:t xml:space="preserve">the “good results” </w:t>
      </w:r>
      <w:r w:rsidR="001F3045" w:rsidRPr="00625A76">
        <w:rPr>
          <w:color w:val="000000" w:themeColor="text1"/>
          <w:sz w:val="28"/>
          <w:szCs w:val="28"/>
          <w:lang w:val="en-US"/>
        </w:rPr>
        <w:t xml:space="preserve">will diminish </w:t>
      </w:r>
      <w:r w:rsidR="00C63711" w:rsidRPr="00625A76">
        <w:rPr>
          <w:color w:val="000000" w:themeColor="text1"/>
          <w:sz w:val="28"/>
          <w:szCs w:val="28"/>
          <w:lang w:val="en-US"/>
        </w:rPr>
        <w:t>in time</w:t>
      </w:r>
      <w:r w:rsidR="00D755F6" w:rsidRPr="00625A76">
        <w:rPr>
          <w:color w:val="000000" w:themeColor="text1"/>
          <w:sz w:val="28"/>
          <w:szCs w:val="28"/>
          <w:lang w:val="en-US"/>
        </w:rPr>
        <w:t xml:space="preserve"> given the </w:t>
      </w:r>
      <w:r w:rsidR="0077794A" w:rsidRPr="00625A76">
        <w:rPr>
          <w:color w:val="000000" w:themeColor="text1"/>
          <w:sz w:val="28"/>
          <w:szCs w:val="28"/>
          <w:lang w:val="en-US"/>
        </w:rPr>
        <w:t>persistent</w:t>
      </w:r>
      <w:r w:rsidR="00D755F6" w:rsidRPr="00625A76">
        <w:rPr>
          <w:color w:val="000000" w:themeColor="text1"/>
          <w:sz w:val="28"/>
          <w:szCs w:val="28"/>
          <w:lang w:val="en-US"/>
        </w:rPr>
        <w:t xml:space="preserve"> risk of late recurrence in this patient group</w:t>
      </w:r>
      <w:r w:rsidR="00816023" w:rsidRPr="00625A76">
        <w:rPr>
          <w:color w:val="000000" w:themeColor="text1"/>
          <w:sz w:val="28"/>
          <w:szCs w:val="28"/>
          <w:lang w:val="en-US"/>
        </w:rPr>
        <w:t xml:space="preserve">. </w:t>
      </w:r>
      <w:r w:rsidR="0009637A">
        <w:rPr>
          <w:color w:val="000000" w:themeColor="text1"/>
          <w:sz w:val="28"/>
          <w:szCs w:val="28"/>
          <w:lang w:val="en-US"/>
        </w:rPr>
        <w:t>Recently, m</w:t>
      </w:r>
      <w:r w:rsidR="00816023" w:rsidRPr="00625A76">
        <w:rPr>
          <w:color w:val="000000" w:themeColor="text1"/>
          <w:sz w:val="28"/>
          <w:szCs w:val="28"/>
          <w:lang w:val="en-US"/>
        </w:rPr>
        <w:t>ore mature results of MINDACT, at 8.7 years median follow-up,</w:t>
      </w:r>
      <w:r w:rsidR="0009637A">
        <w:rPr>
          <w:color w:val="000000" w:themeColor="text1"/>
          <w:sz w:val="28"/>
          <w:szCs w:val="28"/>
          <w:lang w:val="en-US"/>
        </w:rPr>
        <w:t xml:space="preserve"> have </w:t>
      </w:r>
      <w:r w:rsidR="00816023" w:rsidRPr="00625A76">
        <w:rPr>
          <w:color w:val="000000" w:themeColor="text1"/>
          <w:sz w:val="28"/>
          <w:szCs w:val="28"/>
          <w:lang w:val="en-US"/>
        </w:rPr>
        <w:t>show</w:t>
      </w:r>
      <w:r w:rsidR="0009637A">
        <w:rPr>
          <w:color w:val="000000" w:themeColor="text1"/>
          <w:sz w:val="28"/>
          <w:szCs w:val="28"/>
          <w:lang w:val="en-US"/>
        </w:rPr>
        <w:t>n</w:t>
      </w:r>
      <w:r w:rsidR="00816023" w:rsidRPr="00625A76">
        <w:rPr>
          <w:color w:val="000000" w:themeColor="text1"/>
          <w:sz w:val="28"/>
          <w:szCs w:val="28"/>
          <w:lang w:val="en-US"/>
        </w:rPr>
        <w:t xml:space="preserve"> an intact performance of the 70 gene assay to guide adjuvant chemotherapy decision in women older than 50 years, with no hint of a chemotherapy benefit in the group with a high clinical risk and a low genomic risk.</w:t>
      </w:r>
      <w:r w:rsidR="00B21CA2">
        <w:rPr>
          <w:color w:val="000000" w:themeColor="text1"/>
          <w:sz w:val="28"/>
          <w:szCs w:val="28"/>
          <w:lang w:val="en-US"/>
        </w:rPr>
        <w:fldChar w:fldCharType="begin" w:fldLock="1"/>
      </w:r>
      <w:r w:rsidR="001A1C1C">
        <w:rPr>
          <w:color w:val="000000" w:themeColor="text1"/>
          <w:sz w:val="28"/>
          <w:szCs w:val="28"/>
          <w:lang w:val="en-US"/>
        </w:rPr>
        <w:instrText>ADDIN CSL_CITATION {"citationItems":[{"id":"ITEM-1","itemData":{"DOI":"10.1200/jco.2020.38.15_suppl.506","ISSN":"0732-183X","abstract":"506Background: The 70-gene signature MammaPrint has been shown to identify breast cancer patients for whom adjuvant chemotherapy (CT) could be safely omitted even in the presence of unfavorable standard clinical-pathological criteria. The MINDACT primary endpoint at 5 years median follow-up was met in 2016 (Cardoso et al, NEJM 2016) with a distant metastasis free survival (DMFS) rate at 5 years of 94.7% (95% CI: 92.5-96.2) in clinical high (C-High) / genomic low (G-Low) risk patients who received no CT. Longer follow-up is now available. Methods: 6693 patients were enrolled in the prospective phase III randomized MINDACT study (EORTC 10041/BIG3-04) between 2007-2011. We assessed the DMFS rate at 5 years in the primary test (PT) population of C-High / G-Low patients who were randomized to receive no CT (n = 644). As secondary analysis, we evaluated DMFS and overall survival (OS) in the intention to treat (ITT) population of the C-High / G-Low group randomized to CT vs no CT (n = 749 and 748 respectively). Comparisons between CT and no CT groups are low-powered. We used Kaplan-Meier estimates for time to event endpoints and hazard ratios (HR) with 95% CI from cox-regression models adjusted for stratification factors used for the randomization. Results: The median follow-up is 8.7 years, resulting in an updated 5-year DMFS rate for the PT population of C-High / G-Low patients with no CT of 95.1% (95% CI 93.1-96.6). The updated outcomes of the ITT population of C-High / G-Low patients are shown in the table. Further analyses will update the suggested age-dependent effect of CT omission for luminal breast cancer seen at 5 years in pre- versus post-menopausal women as in Tailor-X (Piccart et al, SABCS 2019). Conclusions: The primary DMFS endpoint at 5 years continues to be met in CT untreated C-High / G-Low risk women, confirming MINDACT as a positive de-escalation study. With longer follow-up and in line with the natural history of luminal breast cancer, more distant relapses do occur but the estimated gain of 2.6% for CT administration in C-High / G-Low patients remains small in light of CT harmful effects. The level IA evidence for the clinical utility of the 70-gene signature for adjuvant CT decision making is maintained. Clinical trial information: NCT00433589 . [Table: see text]","author":[{"dropping-particle":"","family":"Cardoso","given":"Fatima","non-dropping-particle":"","parse-names":false,"suffix":""},{"dropping-particle":"","family":"'t Veer","given":"Laura","non-dropping-particle":"van","parse-names":false,"suffix":""},{"dropping-particle":"","family":"Poncet","given":"Coralie","non-dropping-particle":"","parse-names":false,"suffix":""},{"dropping-particle":"","family":"Lopes Cardozo","given":"Josephine","non-dropping-particle":"","parse-names":false,"suffix":""},{"dropping-particle":"","family":"Delaloge","given":"Suzette","non-dropping-particle":"","parse-names":false,"suffix":""},{"dropping-particle":"","family":"Pierga","given":"Jean-Yves","non-dropping-particle":"","parse-names":false,"suffix":""},{"dropping-particle":"","family":"Vuylsteke","given":"Peter","non-dropping-particle":"","parse-names":false,"suffix":""},{"dropping-particle":"","family":"Brain","given":"Etienne","non-dropping-particle":"","parse-names":false,"suffix":""},{"dropping-particle":"","family":"Viale","given":"Giuseppe","non-dropping-particle":"","parse-names":false,"suffix":""},{"dropping-particle":"","family":"Kuemmel","given":"Sherko","non-dropping-particle":"","parse-names":false,"suffix":""},{"dropping-particle":"","family":"Rubio","given":"Isabel T.","non-dropping-particle":"","parse-names":false,"suffix":""},{"dropping-particle":"","family":"Zoppoli","given":"Gabriele","non-dropping-particle":"","parse-names":false,"suffix":""},{"dropping-particle":"","family":"Thompson","given":"Alastair Mark","non-dropping-particle":"","parse-names":false,"suffix":""},{"dropping-particle":"","family":"Matos","given":"Erika","non-dropping-particle":"","parse-names":false,"suffix":""},{"dropping-particle":"","family":"Zaman","given":"Khalil","non-dropping-particle":"","parse-names":false,"suffix":""},{"dropping-particle":"","family":"Hilbers","given":"Florentine","non-dropping-particle":"","parse-names":false,"suffix":""},{"dropping-particle":"","family":"Dudek-Perić","given":"Aleksandra","non-dropping-particle":"","parse-names":false,"suffix":""},{"dropping-particle":"","family":"Meulemans","given":"Bart","non-dropping-particle":"","parse-names":false,"suffix":""},{"dropping-particle":"","family":"Piccart-Gebhart","given":"Martine J.","non-dropping-particle":"","parse-names":false,"suffix":""},{"dropping-particle":"","family":"Rutgers","given":"Emiel J.","non-dropping-particle":"","parse-names":false,"suffix":""}],"container-title":"Journal of Clinical Oncology","id":"ITEM-1","issue":"15_suppl","issued":{"date-parts":[["2020","5","20"]]},"page":"506-506","publisher":"American Society of Clinical Oncology (ASCO)","title":"MINDACT: Long-term results of the large prospective trial testing the 70-gene signature MammaPrint as guidance for adjuvant chemotherapy in breast cancer patients.","type":"article-journal","volume":"38"},"uris":["http://www.mendeley.com/documents/?uuid=d0ac056d-6bc5-322b-8cec-2bcd92a2a371"]}],"mendeley":{"formattedCitation":"&lt;sup&gt;25&lt;/sup&gt;","plainTextFormattedCitation":"25","previouslyFormattedCitation":"&lt;sup&gt;25&lt;/sup&gt;"},"properties":{"noteIndex":0},"schema":"https://github.com/citation-style-language/schema/raw/master/csl-citation.json"}</w:instrText>
      </w:r>
      <w:r w:rsidR="00B21CA2">
        <w:rPr>
          <w:color w:val="000000" w:themeColor="text1"/>
          <w:sz w:val="28"/>
          <w:szCs w:val="28"/>
          <w:lang w:val="en-US"/>
        </w:rPr>
        <w:fldChar w:fldCharType="separate"/>
      </w:r>
      <w:r w:rsidR="00B21CA2" w:rsidRPr="00B21CA2">
        <w:rPr>
          <w:noProof/>
          <w:color w:val="000000" w:themeColor="text1"/>
          <w:sz w:val="28"/>
          <w:szCs w:val="28"/>
          <w:vertAlign w:val="superscript"/>
          <w:lang w:val="en-US"/>
        </w:rPr>
        <w:t>25</w:t>
      </w:r>
      <w:r w:rsidR="00B21CA2">
        <w:rPr>
          <w:color w:val="000000" w:themeColor="text1"/>
          <w:sz w:val="28"/>
          <w:szCs w:val="28"/>
          <w:lang w:val="en-US"/>
        </w:rPr>
        <w:fldChar w:fldCharType="end"/>
      </w:r>
      <w:r w:rsidR="00816023" w:rsidRPr="00625A76">
        <w:rPr>
          <w:color w:val="000000" w:themeColor="text1"/>
          <w:sz w:val="28"/>
          <w:szCs w:val="28"/>
          <w:lang w:val="en-US"/>
        </w:rPr>
        <w:t xml:space="preserve"> In contrast, for women younger than 50 years of age in this target group, there is an estimated 5</w:t>
      </w:r>
      <w:r w:rsidR="00F60810">
        <w:rPr>
          <w:color w:val="000000" w:themeColor="text1"/>
          <w:sz w:val="28"/>
          <w:szCs w:val="28"/>
          <w:lang w:val="en-US"/>
        </w:rPr>
        <w:t xml:space="preserve">% </w:t>
      </w:r>
      <w:r w:rsidR="00816023" w:rsidRPr="00625A76">
        <w:rPr>
          <w:color w:val="000000" w:themeColor="text1"/>
          <w:sz w:val="28"/>
          <w:szCs w:val="28"/>
          <w:lang w:val="en-US"/>
        </w:rPr>
        <w:t xml:space="preserve">absolute gain in </w:t>
      </w:r>
      <w:r w:rsidR="00F60810">
        <w:rPr>
          <w:color w:val="000000" w:themeColor="text1"/>
          <w:sz w:val="28"/>
          <w:szCs w:val="28"/>
          <w:lang w:val="en-US"/>
        </w:rPr>
        <w:t>DMFS</w:t>
      </w:r>
      <w:r w:rsidR="00816023" w:rsidRPr="00625A76">
        <w:rPr>
          <w:color w:val="000000" w:themeColor="text1"/>
          <w:sz w:val="28"/>
          <w:szCs w:val="28"/>
          <w:lang w:val="en-US"/>
        </w:rPr>
        <w:t xml:space="preserve"> with adjuvant chemotherapy, which will need to be communicated as part of patient-doctor shared decision making. A very similar observation was made in the </w:t>
      </w:r>
      <w:proofErr w:type="spellStart"/>
      <w:r w:rsidR="00816023" w:rsidRPr="00625A76">
        <w:rPr>
          <w:color w:val="000000" w:themeColor="text1"/>
          <w:sz w:val="28"/>
          <w:szCs w:val="28"/>
          <w:lang w:val="en-US"/>
        </w:rPr>
        <w:t>TailorX</w:t>
      </w:r>
      <w:proofErr w:type="spellEnd"/>
      <w:r w:rsidR="00816023" w:rsidRPr="00625A76">
        <w:rPr>
          <w:color w:val="000000" w:themeColor="text1"/>
          <w:sz w:val="28"/>
          <w:szCs w:val="28"/>
          <w:lang w:val="en-US"/>
        </w:rPr>
        <w:t xml:space="preserve"> trial.</w:t>
      </w:r>
      <w:r w:rsidR="001A1C1C">
        <w:rPr>
          <w:color w:val="000000" w:themeColor="text1"/>
          <w:sz w:val="28"/>
          <w:szCs w:val="28"/>
          <w:lang w:val="en-US"/>
        </w:rPr>
        <w:fldChar w:fldCharType="begin" w:fldLock="1"/>
      </w:r>
      <w:r w:rsidR="001A1C1C">
        <w:rPr>
          <w:color w:val="000000" w:themeColor="text1"/>
          <w:sz w:val="28"/>
          <w:szCs w:val="28"/>
          <w:lang w:val="en-US"/>
        </w:rPr>
        <w:instrText>ADDIN CSL_CITATION {"citationItems":[{"id":"ITEM-1","itemData":{"DOI":"10.1056/NEJMoa1804710","ISSN":"15334406","PMID":"29860917","abstract":"BACKGROUND: The recurrence score based on the 21-gene breast cancer assay predicts chemotherapy benefit if it is high and a low risk of recurrence in the absence of chemotherapy if it is low; however, there is uncertainty about the benefit of chemotherapy for most patients, who have a midrange score. METHODS: We performed a prospective trial involving 10,273 women with hormone-receptor-positive, human epidermal growth factor receptor 2 (HER2)-negative, axillary node-negative breast cancer. Of the 9719 eligible patients with follow-up information, 6711 (69%) had a midrange recurrence score of 11 to 25 and were randomly assigned to receive either chemoendocrine therapy or endocrine therapy alone. The trial was designed to show noninferiority of endocrine therapy alone for invasive disease-free survival (defined as freedom from invasive disease recurrence, second primary cancer, or death). RESULTS: Endocrine therapy was noninferior to chemoendocrine therapy in the analysis of invasive disease-free survival (hazard ratio for invasive disease recurrence, second primary cancer, or death [endocrine vs. chemoendocrine therapy], 1.08; 95% confidence interval, 0.94 to 1.24; P = 0.26). At 9 years, the two treatment groups had similar rates of invasive disease-free survival (83.3% in the endocrine-therapy group and 84.3% in the chemoendocrine-therapy group), freedom from disease recurrence at a distant site (94.5% and 95.0%) or at a distant or local-regional site (92.2% and 92.9%), and overall survival (93.9% and 93.8%). The chemotherapy benefit for invasive disease-free survival varied with the combination of recurrence score and age (P = 0.004), with some benefit of chemotherapy found in women 50 years of age or younger with a recurrence score of 16 to 25. CONCLUSIONS: Adjuvant endocrine therapy and chemoendocrine therapy had similar efficacy in women with hormone-receptor-positive, HER2-negative, axillary node-negative breast cancer who had a midrange 21-gene recurrence score, although some benefit of chemotherapy was found in some women 50 years of age or younger.","author":[{"dropping-particle":"","family":"Sparano","given":"J. A.","non-dropping-particle":"","parse-names":false,"suffix":""},{"dropping-particle":"","family":"Gray","given":"R. J.","non-dropping-particle":"","parse-names":false,"suffix":""},{"dropping-particle":"","family":"Makower","given":"D. F.","non-dropping-particle":"","parse-names":false,"suffix":""},{"dropping-particle":"","family":"Pritchard","given":"K. I.","non-dropping-particle":"","parse-names":false,"suffix":""},{"dropping-particle":"","family":"Albain","given":"K. S.","non-dropping-particle":"","parse-names":false,"suffix":""},{"dropping-particle":"","family":"Hayes","given":"D. F.","non-dropping-particle":"","parse-names":false,"suffix":""},{"dropping-particle":"","family":"Geyer","given":"C. E.","non-dropping-particle":"","parse-names":false,"suffix":""},{"dropping-particle":"","family":"Dees","given":"E. C.","non-dropping-particle":"","parse-names":false,"suffix":""},{"dropping-particle":"","family":"Goetz","given":"M. P.","non-dropping-particle":"","parse-names":false,"suffix":""},{"dropping-particle":"","family":"Olson","given":"J. A.","non-dropping-particle":"","parse-names":false,"suffix":""},{"dropping-particle":"","family":"Lively","given":"T.","non-dropping-particle":"","parse-names":false,"suffix":""},{"dropping-particle":"","family":"Badve","given":"S. S.","non-dropping-particle":"","parse-names":false,"suffix":""},{"dropping-particle":"","family":"Saphner","given":"T. J.","non-dropping-particle":"","parse-names":false,"suffix":""},{"dropping-particle":"","family":"Wagner","given":"L. I.","non-dropping-particle":"","parse-names":false,"suffix":""},{"dropping-particle":"","family":"Whelan","given":"T. J.","non-dropping-particle":"","parse-names":false,"suffix":""},{"dropping-particle":"","family":"Ellis","given":"M. J.","non-dropping-particle":"","parse-names":false,"suffix":""},{"dropping-particle":"","family":"Paik","given":"S.","non-dropping-particle":"","parse-names":false,"suffix":""},{"dropping-particle":"","family":"Wood","given":"W. C.","non-dropping-particle":"","parse-names":false,"suffix":""},{"dropping-particle":"","family":"Ravdin","given":"P. M.","non-dropping-particle":"","parse-names":false,"suffix":""},{"dropping-particle":"","family":"Keane","given":"M. M.","non-dropping-particle":"","parse-names":false,"suffix":""},{"dropping-particle":"","family":"Gomez Moreno","given":"H. L.","non-dropping-particle":"","parse-names":false,"suffix":""},{"dropping-particle":"","family":"Reddy","given":"P. S.","non-dropping-particle":"","parse-names":false,"suffix":""},{"dropping-particle":"","family":"Goggins","given":"T. F.","non-dropping-particle":"","parse-names":false,"suffix":""},{"dropping-particle":"","family":"Mayer","given":"I. A.","non-dropping-particle":"","parse-names":false,"suffix":""},{"dropping-particle":"","family":"Brufsky","given":"A. M.","non-dropping-particle":"","parse-names":false,"suffix":""},{"dropping-particle":"","family":"Toppmeyer","given":"D. L.","non-dropping-particle":"","parse-names":false,"suffix":""},{"dropping-particle":"","family":"Kaklamani","given":"V. G.","non-dropping-particle":"","parse-names":false,"suffix":""},{"dropping-particle":"","family":"Berenberg","given":"J. L.","non-dropping-particle":"","parse-names":false,"suffix":""},{"dropping-particle":"","family":"Abrams","given":"J.","non-dropping-particle":"","parse-names":false,"suffix":""},{"dropping-particle":"","family":"Sledge","given":"G. W.","non-dropping-particle":"","parse-names":false,"suffix":""}],"container-title":"New England Journal of Medicine","id":"ITEM-1","issue":"2","issued":{"date-parts":[["2018","7","12"]]},"page":"111-121","publisher":"Massachussetts Medical Society","title":"Adjuvant chemotherapy guided by a 21-gene expression assay in breast cancer","type":"article-journal","volume":"379"},"uris":["http://www.mendeley.com/documents/?uuid=6bba371b-9a00-365c-9c4e-69f00dc4a9d3"]}],"mendeley":{"formattedCitation":"&lt;sup&gt;23&lt;/sup&gt;","plainTextFormattedCitation":"23"},"properties":{"noteIndex":0},"schema":"https://github.com/citation-style-language/schema/raw/master/csl-citation.json"}</w:instrText>
      </w:r>
      <w:r w:rsidR="001A1C1C">
        <w:rPr>
          <w:color w:val="000000" w:themeColor="text1"/>
          <w:sz w:val="28"/>
          <w:szCs w:val="28"/>
          <w:lang w:val="en-US"/>
        </w:rPr>
        <w:fldChar w:fldCharType="separate"/>
      </w:r>
      <w:r w:rsidR="001A1C1C" w:rsidRPr="001A1C1C">
        <w:rPr>
          <w:noProof/>
          <w:color w:val="000000" w:themeColor="text1"/>
          <w:sz w:val="28"/>
          <w:szCs w:val="28"/>
          <w:vertAlign w:val="superscript"/>
          <w:lang w:val="en-US"/>
        </w:rPr>
        <w:t>23</w:t>
      </w:r>
      <w:r w:rsidR="001A1C1C">
        <w:rPr>
          <w:color w:val="000000" w:themeColor="text1"/>
          <w:sz w:val="28"/>
          <w:szCs w:val="28"/>
          <w:lang w:val="en-US"/>
        </w:rPr>
        <w:fldChar w:fldCharType="end"/>
      </w:r>
      <w:r w:rsidR="00816023" w:rsidRPr="00625A76">
        <w:rPr>
          <w:color w:val="000000" w:themeColor="text1"/>
          <w:sz w:val="28"/>
          <w:szCs w:val="28"/>
          <w:lang w:val="en-US"/>
        </w:rPr>
        <w:t xml:space="preserve"> </w:t>
      </w:r>
      <w:r w:rsidR="00026C3F" w:rsidRPr="00625A76">
        <w:rPr>
          <w:color w:val="000000" w:themeColor="text1"/>
          <w:sz w:val="28"/>
          <w:szCs w:val="28"/>
          <w:lang w:val="en-US"/>
        </w:rPr>
        <w:t xml:space="preserve"> </w:t>
      </w:r>
      <w:r w:rsidR="00BD743E" w:rsidRPr="00625A76">
        <w:rPr>
          <w:color w:val="000000" w:themeColor="text1"/>
          <w:sz w:val="28"/>
          <w:szCs w:val="28"/>
          <w:lang w:val="en-US"/>
        </w:rPr>
        <w:t>In countries where genomic assays are not available, clinical parameters can be used to de-escalate chemotherapy, but may be less reliable.</w:t>
      </w:r>
      <w:r w:rsidR="00D755F6" w:rsidRPr="00625A76">
        <w:rPr>
          <w:color w:val="000000" w:themeColor="text1"/>
          <w:sz w:val="28"/>
          <w:szCs w:val="28"/>
          <w:lang w:val="en-US"/>
        </w:rPr>
        <w:t xml:space="preserve"> </w:t>
      </w:r>
    </w:p>
    <w:p w14:paraId="28A48134" w14:textId="77777777" w:rsidR="008A5A01" w:rsidRPr="00625A76" w:rsidRDefault="008A5A01" w:rsidP="00083C5D">
      <w:pPr>
        <w:rPr>
          <w:color w:val="000000" w:themeColor="text1"/>
          <w:sz w:val="28"/>
          <w:szCs w:val="28"/>
          <w:lang w:val="en-US"/>
        </w:rPr>
      </w:pPr>
    </w:p>
    <w:p w14:paraId="49FD7C1C" w14:textId="77777777" w:rsidR="008A5A01" w:rsidRPr="00625A76" w:rsidRDefault="008A5A01" w:rsidP="000E6A80">
      <w:pPr>
        <w:pBdr>
          <w:top w:val="single" w:sz="4" w:space="1" w:color="auto"/>
          <w:left w:val="single" w:sz="4" w:space="4" w:color="auto"/>
          <w:bottom w:val="single" w:sz="4" w:space="1" w:color="auto"/>
          <w:right w:val="single" w:sz="4" w:space="4" w:color="auto"/>
        </w:pBdr>
        <w:rPr>
          <w:b/>
          <w:color w:val="000000" w:themeColor="text1"/>
          <w:sz w:val="32"/>
          <w:szCs w:val="32"/>
          <w:lang w:val="en-US"/>
        </w:rPr>
      </w:pPr>
      <w:r w:rsidRPr="00625A76">
        <w:rPr>
          <w:b/>
          <w:color w:val="000000" w:themeColor="text1"/>
          <w:sz w:val="32"/>
          <w:szCs w:val="32"/>
          <w:lang w:val="en-US"/>
        </w:rPr>
        <w:t>The way forward</w:t>
      </w:r>
    </w:p>
    <w:p w14:paraId="1C8F1E4F" w14:textId="77777777" w:rsidR="008A5A01" w:rsidRPr="00625A76" w:rsidRDefault="008A5A01" w:rsidP="00083C5D">
      <w:pPr>
        <w:rPr>
          <w:b/>
          <w:color w:val="000000" w:themeColor="text1"/>
          <w:sz w:val="32"/>
          <w:szCs w:val="32"/>
          <w:lang w:val="en-US"/>
        </w:rPr>
      </w:pPr>
    </w:p>
    <w:p w14:paraId="398A71E6" w14:textId="49A8F636" w:rsidR="008A5A01" w:rsidRPr="00625A76" w:rsidRDefault="008A5A01" w:rsidP="00083C5D">
      <w:pPr>
        <w:rPr>
          <w:b/>
          <w:color w:val="000000" w:themeColor="text1"/>
          <w:sz w:val="32"/>
          <w:szCs w:val="32"/>
          <w:u w:val="single"/>
          <w:lang w:val="en-US"/>
        </w:rPr>
      </w:pPr>
      <w:r w:rsidRPr="00625A76">
        <w:rPr>
          <w:b/>
          <w:color w:val="000000" w:themeColor="text1"/>
          <w:sz w:val="32"/>
          <w:szCs w:val="32"/>
          <w:u w:val="single"/>
          <w:lang w:val="en-US"/>
        </w:rPr>
        <w:t>Involv</w:t>
      </w:r>
      <w:r w:rsidR="000E6A80" w:rsidRPr="00625A76">
        <w:rPr>
          <w:b/>
          <w:color w:val="000000" w:themeColor="text1"/>
          <w:sz w:val="32"/>
          <w:szCs w:val="32"/>
          <w:u w:val="single"/>
          <w:lang w:val="en-US"/>
        </w:rPr>
        <w:t>i</w:t>
      </w:r>
      <w:r w:rsidRPr="00625A76">
        <w:rPr>
          <w:b/>
          <w:color w:val="000000" w:themeColor="text1"/>
          <w:sz w:val="32"/>
          <w:szCs w:val="32"/>
          <w:u w:val="single"/>
          <w:lang w:val="en-US"/>
        </w:rPr>
        <w:t>ng</w:t>
      </w:r>
      <w:r w:rsidR="005B55B9" w:rsidRPr="00625A76">
        <w:rPr>
          <w:b/>
          <w:color w:val="000000" w:themeColor="text1"/>
          <w:sz w:val="32"/>
          <w:szCs w:val="32"/>
          <w:u w:val="single"/>
          <w:lang w:val="en-US"/>
        </w:rPr>
        <w:t xml:space="preserve"> </w:t>
      </w:r>
      <w:r w:rsidRPr="00625A76">
        <w:rPr>
          <w:b/>
          <w:color w:val="000000" w:themeColor="text1"/>
          <w:sz w:val="32"/>
          <w:szCs w:val="32"/>
          <w:u w:val="single"/>
          <w:lang w:val="en-US"/>
        </w:rPr>
        <w:t>patients in the design and conduct of de-escalation trials</w:t>
      </w:r>
    </w:p>
    <w:p w14:paraId="0F405D0C" w14:textId="11EE7973" w:rsidR="004054B6" w:rsidRPr="00625A76" w:rsidRDefault="00C63711" w:rsidP="002F3AF2">
      <w:pPr>
        <w:jc w:val="both"/>
        <w:rPr>
          <w:rFonts w:ascii="Calibri" w:eastAsia="Yu Mincho" w:hAnsi="Calibri" w:cs="Times New Roman"/>
          <w:bCs/>
          <w:color w:val="000000" w:themeColor="text1"/>
          <w:sz w:val="28"/>
          <w:szCs w:val="28"/>
          <w:lang w:val="en-US" w:eastAsia="ja-JP"/>
        </w:rPr>
      </w:pPr>
      <w:r w:rsidRPr="00625A76">
        <w:rPr>
          <w:rFonts w:ascii="Calibri" w:eastAsia="Yu Mincho" w:hAnsi="Calibri" w:cs="Times New Roman"/>
          <w:bCs/>
          <w:color w:val="000000" w:themeColor="text1"/>
          <w:sz w:val="28"/>
          <w:szCs w:val="28"/>
          <w:lang w:val="en-US" w:eastAsia="ja-JP"/>
        </w:rPr>
        <w:t>In the context of the BIG-NABCG meeting</w:t>
      </w:r>
      <w:r w:rsidR="00822B17" w:rsidRPr="00625A76">
        <w:rPr>
          <w:rFonts w:ascii="Calibri" w:eastAsia="Yu Mincho" w:hAnsi="Calibri" w:cs="Times New Roman"/>
          <w:bCs/>
          <w:color w:val="000000" w:themeColor="text1"/>
          <w:sz w:val="28"/>
          <w:szCs w:val="28"/>
          <w:lang w:val="en-US" w:eastAsia="ja-JP"/>
        </w:rPr>
        <w:t xml:space="preserve"> 2019</w:t>
      </w:r>
      <w:r w:rsidRPr="00625A76">
        <w:rPr>
          <w:rFonts w:ascii="Calibri" w:eastAsia="Yu Mincho" w:hAnsi="Calibri" w:cs="Times New Roman"/>
          <w:bCs/>
          <w:color w:val="000000" w:themeColor="text1"/>
          <w:sz w:val="28"/>
          <w:szCs w:val="28"/>
          <w:lang w:val="en-US" w:eastAsia="ja-JP"/>
        </w:rPr>
        <w:t xml:space="preserve">, </w:t>
      </w:r>
      <w:r w:rsidR="006F28FD" w:rsidRPr="00625A76">
        <w:rPr>
          <w:rFonts w:ascii="Calibri" w:eastAsia="Yu Mincho" w:hAnsi="Calibri" w:cs="Times New Roman"/>
          <w:bCs/>
          <w:color w:val="000000" w:themeColor="text1"/>
          <w:sz w:val="28"/>
          <w:szCs w:val="28"/>
          <w:lang w:val="en-US" w:eastAsia="ja-JP"/>
        </w:rPr>
        <w:t>two</w:t>
      </w:r>
      <w:r w:rsidR="004054B6" w:rsidRPr="00625A76" w:rsidDel="008B4E71">
        <w:rPr>
          <w:rFonts w:ascii="Calibri" w:eastAsia="Yu Mincho" w:hAnsi="Calibri" w:cs="Times New Roman"/>
          <w:bCs/>
          <w:color w:val="000000" w:themeColor="text1"/>
          <w:sz w:val="28"/>
          <w:szCs w:val="28"/>
          <w:lang w:val="en-US" w:eastAsia="ja-JP"/>
        </w:rPr>
        <w:t xml:space="preserve"> workshops were held in </w:t>
      </w:r>
      <w:r w:rsidR="001F3045" w:rsidRPr="00625A76" w:rsidDel="008B4E71">
        <w:rPr>
          <w:rFonts w:ascii="Calibri" w:eastAsia="Yu Mincho" w:hAnsi="Calibri" w:cs="Times New Roman"/>
          <w:bCs/>
          <w:color w:val="000000" w:themeColor="text1"/>
          <w:sz w:val="28"/>
          <w:szCs w:val="28"/>
          <w:lang w:val="en-US" w:eastAsia="ja-JP"/>
        </w:rPr>
        <w:t>B</w:t>
      </w:r>
      <w:r w:rsidR="001F3045" w:rsidRPr="00625A76">
        <w:rPr>
          <w:rFonts w:ascii="Calibri" w:eastAsia="Yu Mincho" w:hAnsi="Calibri" w:cs="Times New Roman"/>
          <w:bCs/>
          <w:color w:val="000000" w:themeColor="text1"/>
          <w:sz w:val="28"/>
          <w:szCs w:val="28"/>
          <w:lang w:val="en-US" w:eastAsia="ja-JP"/>
        </w:rPr>
        <w:t>elgium</w:t>
      </w:r>
      <w:r w:rsidR="001F3045" w:rsidRPr="00625A76" w:rsidDel="008B4E71">
        <w:rPr>
          <w:rFonts w:ascii="Calibri" w:eastAsia="Yu Mincho" w:hAnsi="Calibri" w:cs="Times New Roman"/>
          <w:bCs/>
          <w:color w:val="000000" w:themeColor="text1"/>
          <w:sz w:val="28"/>
          <w:szCs w:val="28"/>
          <w:lang w:val="en-US" w:eastAsia="ja-JP"/>
        </w:rPr>
        <w:t xml:space="preserve"> </w:t>
      </w:r>
      <w:r w:rsidR="004054B6" w:rsidRPr="00625A76" w:rsidDel="008B4E71">
        <w:rPr>
          <w:rFonts w:ascii="Calibri" w:eastAsia="Yu Mincho" w:hAnsi="Calibri" w:cs="Times New Roman"/>
          <w:bCs/>
          <w:color w:val="000000" w:themeColor="text1"/>
          <w:sz w:val="28"/>
          <w:szCs w:val="28"/>
          <w:lang w:val="en-US" w:eastAsia="ja-JP"/>
        </w:rPr>
        <w:t xml:space="preserve">and the U.S. to discuss </w:t>
      </w:r>
      <w:r w:rsidR="00AE0A91" w:rsidRPr="00625A76">
        <w:rPr>
          <w:rFonts w:ascii="Calibri" w:eastAsia="Yu Mincho" w:hAnsi="Calibri" w:cs="Times New Roman"/>
          <w:bCs/>
          <w:color w:val="000000" w:themeColor="text1"/>
          <w:sz w:val="28"/>
          <w:szCs w:val="28"/>
          <w:lang w:val="en-US" w:eastAsia="ja-JP"/>
        </w:rPr>
        <w:t>perspective</w:t>
      </w:r>
      <w:r w:rsidRPr="00625A76">
        <w:rPr>
          <w:rFonts w:ascii="Calibri" w:eastAsia="Yu Mincho" w:hAnsi="Calibri" w:cs="Times New Roman"/>
          <w:bCs/>
          <w:color w:val="000000" w:themeColor="text1"/>
          <w:sz w:val="28"/>
          <w:szCs w:val="28"/>
          <w:lang w:val="en-US" w:eastAsia="ja-JP"/>
        </w:rPr>
        <w:t>s on</w:t>
      </w:r>
      <w:r w:rsidR="00AE0A91" w:rsidRPr="00625A76">
        <w:rPr>
          <w:rFonts w:ascii="Calibri" w:eastAsia="Yu Mincho" w:hAnsi="Calibri" w:cs="Times New Roman"/>
          <w:bCs/>
          <w:color w:val="000000" w:themeColor="text1"/>
          <w:sz w:val="28"/>
          <w:szCs w:val="28"/>
          <w:lang w:val="en-US" w:eastAsia="ja-JP"/>
        </w:rPr>
        <w:t xml:space="preserve"> </w:t>
      </w:r>
      <w:r w:rsidR="004054B6" w:rsidRPr="00625A76" w:rsidDel="008B4E71">
        <w:rPr>
          <w:rFonts w:ascii="Calibri" w:eastAsia="Yu Mincho" w:hAnsi="Calibri" w:cs="Times New Roman"/>
          <w:bCs/>
          <w:color w:val="000000" w:themeColor="text1"/>
          <w:sz w:val="28"/>
          <w:szCs w:val="28"/>
          <w:lang w:val="en-US" w:eastAsia="ja-JP"/>
        </w:rPr>
        <w:t xml:space="preserve">various de-escalation strategies and </w:t>
      </w:r>
      <w:r w:rsidR="0097638F" w:rsidRPr="00625A76">
        <w:rPr>
          <w:rFonts w:ascii="Calibri" w:eastAsia="Yu Mincho" w:hAnsi="Calibri" w:cs="Times New Roman"/>
          <w:bCs/>
          <w:color w:val="000000" w:themeColor="text1"/>
          <w:sz w:val="28"/>
          <w:szCs w:val="28"/>
          <w:lang w:val="en-US" w:eastAsia="ja-JP"/>
        </w:rPr>
        <w:t xml:space="preserve">to </w:t>
      </w:r>
      <w:r w:rsidR="004054B6" w:rsidRPr="00625A76" w:rsidDel="008B4E71">
        <w:rPr>
          <w:rFonts w:ascii="Calibri" w:eastAsia="Yu Mincho" w:hAnsi="Calibri" w:cs="Times New Roman"/>
          <w:bCs/>
          <w:color w:val="000000" w:themeColor="text1"/>
          <w:sz w:val="28"/>
          <w:szCs w:val="28"/>
          <w:lang w:val="en-US" w:eastAsia="ja-JP"/>
        </w:rPr>
        <w:t xml:space="preserve">evaluate </w:t>
      </w:r>
      <w:r w:rsidRPr="00625A76">
        <w:rPr>
          <w:rFonts w:ascii="Calibri" w:eastAsia="Yu Mincho" w:hAnsi="Calibri" w:cs="Times New Roman"/>
          <w:bCs/>
          <w:color w:val="000000" w:themeColor="text1"/>
          <w:sz w:val="28"/>
          <w:szCs w:val="28"/>
          <w:lang w:val="en-US" w:eastAsia="ja-JP"/>
        </w:rPr>
        <w:t xml:space="preserve">patient </w:t>
      </w:r>
      <w:r w:rsidR="004054B6" w:rsidRPr="00625A76" w:rsidDel="008B4E71">
        <w:rPr>
          <w:rFonts w:ascii="Calibri" w:eastAsia="Yu Mincho" w:hAnsi="Calibri" w:cs="Times New Roman"/>
          <w:bCs/>
          <w:color w:val="000000" w:themeColor="text1"/>
          <w:sz w:val="28"/>
          <w:szCs w:val="28"/>
          <w:lang w:val="en-US" w:eastAsia="ja-JP"/>
        </w:rPr>
        <w:t xml:space="preserve">priorities </w:t>
      </w:r>
      <w:r w:rsidR="001F3045" w:rsidRPr="00625A76">
        <w:rPr>
          <w:rFonts w:ascii="Calibri" w:eastAsia="Yu Mincho" w:hAnsi="Calibri" w:cs="Times New Roman"/>
          <w:bCs/>
          <w:color w:val="000000" w:themeColor="text1"/>
          <w:sz w:val="28"/>
          <w:szCs w:val="28"/>
          <w:lang w:val="en-US" w:eastAsia="ja-JP"/>
        </w:rPr>
        <w:t xml:space="preserve">for </w:t>
      </w:r>
      <w:r w:rsidR="004054B6" w:rsidRPr="00625A76" w:rsidDel="008B4E71">
        <w:rPr>
          <w:rFonts w:ascii="Calibri" w:eastAsia="Yu Mincho" w:hAnsi="Calibri" w:cs="Times New Roman"/>
          <w:bCs/>
          <w:color w:val="000000" w:themeColor="text1"/>
          <w:sz w:val="28"/>
          <w:szCs w:val="28"/>
          <w:lang w:val="en-US" w:eastAsia="ja-JP"/>
        </w:rPr>
        <w:t xml:space="preserve">treatment outcome and quality of life. </w:t>
      </w:r>
      <w:r w:rsidR="00AE0A91" w:rsidRPr="00625A76">
        <w:rPr>
          <w:rFonts w:ascii="Calibri" w:eastAsia="Yu Mincho" w:hAnsi="Calibri" w:cs="Times New Roman"/>
          <w:bCs/>
          <w:color w:val="000000" w:themeColor="text1"/>
          <w:sz w:val="28"/>
          <w:szCs w:val="28"/>
          <w:lang w:val="en-US" w:eastAsia="ja-JP"/>
        </w:rPr>
        <w:t>Th</w:t>
      </w:r>
      <w:r w:rsidRPr="00625A76">
        <w:rPr>
          <w:rFonts w:ascii="Calibri" w:eastAsia="Yu Mincho" w:hAnsi="Calibri" w:cs="Times New Roman"/>
          <w:bCs/>
          <w:color w:val="000000" w:themeColor="text1"/>
          <w:sz w:val="28"/>
          <w:szCs w:val="28"/>
          <w:lang w:val="en-US" w:eastAsia="ja-JP"/>
        </w:rPr>
        <w:t>e participants</w:t>
      </w:r>
      <w:r w:rsidR="004054B6" w:rsidRPr="00625A76" w:rsidDel="008B4E71">
        <w:rPr>
          <w:rFonts w:ascii="Calibri" w:eastAsia="Yu Mincho" w:hAnsi="Calibri" w:cs="Times New Roman"/>
          <w:bCs/>
          <w:color w:val="000000" w:themeColor="text1"/>
          <w:sz w:val="28"/>
          <w:szCs w:val="28"/>
          <w:lang w:val="en-US" w:eastAsia="ja-JP"/>
        </w:rPr>
        <w:t xml:space="preserve"> were</w:t>
      </w:r>
      <w:r w:rsidR="00AE0A91" w:rsidRPr="00625A76" w:rsidDel="008B4E71">
        <w:rPr>
          <w:rFonts w:ascii="Calibri" w:eastAsia="Yu Mincho" w:hAnsi="Calibri" w:cs="Times New Roman"/>
          <w:bCs/>
          <w:color w:val="000000" w:themeColor="text1"/>
          <w:sz w:val="28"/>
          <w:szCs w:val="28"/>
          <w:lang w:val="en-US" w:eastAsia="ja-JP"/>
        </w:rPr>
        <w:t xml:space="preserve"> a small</w:t>
      </w:r>
      <w:r w:rsidRPr="00625A76">
        <w:rPr>
          <w:rFonts w:ascii="Calibri" w:eastAsia="Yu Mincho" w:hAnsi="Calibri" w:cs="Times New Roman"/>
          <w:bCs/>
          <w:color w:val="000000" w:themeColor="text1"/>
          <w:sz w:val="28"/>
          <w:szCs w:val="28"/>
          <w:lang w:val="en-US" w:eastAsia="ja-JP"/>
        </w:rPr>
        <w:t>,</w:t>
      </w:r>
      <w:r w:rsidR="00AE0A91" w:rsidRPr="00625A76" w:rsidDel="008B4E71">
        <w:rPr>
          <w:rFonts w:ascii="Calibri" w:eastAsia="Yu Mincho" w:hAnsi="Calibri" w:cs="Times New Roman"/>
          <w:bCs/>
          <w:color w:val="000000" w:themeColor="text1"/>
          <w:sz w:val="28"/>
          <w:szCs w:val="28"/>
          <w:lang w:val="en-US" w:eastAsia="ja-JP"/>
        </w:rPr>
        <w:t xml:space="preserve"> select</w:t>
      </w:r>
      <w:r w:rsidR="003E61C2" w:rsidRPr="00625A76">
        <w:rPr>
          <w:rFonts w:ascii="Calibri" w:eastAsia="Yu Mincho" w:hAnsi="Calibri" w:cs="Times New Roman"/>
          <w:bCs/>
          <w:color w:val="000000" w:themeColor="text1"/>
          <w:sz w:val="28"/>
          <w:szCs w:val="28"/>
          <w:lang w:val="en-US" w:eastAsia="ja-JP"/>
        </w:rPr>
        <w:t>ed</w:t>
      </w:r>
      <w:r w:rsidR="00AE0A91" w:rsidRPr="00625A76" w:rsidDel="008B4E71">
        <w:rPr>
          <w:rFonts w:ascii="Calibri" w:eastAsia="Yu Mincho" w:hAnsi="Calibri" w:cs="Times New Roman"/>
          <w:bCs/>
          <w:color w:val="000000" w:themeColor="text1"/>
          <w:sz w:val="28"/>
          <w:szCs w:val="28"/>
          <w:lang w:val="en-US" w:eastAsia="ja-JP"/>
        </w:rPr>
        <w:t xml:space="preserve"> group of </w:t>
      </w:r>
      <w:r w:rsidRPr="00625A76">
        <w:rPr>
          <w:rFonts w:ascii="Calibri" w:eastAsia="Yu Mincho" w:hAnsi="Calibri" w:cs="Times New Roman"/>
          <w:bCs/>
          <w:color w:val="000000" w:themeColor="text1"/>
          <w:sz w:val="28"/>
          <w:szCs w:val="28"/>
          <w:lang w:val="en-US" w:eastAsia="ja-JP"/>
        </w:rPr>
        <w:t xml:space="preserve">breast cancer </w:t>
      </w:r>
      <w:r w:rsidR="00AE0A91" w:rsidRPr="00625A76" w:rsidDel="008B4E71">
        <w:rPr>
          <w:rFonts w:ascii="Calibri" w:eastAsia="Yu Mincho" w:hAnsi="Calibri" w:cs="Times New Roman"/>
          <w:bCs/>
          <w:color w:val="000000" w:themeColor="text1"/>
          <w:sz w:val="28"/>
          <w:szCs w:val="28"/>
          <w:lang w:val="en-US" w:eastAsia="ja-JP"/>
        </w:rPr>
        <w:t xml:space="preserve">patients, </w:t>
      </w:r>
      <w:r w:rsidR="00F60810">
        <w:rPr>
          <w:rFonts w:ascii="Calibri" w:eastAsia="Yu Mincho" w:hAnsi="Calibri" w:cs="Times New Roman"/>
          <w:bCs/>
          <w:color w:val="000000" w:themeColor="text1"/>
          <w:sz w:val="28"/>
          <w:szCs w:val="28"/>
          <w:lang w:val="en-US" w:eastAsia="ja-JP"/>
        </w:rPr>
        <w:t>with</w:t>
      </w:r>
      <w:r w:rsidR="00AE0A91" w:rsidRPr="00625A76" w:rsidDel="008B4E71">
        <w:rPr>
          <w:rFonts w:ascii="Calibri" w:eastAsia="Yu Mincho" w:hAnsi="Calibri" w:cs="Times New Roman"/>
          <w:bCs/>
          <w:color w:val="000000" w:themeColor="text1"/>
          <w:sz w:val="28"/>
          <w:szCs w:val="28"/>
          <w:lang w:val="en-US" w:eastAsia="ja-JP"/>
        </w:rPr>
        <w:t xml:space="preserve"> a variety in age, </w:t>
      </w:r>
      <w:r w:rsidR="007513F1" w:rsidRPr="00625A76">
        <w:rPr>
          <w:rFonts w:ascii="Calibri" w:eastAsia="Yu Mincho" w:hAnsi="Calibri" w:cs="Times New Roman"/>
          <w:bCs/>
          <w:color w:val="000000" w:themeColor="text1"/>
          <w:sz w:val="28"/>
          <w:szCs w:val="28"/>
          <w:lang w:val="en-US" w:eastAsia="ja-JP"/>
        </w:rPr>
        <w:t xml:space="preserve">gender, </w:t>
      </w:r>
      <w:r w:rsidR="0077794A" w:rsidRPr="00625A76">
        <w:rPr>
          <w:rFonts w:ascii="Calibri" w:eastAsia="Yu Mincho" w:hAnsi="Calibri" w:cs="Times New Roman"/>
          <w:bCs/>
          <w:color w:val="000000" w:themeColor="text1"/>
          <w:sz w:val="28"/>
          <w:szCs w:val="28"/>
          <w:lang w:val="en-US" w:eastAsia="ja-JP"/>
        </w:rPr>
        <w:t xml:space="preserve">nationality, </w:t>
      </w:r>
      <w:r w:rsidR="00AE0A91" w:rsidRPr="00625A76" w:rsidDel="008B4E71">
        <w:rPr>
          <w:rFonts w:ascii="Calibri" w:eastAsia="Yu Mincho" w:hAnsi="Calibri" w:cs="Times New Roman"/>
          <w:bCs/>
          <w:color w:val="000000" w:themeColor="text1"/>
          <w:sz w:val="28"/>
          <w:szCs w:val="28"/>
          <w:lang w:val="en-US" w:eastAsia="ja-JP"/>
        </w:rPr>
        <w:t>work background</w:t>
      </w:r>
      <w:r w:rsidR="00E50AC1" w:rsidRPr="00625A76">
        <w:rPr>
          <w:rFonts w:ascii="Calibri" w:eastAsia="Yu Mincho" w:hAnsi="Calibri" w:cs="Times New Roman"/>
          <w:bCs/>
          <w:color w:val="000000" w:themeColor="text1"/>
          <w:sz w:val="28"/>
          <w:szCs w:val="28"/>
          <w:lang w:val="en-US" w:eastAsia="ja-JP"/>
        </w:rPr>
        <w:t>, family situation</w:t>
      </w:r>
      <w:r w:rsidR="00AE0A91" w:rsidRPr="00625A76" w:rsidDel="008B4E71">
        <w:rPr>
          <w:rFonts w:ascii="Calibri" w:eastAsia="Yu Mincho" w:hAnsi="Calibri" w:cs="Times New Roman"/>
          <w:bCs/>
          <w:color w:val="000000" w:themeColor="text1"/>
          <w:sz w:val="28"/>
          <w:szCs w:val="28"/>
          <w:lang w:val="en-US" w:eastAsia="ja-JP"/>
        </w:rPr>
        <w:t xml:space="preserve"> and </w:t>
      </w:r>
      <w:r w:rsidRPr="00625A76">
        <w:rPr>
          <w:rFonts w:ascii="Calibri" w:eastAsia="Yu Mincho" w:hAnsi="Calibri" w:cs="Times New Roman"/>
          <w:bCs/>
          <w:color w:val="000000" w:themeColor="text1"/>
          <w:sz w:val="28"/>
          <w:szCs w:val="28"/>
          <w:lang w:val="en-US" w:eastAsia="ja-JP"/>
        </w:rPr>
        <w:t>disease</w:t>
      </w:r>
      <w:r w:rsidR="00AE0A91" w:rsidRPr="00625A76" w:rsidDel="008B4E71">
        <w:rPr>
          <w:rFonts w:ascii="Calibri" w:eastAsia="Yu Mincho" w:hAnsi="Calibri" w:cs="Times New Roman"/>
          <w:bCs/>
          <w:color w:val="000000" w:themeColor="text1"/>
          <w:sz w:val="28"/>
          <w:szCs w:val="28"/>
          <w:lang w:val="en-US" w:eastAsia="ja-JP"/>
        </w:rPr>
        <w:t xml:space="preserve"> stage. </w:t>
      </w:r>
      <w:r w:rsidR="00AE0A91" w:rsidRPr="00625A76">
        <w:rPr>
          <w:rFonts w:ascii="Calibri" w:eastAsia="Yu Mincho" w:hAnsi="Calibri" w:cs="Times New Roman"/>
          <w:bCs/>
          <w:color w:val="000000" w:themeColor="text1"/>
          <w:sz w:val="28"/>
          <w:szCs w:val="28"/>
          <w:lang w:val="en-US" w:eastAsia="ja-JP"/>
        </w:rPr>
        <w:t>They were oriented</w:t>
      </w:r>
      <w:r w:rsidR="004054B6" w:rsidRPr="00625A76" w:rsidDel="008B4E71">
        <w:rPr>
          <w:rFonts w:ascii="Calibri" w:eastAsia="Yu Mincho" w:hAnsi="Calibri" w:cs="Times New Roman"/>
          <w:bCs/>
          <w:color w:val="000000" w:themeColor="text1"/>
          <w:sz w:val="28"/>
          <w:szCs w:val="28"/>
          <w:lang w:val="en-US" w:eastAsia="ja-JP"/>
        </w:rPr>
        <w:t xml:space="preserve"> </w:t>
      </w:r>
      <w:r w:rsidR="003E61C2" w:rsidRPr="00625A76">
        <w:rPr>
          <w:rFonts w:ascii="Calibri" w:eastAsia="Yu Mincho" w:hAnsi="Calibri" w:cs="Times New Roman"/>
          <w:bCs/>
          <w:color w:val="000000" w:themeColor="text1"/>
          <w:sz w:val="28"/>
          <w:szCs w:val="28"/>
          <w:lang w:val="en-US" w:eastAsia="ja-JP"/>
        </w:rPr>
        <w:t>to principles of</w:t>
      </w:r>
      <w:r w:rsidR="004054B6" w:rsidRPr="00625A76" w:rsidDel="008B4E71">
        <w:rPr>
          <w:rFonts w:ascii="Calibri" w:eastAsia="Yu Mincho" w:hAnsi="Calibri" w:cs="Times New Roman"/>
          <w:bCs/>
          <w:color w:val="000000" w:themeColor="text1"/>
          <w:sz w:val="28"/>
          <w:szCs w:val="28"/>
          <w:lang w:val="en-US" w:eastAsia="ja-JP"/>
        </w:rPr>
        <w:t xml:space="preserve"> trial </w:t>
      </w:r>
      <w:r w:rsidRPr="00625A76">
        <w:rPr>
          <w:rFonts w:ascii="Calibri" w:eastAsia="Yu Mincho" w:hAnsi="Calibri" w:cs="Times New Roman"/>
          <w:bCs/>
          <w:color w:val="000000" w:themeColor="text1"/>
          <w:sz w:val="28"/>
          <w:szCs w:val="28"/>
          <w:lang w:val="en-US" w:eastAsia="ja-JP"/>
        </w:rPr>
        <w:t>design</w:t>
      </w:r>
      <w:r w:rsidR="004054B6" w:rsidRPr="00625A76" w:rsidDel="008B4E71">
        <w:rPr>
          <w:rFonts w:ascii="Calibri" w:eastAsia="Yu Mincho" w:hAnsi="Calibri" w:cs="Times New Roman"/>
          <w:bCs/>
          <w:color w:val="000000" w:themeColor="text1"/>
          <w:sz w:val="28"/>
          <w:szCs w:val="28"/>
          <w:lang w:val="en-US" w:eastAsia="ja-JP"/>
        </w:rPr>
        <w:t xml:space="preserve"> and outcomes of various de-escalation studies</w:t>
      </w:r>
      <w:r w:rsidR="00AE0A91" w:rsidRPr="00625A76">
        <w:rPr>
          <w:rFonts w:ascii="Calibri" w:eastAsia="Yu Mincho" w:hAnsi="Calibri" w:cs="Times New Roman"/>
          <w:bCs/>
          <w:color w:val="000000" w:themeColor="text1"/>
          <w:sz w:val="28"/>
          <w:szCs w:val="28"/>
          <w:lang w:val="en-US" w:eastAsia="ja-JP"/>
        </w:rPr>
        <w:t xml:space="preserve"> as well as basic statistical concepts. Subsequently</w:t>
      </w:r>
      <w:r w:rsidR="004054B6" w:rsidRPr="00625A76" w:rsidDel="008B4E71">
        <w:rPr>
          <w:rFonts w:ascii="Calibri" w:eastAsia="Yu Mincho" w:hAnsi="Calibri" w:cs="Times New Roman"/>
          <w:bCs/>
          <w:color w:val="000000" w:themeColor="text1"/>
          <w:sz w:val="28"/>
          <w:szCs w:val="28"/>
          <w:lang w:val="en-US" w:eastAsia="ja-JP"/>
        </w:rPr>
        <w:t>,</w:t>
      </w:r>
      <w:r w:rsidR="00AE0A91" w:rsidRPr="00625A76">
        <w:rPr>
          <w:rFonts w:ascii="Calibri" w:eastAsia="Yu Mincho" w:hAnsi="Calibri" w:cs="Times New Roman"/>
          <w:bCs/>
          <w:color w:val="000000" w:themeColor="text1"/>
          <w:sz w:val="28"/>
          <w:szCs w:val="28"/>
          <w:lang w:val="en-US" w:eastAsia="ja-JP"/>
        </w:rPr>
        <w:t xml:space="preserve"> they were</w:t>
      </w:r>
      <w:r w:rsidR="004054B6" w:rsidRPr="00625A76" w:rsidDel="008B4E71">
        <w:rPr>
          <w:rFonts w:ascii="Calibri" w:eastAsia="Yu Mincho" w:hAnsi="Calibri" w:cs="Times New Roman"/>
          <w:bCs/>
          <w:color w:val="000000" w:themeColor="text1"/>
          <w:sz w:val="28"/>
          <w:szCs w:val="28"/>
          <w:lang w:val="en-US" w:eastAsia="ja-JP"/>
        </w:rPr>
        <w:t xml:space="preserve"> asked whether they would have been willing to participate in these trials at the </w:t>
      </w:r>
      <w:r w:rsidR="004054B6" w:rsidRPr="00625A76" w:rsidDel="008B4E71">
        <w:rPr>
          <w:rFonts w:ascii="Calibri" w:eastAsia="Yu Mincho" w:hAnsi="Calibri" w:cs="Times New Roman"/>
          <w:bCs/>
          <w:color w:val="000000" w:themeColor="text1"/>
          <w:sz w:val="28"/>
          <w:szCs w:val="28"/>
          <w:lang w:val="en-US" w:eastAsia="ja-JP"/>
        </w:rPr>
        <w:lastRenderedPageBreak/>
        <w:t xml:space="preserve">time of their diagnosis and whether their </w:t>
      </w:r>
      <w:r w:rsidR="00AE0A91" w:rsidRPr="00625A76">
        <w:rPr>
          <w:rFonts w:ascii="Calibri" w:eastAsia="Yu Mincho" w:hAnsi="Calibri" w:cs="Times New Roman"/>
          <w:bCs/>
          <w:color w:val="000000" w:themeColor="text1"/>
          <w:sz w:val="28"/>
          <w:szCs w:val="28"/>
          <w:lang w:val="en-US" w:eastAsia="ja-JP"/>
        </w:rPr>
        <w:t>decision would have changed following the focused group discussion</w:t>
      </w:r>
      <w:r w:rsidR="004054B6" w:rsidRPr="00625A76" w:rsidDel="008B4E71">
        <w:rPr>
          <w:rFonts w:ascii="Calibri" w:eastAsia="Yu Mincho" w:hAnsi="Calibri" w:cs="Times New Roman"/>
          <w:bCs/>
          <w:color w:val="000000" w:themeColor="text1"/>
          <w:sz w:val="28"/>
          <w:szCs w:val="28"/>
          <w:lang w:val="en-US" w:eastAsia="ja-JP"/>
        </w:rPr>
        <w:t xml:space="preserve">. </w:t>
      </w:r>
    </w:p>
    <w:p w14:paraId="57C43B74" w14:textId="17F46E44" w:rsidR="00650564" w:rsidRPr="00625A76" w:rsidRDefault="004054B6" w:rsidP="002F3AF2">
      <w:pPr>
        <w:jc w:val="both"/>
        <w:rPr>
          <w:rFonts w:ascii="Calibri" w:eastAsia="Yu Mincho" w:hAnsi="Calibri" w:cs="Times New Roman"/>
          <w:color w:val="000000" w:themeColor="text1"/>
          <w:sz w:val="28"/>
          <w:szCs w:val="28"/>
          <w:lang w:val="en-US" w:eastAsia="ja-JP"/>
        </w:rPr>
      </w:pPr>
      <w:r w:rsidRPr="00625A76">
        <w:rPr>
          <w:rFonts w:ascii="Calibri" w:eastAsia="Yu Mincho" w:hAnsi="Calibri" w:cs="Times New Roman"/>
          <w:color w:val="000000" w:themeColor="text1"/>
          <w:sz w:val="28"/>
          <w:szCs w:val="28"/>
          <w:lang w:val="en-US" w:eastAsia="ja-JP"/>
        </w:rPr>
        <w:t>While breast cancer patients</w:t>
      </w:r>
      <w:r w:rsidR="00E50AC1" w:rsidRPr="00625A76">
        <w:rPr>
          <w:rFonts w:ascii="Calibri" w:eastAsia="Yu Mincho" w:hAnsi="Calibri" w:cs="Times New Roman"/>
          <w:color w:val="000000" w:themeColor="text1"/>
          <w:sz w:val="28"/>
          <w:szCs w:val="28"/>
          <w:lang w:val="en-US" w:eastAsia="ja-JP"/>
        </w:rPr>
        <w:t xml:space="preserve"> </w:t>
      </w:r>
      <w:r w:rsidRPr="00625A76">
        <w:rPr>
          <w:rFonts w:ascii="Calibri" w:eastAsia="Yu Mincho" w:hAnsi="Calibri" w:cs="Times New Roman"/>
          <w:color w:val="000000" w:themeColor="text1"/>
          <w:sz w:val="28"/>
          <w:szCs w:val="28"/>
          <w:lang w:val="en-US" w:eastAsia="ja-JP"/>
        </w:rPr>
        <w:t>are cognizant of the benefits of chemotherapy and radiotherapy, they may be</w:t>
      </w:r>
      <w:r w:rsidR="00A402BC" w:rsidRPr="00625A76">
        <w:rPr>
          <w:rFonts w:ascii="Calibri" w:eastAsia="Yu Mincho" w:hAnsi="Calibri" w:cs="Times New Roman"/>
          <w:color w:val="000000" w:themeColor="text1"/>
          <w:sz w:val="28"/>
          <w:szCs w:val="28"/>
          <w:lang w:val="en-US" w:eastAsia="ja-JP"/>
        </w:rPr>
        <w:t xml:space="preserve"> less</w:t>
      </w:r>
      <w:r w:rsidRPr="00625A76">
        <w:rPr>
          <w:rFonts w:ascii="Calibri" w:eastAsia="Yu Mincho" w:hAnsi="Calibri" w:cs="Times New Roman"/>
          <w:color w:val="000000" w:themeColor="text1"/>
          <w:sz w:val="28"/>
          <w:szCs w:val="28"/>
          <w:lang w:val="en-US" w:eastAsia="ja-JP"/>
        </w:rPr>
        <w:t xml:space="preserve"> aware of </w:t>
      </w:r>
      <w:r w:rsidR="00822B17" w:rsidRPr="00625A76">
        <w:rPr>
          <w:rFonts w:ascii="Calibri" w:eastAsia="Yu Mincho" w:hAnsi="Calibri" w:cs="Times New Roman"/>
          <w:color w:val="000000" w:themeColor="text1"/>
          <w:sz w:val="28"/>
          <w:szCs w:val="28"/>
          <w:lang w:val="en-US" w:eastAsia="ja-JP"/>
        </w:rPr>
        <w:t xml:space="preserve">or less worried about </w:t>
      </w:r>
      <w:r w:rsidRPr="00625A76">
        <w:rPr>
          <w:rFonts w:ascii="Calibri" w:eastAsia="Yu Mincho" w:hAnsi="Calibri" w:cs="Times New Roman"/>
          <w:color w:val="000000" w:themeColor="text1"/>
          <w:sz w:val="28"/>
          <w:szCs w:val="28"/>
          <w:lang w:val="en-US" w:eastAsia="ja-JP"/>
        </w:rPr>
        <w:t>the long-term side effects of such treatment</w:t>
      </w:r>
      <w:r w:rsidR="00A402BC" w:rsidRPr="00625A76">
        <w:rPr>
          <w:rFonts w:ascii="Calibri" w:eastAsia="Yu Mincho" w:hAnsi="Calibri" w:cs="Times New Roman"/>
          <w:color w:val="000000" w:themeColor="text1"/>
          <w:sz w:val="28"/>
          <w:szCs w:val="28"/>
          <w:lang w:val="en-US" w:eastAsia="ja-JP"/>
        </w:rPr>
        <w:t xml:space="preserve">s </w:t>
      </w:r>
      <w:r w:rsidRPr="00625A76">
        <w:rPr>
          <w:rFonts w:ascii="Calibri" w:eastAsia="Yu Mincho" w:hAnsi="Calibri" w:cs="Times New Roman"/>
          <w:color w:val="000000" w:themeColor="text1"/>
          <w:sz w:val="28"/>
          <w:szCs w:val="28"/>
          <w:lang w:val="en-US" w:eastAsia="ja-JP"/>
        </w:rPr>
        <w:t xml:space="preserve">and why </w:t>
      </w:r>
      <w:r w:rsidR="00D755F6" w:rsidRPr="00625A76">
        <w:rPr>
          <w:rFonts w:ascii="Calibri" w:eastAsia="Yu Mincho" w:hAnsi="Calibri" w:cs="Times New Roman"/>
          <w:color w:val="000000" w:themeColor="text1"/>
          <w:sz w:val="28"/>
          <w:szCs w:val="28"/>
          <w:lang w:val="en-US" w:eastAsia="ja-JP"/>
        </w:rPr>
        <w:t>appropriate tailoring of treatment</w:t>
      </w:r>
      <w:r w:rsidRPr="00625A76">
        <w:rPr>
          <w:rFonts w:ascii="Calibri" w:eastAsia="Yu Mincho" w:hAnsi="Calibri" w:cs="Times New Roman"/>
          <w:color w:val="000000" w:themeColor="text1"/>
          <w:sz w:val="28"/>
          <w:szCs w:val="28"/>
          <w:lang w:val="en-US" w:eastAsia="ja-JP"/>
        </w:rPr>
        <w:t xml:space="preserve"> is so important. </w:t>
      </w:r>
      <w:r w:rsidR="003E61C2" w:rsidRPr="00625A76">
        <w:rPr>
          <w:rFonts w:ascii="Calibri" w:eastAsia="Yu Mincho" w:hAnsi="Calibri" w:cs="Times New Roman"/>
          <w:color w:val="000000" w:themeColor="text1"/>
          <w:sz w:val="28"/>
          <w:szCs w:val="28"/>
          <w:lang w:val="en-US" w:eastAsia="ja-JP"/>
        </w:rPr>
        <w:t>M</w:t>
      </w:r>
      <w:r w:rsidRPr="00625A76">
        <w:rPr>
          <w:rFonts w:ascii="Calibri" w:eastAsia="Yu Mincho" w:hAnsi="Calibri" w:cs="Times New Roman"/>
          <w:color w:val="000000" w:themeColor="text1"/>
          <w:sz w:val="28"/>
          <w:szCs w:val="28"/>
          <w:lang w:val="en-US" w:eastAsia="ja-JP"/>
        </w:rPr>
        <w:t xml:space="preserve">any factors </w:t>
      </w:r>
      <w:r w:rsidR="003E61C2" w:rsidRPr="00625A76">
        <w:rPr>
          <w:rFonts w:ascii="Calibri" w:eastAsia="Yu Mincho" w:hAnsi="Calibri" w:cs="Times New Roman"/>
          <w:color w:val="000000" w:themeColor="text1"/>
          <w:sz w:val="28"/>
          <w:szCs w:val="28"/>
          <w:lang w:val="en-US" w:eastAsia="ja-JP"/>
        </w:rPr>
        <w:t xml:space="preserve">could </w:t>
      </w:r>
      <w:r w:rsidRPr="00625A76">
        <w:rPr>
          <w:rFonts w:ascii="Calibri" w:eastAsia="Yu Mincho" w:hAnsi="Calibri" w:cs="Times New Roman"/>
          <w:color w:val="000000" w:themeColor="text1"/>
          <w:sz w:val="28"/>
          <w:szCs w:val="28"/>
          <w:lang w:val="en-US" w:eastAsia="ja-JP"/>
        </w:rPr>
        <w:t xml:space="preserve">affect a patient’s view on treatment and de-escalation. </w:t>
      </w:r>
      <w:r w:rsidR="00F259B6" w:rsidRPr="00625A76">
        <w:rPr>
          <w:rFonts w:ascii="Calibri" w:eastAsia="Yu Mincho" w:hAnsi="Calibri" w:cs="Times New Roman"/>
          <w:color w:val="000000" w:themeColor="text1"/>
          <w:sz w:val="28"/>
          <w:szCs w:val="28"/>
          <w:lang w:val="en-US" w:eastAsia="ja-JP"/>
        </w:rPr>
        <w:t>A</w:t>
      </w:r>
      <w:r w:rsidRPr="00625A76">
        <w:rPr>
          <w:rFonts w:ascii="Calibri" w:eastAsia="Yu Mincho" w:hAnsi="Calibri" w:cs="Times New Roman"/>
          <w:color w:val="000000" w:themeColor="text1"/>
          <w:sz w:val="28"/>
          <w:szCs w:val="28"/>
          <w:lang w:val="en-US" w:eastAsia="ja-JP"/>
        </w:rPr>
        <w:t xml:space="preserve"> physician’s aversion to uncertainty</w:t>
      </w:r>
      <w:r w:rsidR="00A402BC" w:rsidRPr="00625A76">
        <w:rPr>
          <w:rFonts w:ascii="Calibri" w:eastAsia="Yu Mincho" w:hAnsi="Calibri" w:cs="Times New Roman"/>
          <w:color w:val="000000" w:themeColor="text1"/>
          <w:sz w:val="28"/>
          <w:szCs w:val="28"/>
          <w:lang w:val="en-US" w:eastAsia="ja-JP"/>
        </w:rPr>
        <w:t xml:space="preserve"> will also affect patient’s acceptance of risk. </w:t>
      </w:r>
      <w:r w:rsidR="00200730" w:rsidRPr="00625A76">
        <w:rPr>
          <w:rFonts w:ascii="Calibri" w:eastAsia="Yu Mincho" w:hAnsi="Calibri" w:cs="Times New Roman"/>
          <w:color w:val="000000" w:themeColor="text1"/>
          <w:sz w:val="28"/>
          <w:szCs w:val="28"/>
          <w:lang w:val="en-US" w:eastAsia="ja-JP"/>
        </w:rPr>
        <w:t>Patient’s</w:t>
      </w:r>
      <w:r w:rsidR="00A402BC" w:rsidRPr="00625A76">
        <w:rPr>
          <w:rFonts w:ascii="Calibri" w:eastAsia="Yu Mincho" w:hAnsi="Calibri" w:cs="Times New Roman"/>
          <w:color w:val="000000" w:themeColor="text1"/>
          <w:sz w:val="28"/>
          <w:szCs w:val="28"/>
          <w:lang w:val="en-US" w:eastAsia="ja-JP"/>
        </w:rPr>
        <w:t xml:space="preserve"> </w:t>
      </w:r>
      <w:r w:rsidRPr="00625A76">
        <w:rPr>
          <w:rFonts w:ascii="Calibri" w:eastAsia="Yu Mincho" w:hAnsi="Calibri" w:cs="Times New Roman"/>
          <w:color w:val="000000" w:themeColor="text1"/>
          <w:sz w:val="28"/>
          <w:szCs w:val="28"/>
          <w:lang w:val="en-US" w:eastAsia="ja-JP"/>
        </w:rPr>
        <w:t>expectations are further tempered by</w:t>
      </w:r>
      <w:r w:rsidR="00200730" w:rsidRPr="00625A76">
        <w:rPr>
          <w:rFonts w:ascii="Calibri" w:eastAsia="Yu Mincho" w:hAnsi="Calibri" w:cs="Times New Roman"/>
          <w:color w:val="000000" w:themeColor="text1"/>
          <w:sz w:val="28"/>
          <w:szCs w:val="28"/>
          <w:lang w:val="en-US" w:eastAsia="ja-JP"/>
        </w:rPr>
        <w:t xml:space="preserve"> their feelings of vulnerability at the time of diagnosis,</w:t>
      </w:r>
      <w:r w:rsidRPr="00625A76">
        <w:rPr>
          <w:rFonts w:ascii="Calibri" w:eastAsia="Yu Mincho" w:hAnsi="Calibri" w:cs="Times New Roman"/>
          <w:color w:val="000000" w:themeColor="text1"/>
          <w:sz w:val="28"/>
          <w:szCs w:val="28"/>
          <w:lang w:val="en-US" w:eastAsia="ja-JP"/>
        </w:rPr>
        <w:t xml:space="preserve"> </w:t>
      </w:r>
      <w:r w:rsidR="00FE4203" w:rsidRPr="00625A76">
        <w:rPr>
          <w:rFonts w:ascii="Calibri" w:eastAsia="Yu Mincho" w:hAnsi="Calibri" w:cs="Times New Roman"/>
          <w:color w:val="000000" w:themeColor="text1"/>
          <w:sz w:val="28"/>
          <w:szCs w:val="28"/>
          <w:lang w:val="en-US" w:eastAsia="ja-JP"/>
        </w:rPr>
        <w:t xml:space="preserve">personal values, </w:t>
      </w:r>
      <w:r w:rsidRPr="00625A76">
        <w:rPr>
          <w:rFonts w:ascii="Calibri" w:eastAsia="Yu Mincho" w:hAnsi="Calibri" w:cs="Times New Roman"/>
          <w:color w:val="000000" w:themeColor="text1"/>
          <w:sz w:val="28"/>
          <w:szCs w:val="28"/>
          <w:lang w:val="en-US" w:eastAsia="ja-JP"/>
        </w:rPr>
        <w:t xml:space="preserve">influences </w:t>
      </w:r>
      <w:r w:rsidR="00A402BC" w:rsidRPr="00625A76">
        <w:rPr>
          <w:rFonts w:ascii="Calibri" w:eastAsia="Yu Mincho" w:hAnsi="Calibri" w:cs="Times New Roman"/>
          <w:color w:val="000000" w:themeColor="text1"/>
          <w:sz w:val="28"/>
          <w:szCs w:val="28"/>
          <w:lang w:val="en-US" w:eastAsia="ja-JP"/>
        </w:rPr>
        <w:t>from</w:t>
      </w:r>
      <w:r w:rsidRPr="00625A76">
        <w:rPr>
          <w:rFonts w:ascii="Calibri" w:eastAsia="Yu Mincho" w:hAnsi="Calibri" w:cs="Times New Roman"/>
          <w:color w:val="000000" w:themeColor="text1"/>
          <w:sz w:val="28"/>
          <w:szCs w:val="28"/>
          <w:lang w:val="en-US" w:eastAsia="ja-JP"/>
        </w:rPr>
        <w:t xml:space="preserve"> media</w:t>
      </w:r>
      <w:r w:rsidR="00FE4203" w:rsidRPr="00625A76">
        <w:rPr>
          <w:rFonts w:ascii="Calibri" w:eastAsia="Yu Mincho" w:hAnsi="Calibri" w:cs="Times New Roman"/>
          <w:color w:val="000000" w:themeColor="text1"/>
          <w:sz w:val="28"/>
          <w:szCs w:val="28"/>
          <w:lang w:val="en-US" w:eastAsia="ja-JP"/>
        </w:rPr>
        <w:t>,</w:t>
      </w:r>
      <w:r w:rsidR="00A402BC" w:rsidRPr="00625A76">
        <w:rPr>
          <w:rFonts w:ascii="Calibri" w:eastAsia="Yu Mincho" w:hAnsi="Calibri" w:cs="Times New Roman"/>
          <w:color w:val="000000" w:themeColor="text1"/>
          <w:sz w:val="28"/>
          <w:szCs w:val="28"/>
          <w:lang w:val="en-US" w:eastAsia="ja-JP"/>
        </w:rPr>
        <w:t xml:space="preserve"> social networks</w:t>
      </w:r>
      <w:r w:rsidRPr="00625A76">
        <w:rPr>
          <w:rFonts w:ascii="Calibri" w:eastAsia="Yu Mincho" w:hAnsi="Calibri" w:cs="Times New Roman"/>
          <w:color w:val="000000" w:themeColor="text1"/>
          <w:sz w:val="28"/>
          <w:szCs w:val="28"/>
          <w:lang w:val="en-US" w:eastAsia="ja-JP"/>
        </w:rPr>
        <w:t>,</w:t>
      </w:r>
      <w:r w:rsidR="00A402BC" w:rsidRPr="00625A76">
        <w:rPr>
          <w:rFonts w:ascii="Calibri" w:eastAsia="Yu Mincho" w:hAnsi="Calibri" w:cs="Times New Roman"/>
          <w:color w:val="000000" w:themeColor="text1"/>
          <w:sz w:val="28"/>
          <w:szCs w:val="28"/>
          <w:lang w:val="en-US" w:eastAsia="ja-JP"/>
        </w:rPr>
        <w:t xml:space="preserve"> </w:t>
      </w:r>
      <w:r w:rsidR="00822B17" w:rsidRPr="00625A76">
        <w:rPr>
          <w:rFonts w:ascii="Calibri" w:eastAsia="Yu Mincho" w:hAnsi="Calibri" w:cs="Times New Roman"/>
          <w:color w:val="000000" w:themeColor="text1"/>
          <w:sz w:val="28"/>
          <w:szCs w:val="28"/>
          <w:lang w:val="en-US" w:eastAsia="ja-JP"/>
        </w:rPr>
        <w:t xml:space="preserve">family members, </w:t>
      </w:r>
      <w:r w:rsidR="00A402BC" w:rsidRPr="00625A76">
        <w:rPr>
          <w:rFonts w:ascii="Calibri" w:eastAsia="Yu Mincho" w:hAnsi="Calibri" w:cs="Times New Roman"/>
          <w:color w:val="000000" w:themeColor="text1"/>
          <w:sz w:val="28"/>
          <w:szCs w:val="28"/>
          <w:lang w:val="en-US" w:eastAsia="ja-JP"/>
        </w:rPr>
        <w:t>experience</w:t>
      </w:r>
      <w:r w:rsidR="00CC7EFF" w:rsidRPr="00625A76">
        <w:rPr>
          <w:rFonts w:ascii="Calibri" w:eastAsia="Yu Mincho" w:hAnsi="Calibri" w:cs="Times New Roman"/>
          <w:color w:val="000000" w:themeColor="text1"/>
          <w:sz w:val="28"/>
          <w:szCs w:val="28"/>
          <w:lang w:val="en-US" w:eastAsia="ja-JP"/>
        </w:rPr>
        <w:t>s</w:t>
      </w:r>
      <w:r w:rsidR="00A402BC" w:rsidRPr="00625A76">
        <w:rPr>
          <w:rFonts w:ascii="Calibri" w:eastAsia="Yu Mincho" w:hAnsi="Calibri" w:cs="Times New Roman"/>
          <w:color w:val="000000" w:themeColor="text1"/>
          <w:sz w:val="28"/>
          <w:szCs w:val="28"/>
          <w:lang w:val="en-US" w:eastAsia="ja-JP"/>
        </w:rPr>
        <w:t xml:space="preserve"> of other patients</w:t>
      </w:r>
      <w:r w:rsidRPr="00625A76">
        <w:rPr>
          <w:rFonts w:ascii="Calibri" w:eastAsia="Yu Mincho" w:hAnsi="Calibri" w:cs="Times New Roman"/>
          <w:color w:val="000000" w:themeColor="text1"/>
          <w:sz w:val="28"/>
          <w:szCs w:val="28"/>
          <w:lang w:val="en-US" w:eastAsia="ja-JP"/>
        </w:rPr>
        <w:t xml:space="preserve"> and members of </w:t>
      </w:r>
      <w:r w:rsidR="00200730" w:rsidRPr="00625A76">
        <w:rPr>
          <w:rFonts w:ascii="Calibri" w:eastAsia="Yu Mincho" w:hAnsi="Calibri" w:cs="Times New Roman"/>
          <w:color w:val="000000" w:themeColor="text1"/>
          <w:sz w:val="28"/>
          <w:szCs w:val="28"/>
          <w:lang w:val="en-US" w:eastAsia="ja-JP"/>
        </w:rPr>
        <w:t>their</w:t>
      </w:r>
      <w:r w:rsidRPr="00625A76">
        <w:rPr>
          <w:rFonts w:ascii="Calibri" w:eastAsia="Yu Mincho" w:hAnsi="Calibri" w:cs="Times New Roman"/>
          <w:color w:val="000000" w:themeColor="text1"/>
          <w:sz w:val="28"/>
          <w:szCs w:val="28"/>
          <w:lang w:val="en-US" w:eastAsia="ja-JP"/>
        </w:rPr>
        <w:t xml:space="preserve"> support </w:t>
      </w:r>
      <w:r w:rsidR="000F3D45" w:rsidRPr="00625A76">
        <w:rPr>
          <w:rFonts w:ascii="Calibri" w:eastAsia="Yu Mincho" w:hAnsi="Calibri" w:cs="Times New Roman"/>
          <w:color w:val="000000" w:themeColor="text1"/>
          <w:sz w:val="28"/>
          <w:szCs w:val="28"/>
          <w:lang w:val="en-US" w:eastAsia="ja-JP"/>
        </w:rPr>
        <w:t>group</w:t>
      </w:r>
      <w:r w:rsidRPr="00625A76">
        <w:rPr>
          <w:rFonts w:ascii="Calibri" w:eastAsia="Yu Mincho" w:hAnsi="Calibri" w:cs="Times New Roman"/>
          <w:color w:val="000000" w:themeColor="text1"/>
          <w:sz w:val="28"/>
          <w:szCs w:val="28"/>
          <w:lang w:val="en-US" w:eastAsia="ja-JP"/>
        </w:rPr>
        <w:t>.</w:t>
      </w:r>
    </w:p>
    <w:p w14:paraId="77C08FEE" w14:textId="091F9DD0" w:rsidR="004054B6" w:rsidRPr="00625A76" w:rsidRDefault="004054B6" w:rsidP="002F3AF2">
      <w:pPr>
        <w:jc w:val="both"/>
        <w:rPr>
          <w:rFonts w:ascii="Calibri" w:eastAsia="Yu Mincho" w:hAnsi="Calibri" w:cs="Times New Roman"/>
          <w:color w:val="000000" w:themeColor="text1"/>
          <w:sz w:val="28"/>
          <w:szCs w:val="28"/>
          <w:lang w:val="en-US" w:eastAsia="ja-JP"/>
        </w:rPr>
      </w:pPr>
      <w:r w:rsidRPr="00625A76">
        <w:rPr>
          <w:rFonts w:ascii="Calibri" w:eastAsia="Yu Mincho" w:hAnsi="Calibri" w:cs="Times New Roman"/>
          <w:color w:val="000000" w:themeColor="text1"/>
          <w:sz w:val="28"/>
          <w:szCs w:val="28"/>
          <w:lang w:val="en-US" w:eastAsia="ja-JP"/>
        </w:rPr>
        <w:t xml:space="preserve">          </w:t>
      </w:r>
    </w:p>
    <w:p w14:paraId="315EA143" w14:textId="3C940509" w:rsidR="004054B6" w:rsidRPr="00625A76" w:rsidRDefault="00FA7619" w:rsidP="004054B6">
      <w:pPr>
        <w:rPr>
          <w:rFonts w:ascii="Calibri" w:eastAsia="Yu Mincho" w:hAnsi="Calibri" w:cs="Times New Roman"/>
          <w:bCs/>
          <w:color w:val="000000" w:themeColor="text1"/>
          <w:sz w:val="28"/>
          <w:szCs w:val="28"/>
          <w:u w:val="single"/>
          <w:lang w:val="en-US" w:eastAsia="ja-JP"/>
        </w:rPr>
      </w:pPr>
      <w:r w:rsidRPr="00625A76">
        <w:rPr>
          <w:rFonts w:ascii="Calibri" w:eastAsia="Yu Mincho" w:hAnsi="Calibri" w:cs="Times New Roman"/>
          <w:bCs/>
          <w:color w:val="000000" w:themeColor="text1"/>
          <w:sz w:val="28"/>
          <w:szCs w:val="28"/>
          <w:u w:val="single"/>
          <w:lang w:val="en-US" w:eastAsia="ja-JP"/>
        </w:rPr>
        <w:t>Risk tolerance</w:t>
      </w:r>
      <w:r w:rsidR="00D73DD3" w:rsidRPr="00625A76">
        <w:rPr>
          <w:rFonts w:ascii="Calibri" w:eastAsia="Yu Mincho" w:hAnsi="Calibri" w:cs="Times New Roman"/>
          <w:bCs/>
          <w:color w:val="000000" w:themeColor="text1"/>
          <w:sz w:val="28"/>
          <w:szCs w:val="28"/>
          <w:u w:val="single"/>
          <w:lang w:val="en-US" w:eastAsia="ja-JP"/>
        </w:rPr>
        <w:t xml:space="preserve"> </w:t>
      </w:r>
      <w:r w:rsidR="004E6C2A" w:rsidRPr="00625A76">
        <w:rPr>
          <w:rFonts w:ascii="Calibri" w:eastAsia="Yu Mincho" w:hAnsi="Calibri" w:cs="Times New Roman"/>
          <w:bCs/>
          <w:color w:val="000000" w:themeColor="text1"/>
          <w:sz w:val="28"/>
          <w:szCs w:val="28"/>
          <w:u w:val="single"/>
          <w:lang w:val="en-US" w:eastAsia="ja-JP"/>
        </w:rPr>
        <w:t>discussed</w:t>
      </w:r>
      <w:r w:rsidR="00D73DD3" w:rsidRPr="00625A76">
        <w:rPr>
          <w:rFonts w:ascii="Calibri" w:eastAsia="Yu Mincho" w:hAnsi="Calibri" w:cs="Times New Roman"/>
          <w:bCs/>
          <w:color w:val="000000" w:themeColor="text1"/>
          <w:sz w:val="28"/>
          <w:szCs w:val="28"/>
          <w:u w:val="single"/>
          <w:lang w:val="en-US" w:eastAsia="ja-JP"/>
        </w:rPr>
        <w:t xml:space="preserve"> </w:t>
      </w:r>
      <w:r w:rsidR="00BB6C5D" w:rsidRPr="00625A76">
        <w:rPr>
          <w:rFonts w:ascii="Calibri" w:eastAsia="Yu Mincho" w:hAnsi="Calibri" w:cs="Times New Roman"/>
          <w:bCs/>
          <w:color w:val="000000" w:themeColor="text1"/>
          <w:sz w:val="28"/>
          <w:szCs w:val="28"/>
          <w:u w:val="single"/>
          <w:lang w:val="en-US" w:eastAsia="ja-JP"/>
        </w:rPr>
        <w:t>in the context of</w:t>
      </w:r>
      <w:r w:rsidR="00D73DD3" w:rsidRPr="00625A76">
        <w:rPr>
          <w:rFonts w:ascii="Calibri" w:eastAsia="Yu Mincho" w:hAnsi="Calibri" w:cs="Times New Roman"/>
          <w:bCs/>
          <w:color w:val="000000" w:themeColor="text1"/>
          <w:sz w:val="28"/>
          <w:szCs w:val="28"/>
          <w:u w:val="single"/>
          <w:lang w:val="en-US" w:eastAsia="ja-JP"/>
        </w:rPr>
        <w:t xml:space="preserve"> </w:t>
      </w:r>
      <w:r w:rsidR="004E6C2A" w:rsidRPr="00625A76">
        <w:rPr>
          <w:rFonts w:ascii="Calibri" w:eastAsia="Yu Mincho" w:hAnsi="Calibri" w:cs="Times New Roman"/>
          <w:bCs/>
          <w:color w:val="000000" w:themeColor="text1"/>
          <w:sz w:val="28"/>
          <w:szCs w:val="28"/>
          <w:u w:val="single"/>
          <w:lang w:val="en-US" w:eastAsia="ja-JP"/>
        </w:rPr>
        <w:t xml:space="preserve">a </w:t>
      </w:r>
      <w:r w:rsidR="00D73DD3" w:rsidRPr="00625A76">
        <w:rPr>
          <w:rFonts w:ascii="Calibri" w:eastAsia="Yu Mincho" w:hAnsi="Calibri" w:cs="Times New Roman"/>
          <w:bCs/>
          <w:color w:val="000000" w:themeColor="text1"/>
          <w:sz w:val="28"/>
          <w:szCs w:val="28"/>
          <w:u w:val="single"/>
          <w:lang w:val="en-US" w:eastAsia="ja-JP"/>
        </w:rPr>
        <w:t>shared decision</w:t>
      </w:r>
      <w:r w:rsidR="000573C8" w:rsidRPr="00625A76">
        <w:rPr>
          <w:rFonts w:ascii="Calibri" w:eastAsia="Yu Mincho" w:hAnsi="Calibri" w:cs="Times New Roman"/>
          <w:bCs/>
          <w:color w:val="000000" w:themeColor="text1"/>
          <w:sz w:val="28"/>
          <w:szCs w:val="28"/>
          <w:u w:val="single"/>
          <w:lang w:val="en-US" w:eastAsia="ja-JP"/>
        </w:rPr>
        <w:t>-</w:t>
      </w:r>
      <w:r w:rsidR="00D73DD3" w:rsidRPr="00625A76">
        <w:rPr>
          <w:rFonts w:ascii="Calibri" w:eastAsia="Yu Mincho" w:hAnsi="Calibri" w:cs="Times New Roman"/>
          <w:bCs/>
          <w:color w:val="000000" w:themeColor="text1"/>
          <w:sz w:val="28"/>
          <w:szCs w:val="28"/>
          <w:u w:val="single"/>
          <w:lang w:val="en-US" w:eastAsia="ja-JP"/>
        </w:rPr>
        <w:t>making</w:t>
      </w:r>
      <w:r w:rsidR="004E6C2A" w:rsidRPr="00625A76">
        <w:rPr>
          <w:rFonts w:ascii="Calibri" w:eastAsia="Yu Mincho" w:hAnsi="Calibri" w:cs="Times New Roman"/>
          <w:bCs/>
          <w:color w:val="000000" w:themeColor="text1"/>
          <w:sz w:val="28"/>
          <w:szCs w:val="28"/>
          <w:u w:val="single"/>
          <w:lang w:val="en-US" w:eastAsia="ja-JP"/>
        </w:rPr>
        <w:t xml:space="preserve"> process</w:t>
      </w:r>
    </w:p>
    <w:p w14:paraId="6AD3C18B" w14:textId="04B5FBA2" w:rsidR="007C5FB7" w:rsidRPr="00625A76" w:rsidRDefault="000F3D45" w:rsidP="002F3AF2">
      <w:pPr>
        <w:jc w:val="both"/>
        <w:rPr>
          <w:rFonts w:ascii="Calibri" w:eastAsia="Yu Mincho" w:hAnsi="Calibri" w:cs="Times New Roman"/>
          <w:color w:val="000000" w:themeColor="text1"/>
          <w:sz w:val="28"/>
          <w:szCs w:val="28"/>
          <w:lang w:val="en-US" w:eastAsia="ja-JP"/>
        </w:rPr>
      </w:pPr>
      <w:r w:rsidRPr="00625A76">
        <w:rPr>
          <w:rFonts w:ascii="Calibri" w:eastAsia="Yu Mincho" w:hAnsi="Calibri" w:cs="Times New Roman"/>
          <w:color w:val="000000" w:themeColor="text1"/>
          <w:sz w:val="28"/>
          <w:szCs w:val="28"/>
          <w:lang w:val="en-US" w:eastAsia="ja-JP"/>
        </w:rPr>
        <w:t>De-escalation</w:t>
      </w:r>
      <w:r w:rsidR="004054B6" w:rsidRPr="00625A76">
        <w:rPr>
          <w:rFonts w:ascii="Calibri" w:eastAsia="Yu Mincho" w:hAnsi="Calibri" w:cs="Times New Roman"/>
          <w:color w:val="000000" w:themeColor="text1"/>
          <w:sz w:val="28"/>
          <w:szCs w:val="28"/>
          <w:lang w:val="en-US" w:eastAsia="ja-JP"/>
        </w:rPr>
        <w:t xml:space="preserve"> </w:t>
      </w:r>
      <w:r w:rsidRPr="00625A76">
        <w:rPr>
          <w:rFonts w:ascii="Calibri" w:eastAsia="Yu Mincho" w:hAnsi="Calibri" w:cs="Times New Roman"/>
          <w:color w:val="000000" w:themeColor="text1"/>
          <w:sz w:val="28"/>
          <w:szCs w:val="28"/>
          <w:lang w:val="en-US" w:eastAsia="ja-JP"/>
        </w:rPr>
        <w:t xml:space="preserve">can be </w:t>
      </w:r>
      <w:r w:rsidR="004054B6" w:rsidRPr="00625A76">
        <w:rPr>
          <w:rFonts w:ascii="Calibri" w:eastAsia="Yu Mincho" w:hAnsi="Calibri" w:cs="Times New Roman"/>
          <w:color w:val="000000" w:themeColor="text1"/>
          <w:sz w:val="28"/>
          <w:szCs w:val="28"/>
          <w:lang w:val="en-US" w:eastAsia="ja-JP"/>
        </w:rPr>
        <w:t xml:space="preserve">a difficult concept for patients to </w:t>
      </w:r>
      <w:r w:rsidR="00E50AC1" w:rsidRPr="00625A76">
        <w:rPr>
          <w:rFonts w:ascii="Calibri" w:eastAsia="Yu Mincho" w:hAnsi="Calibri" w:cs="Times New Roman"/>
          <w:color w:val="000000" w:themeColor="text1"/>
          <w:sz w:val="28"/>
          <w:szCs w:val="28"/>
          <w:lang w:val="en-US" w:eastAsia="ja-JP"/>
        </w:rPr>
        <w:t>understand</w:t>
      </w:r>
      <w:r w:rsidR="00FA49D8" w:rsidRPr="00625A76">
        <w:rPr>
          <w:rFonts w:ascii="Calibri" w:eastAsia="Yu Mincho" w:hAnsi="Calibri" w:cs="Times New Roman"/>
          <w:color w:val="000000" w:themeColor="text1"/>
          <w:sz w:val="28"/>
          <w:szCs w:val="28"/>
          <w:lang w:val="en-US" w:eastAsia="ja-JP"/>
        </w:rPr>
        <w:t>, particularly at the time of diagnosis when patient</w:t>
      </w:r>
      <w:r w:rsidR="004F0318" w:rsidRPr="00625A76">
        <w:rPr>
          <w:rFonts w:ascii="Calibri" w:eastAsia="Yu Mincho" w:hAnsi="Calibri" w:cs="Times New Roman"/>
          <w:color w:val="000000" w:themeColor="text1"/>
          <w:sz w:val="28"/>
          <w:szCs w:val="28"/>
          <w:lang w:val="en-US" w:eastAsia="ja-JP"/>
        </w:rPr>
        <w:t>s</w:t>
      </w:r>
      <w:r w:rsidR="00FA49D8" w:rsidRPr="00625A76">
        <w:rPr>
          <w:rFonts w:ascii="Calibri" w:eastAsia="Yu Mincho" w:hAnsi="Calibri" w:cs="Times New Roman"/>
          <w:color w:val="000000" w:themeColor="text1"/>
          <w:sz w:val="28"/>
          <w:szCs w:val="28"/>
          <w:lang w:val="en-US" w:eastAsia="ja-JP"/>
        </w:rPr>
        <w:t xml:space="preserve"> feel most vulnerable</w:t>
      </w:r>
      <w:r w:rsidR="00F755C8" w:rsidRPr="00625A76">
        <w:rPr>
          <w:rFonts w:ascii="Calibri" w:eastAsia="Yu Mincho" w:hAnsi="Calibri" w:cs="Times New Roman"/>
          <w:color w:val="000000" w:themeColor="text1"/>
          <w:sz w:val="28"/>
          <w:szCs w:val="28"/>
          <w:lang w:val="en-US" w:eastAsia="ja-JP"/>
        </w:rPr>
        <w:t>.</w:t>
      </w:r>
      <w:r w:rsidR="004054B6" w:rsidRPr="00625A76">
        <w:rPr>
          <w:rFonts w:ascii="Calibri" w:eastAsia="Yu Mincho" w:hAnsi="Calibri" w:cs="Times New Roman"/>
          <w:color w:val="000000" w:themeColor="text1"/>
          <w:sz w:val="28"/>
          <w:szCs w:val="28"/>
          <w:lang w:val="en-US" w:eastAsia="ja-JP"/>
        </w:rPr>
        <w:t xml:space="preserve"> </w:t>
      </w:r>
      <w:r w:rsidR="00FA7619" w:rsidRPr="00625A76">
        <w:rPr>
          <w:rFonts w:ascii="Calibri" w:eastAsia="Yu Mincho" w:hAnsi="Calibri" w:cs="Times New Roman"/>
          <w:color w:val="000000" w:themeColor="text1"/>
          <w:sz w:val="28"/>
          <w:szCs w:val="28"/>
          <w:lang w:val="en-US" w:eastAsia="ja-JP"/>
        </w:rPr>
        <w:t xml:space="preserve">Treatment decisions are difficult and are particularly hard under the psychological distress of a cancer diagnosis. Most patients think of chemotherapy therapy as </w:t>
      </w:r>
      <w:r w:rsidR="00F60810" w:rsidRPr="00625A76">
        <w:rPr>
          <w:rFonts w:ascii="Calibri" w:eastAsia="Yu Mincho" w:hAnsi="Calibri" w:cs="Times New Roman"/>
          <w:color w:val="000000" w:themeColor="text1"/>
          <w:sz w:val="28"/>
          <w:szCs w:val="28"/>
          <w:lang w:val="en-US" w:eastAsia="ja-JP"/>
        </w:rPr>
        <w:t>lifesaving</w:t>
      </w:r>
      <w:r w:rsidR="00FA7619" w:rsidRPr="00625A76">
        <w:rPr>
          <w:rFonts w:ascii="Calibri" w:eastAsia="Yu Mincho" w:hAnsi="Calibri" w:cs="Times New Roman"/>
          <w:color w:val="000000" w:themeColor="text1"/>
          <w:sz w:val="28"/>
          <w:szCs w:val="28"/>
          <w:lang w:val="en-US" w:eastAsia="ja-JP"/>
        </w:rPr>
        <w:t xml:space="preserve"> and </w:t>
      </w:r>
      <w:r w:rsidR="006F28FD" w:rsidRPr="00625A76">
        <w:rPr>
          <w:rFonts w:ascii="Calibri" w:eastAsia="Yu Mincho" w:hAnsi="Calibri" w:cs="Times New Roman"/>
          <w:color w:val="000000" w:themeColor="text1"/>
          <w:sz w:val="28"/>
          <w:szCs w:val="28"/>
          <w:lang w:val="en-US" w:eastAsia="ja-JP"/>
        </w:rPr>
        <w:t>believe that it</w:t>
      </w:r>
      <w:r w:rsidR="00FA7619" w:rsidRPr="00625A76">
        <w:rPr>
          <w:rFonts w:ascii="Calibri" w:eastAsia="Yu Mincho" w:hAnsi="Calibri" w:cs="Times New Roman"/>
          <w:color w:val="000000" w:themeColor="text1"/>
          <w:sz w:val="28"/>
          <w:szCs w:val="28"/>
          <w:lang w:val="en-US" w:eastAsia="ja-JP"/>
        </w:rPr>
        <w:t xml:space="preserve"> will eliminate their cancer (therapeutic optimism).</w:t>
      </w:r>
      <w:r w:rsidR="00EB7C5C" w:rsidRPr="00625A76">
        <w:rPr>
          <w:rFonts w:ascii="Calibri" w:eastAsia="Yu Mincho" w:hAnsi="Calibri" w:cs="Times New Roman"/>
          <w:color w:val="000000" w:themeColor="text1"/>
          <w:sz w:val="28"/>
          <w:szCs w:val="28"/>
          <w:lang w:val="en-US" w:eastAsia="ja-JP"/>
        </w:rPr>
        <w:t xml:space="preserve"> </w:t>
      </w:r>
      <w:r w:rsidR="00FA7619" w:rsidRPr="00625A76">
        <w:rPr>
          <w:rFonts w:ascii="Calibri" w:eastAsia="Yu Mincho" w:hAnsi="Calibri" w:cs="Times New Roman"/>
          <w:color w:val="000000" w:themeColor="text1"/>
          <w:sz w:val="28"/>
          <w:szCs w:val="28"/>
          <w:lang w:val="en-US" w:eastAsia="ja-JP"/>
        </w:rPr>
        <w:t xml:space="preserve">There </w:t>
      </w:r>
      <w:r w:rsidR="00F60810" w:rsidRPr="00625A76">
        <w:rPr>
          <w:rFonts w:ascii="Calibri" w:eastAsia="Yu Mincho" w:hAnsi="Calibri" w:cs="Times New Roman"/>
          <w:color w:val="000000" w:themeColor="text1"/>
          <w:sz w:val="28"/>
          <w:szCs w:val="28"/>
          <w:lang w:val="en-US" w:eastAsia="ja-JP"/>
        </w:rPr>
        <w:t>is a</w:t>
      </w:r>
      <w:r w:rsidR="00FA7619" w:rsidRPr="00625A76">
        <w:rPr>
          <w:rFonts w:ascii="Calibri" w:eastAsia="Yu Mincho" w:hAnsi="Calibri" w:cs="Times New Roman"/>
          <w:color w:val="000000" w:themeColor="text1"/>
          <w:sz w:val="28"/>
          <w:szCs w:val="28"/>
          <w:lang w:val="en-US" w:eastAsia="ja-JP"/>
        </w:rPr>
        <w:t xml:space="preserve"> high probability that patients will misunderstand the intention </w:t>
      </w:r>
      <w:r w:rsidR="006F28FD" w:rsidRPr="00625A76">
        <w:rPr>
          <w:rFonts w:ascii="Calibri" w:eastAsia="Yu Mincho" w:hAnsi="Calibri" w:cs="Times New Roman"/>
          <w:color w:val="000000" w:themeColor="text1"/>
          <w:sz w:val="28"/>
          <w:szCs w:val="28"/>
          <w:lang w:val="en-US" w:eastAsia="ja-JP"/>
        </w:rPr>
        <w:t>of</w:t>
      </w:r>
      <w:r w:rsidR="00FA7619" w:rsidRPr="00625A76">
        <w:rPr>
          <w:rFonts w:ascii="Calibri" w:eastAsia="Yu Mincho" w:hAnsi="Calibri" w:cs="Times New Roman"/>
          <w:color w:val="000000" w:themeColor="text1"/>
          <w:sz w:val="28"/>
          <w:szCs w:val="28"/>
          <w:lang w:val="en-US" w:eastAsia="ja-JP"/>
        </w:rPr>
        <w:t xml:space="preserve"> a de-escalation clinical trial. Therefore, i</w:t>
      </w:r>
      <w:r w:rsidR="004054B6" w:rsidRPr="00625A76">
        <w:rPr>
          <w:rFonts w:ascii="Calibri" w:eastAsia="Yu Mincho" w:hAnsi="Calibri" w:cs="Times New Roman"/>
          <w:color w:val="000000" w:themeColor="text1"/>
          <w:sz w:val="28"/>
          <w:szCs w:val="28"/>
          <w:lang w:val="en-US" w:eastAsia="ja-JP"/>
        </w:rPr>
        <w:t xml:space="preserve">t is the responsibility of </w:t>
      </w:r>
      <w:r w:rsidRPr="00625A76">
        <w:rPr>
          <w:rFonts w:ascii="Calibri" w:eastAsia="Yu Mincho" w:hAnsi="Calibri" w:cs="Times New Roman"/>
          <w:color w:val="000000" w:themeColor="text1"/>
          <w:sz w:val="28"/>
          <w:szCs w:val="28"/>
          <w:lang w:val="en-US" w:eastAsia="ja-JP"/>
        </w:rPr>
        <w:t>doctors</w:t>
      </w:r>
      <w:r w:rsidR="004054B6" w:rsidRPr="00625A76">
        <w:rPr>
          <w:rFonts w:ascii="Calibri" w:eastAsia="Yu Mincho" w:hAnsi="Calibri" w:cs="Times New Roman"/>
          <w:color w:val="000000" w:themeColor="text1"/>
          <w:sz w:val="28"/>
          <w:szCs w:val="28"/>
          <w:lang w:val="en-US" w:eastAsia="ja-JP"/>
        </w:rPr>
        <w:t xml:space="preserve"> to convey</w:t>
      </w:r>
      <w:r w:rsidRPr="00625A76">
        <w:rPr>
          <w:rFonts w:ascii="Calibri" w:eastAsia="Yu Mincho" w:hAnsi="Calibri" w:cs="Times New Roman"/>
          <w:color w:val="000000" w:themeColor="text1"/>
          <w:sz w:val="28"/>
          <w:szCs w:val="28"/>
          <w:lang w:val="en-US" w:eastAsia="ja-JP"/>
        </w:rPr>
        <w:t xml:space="preserve"> clearly</w:t>
      </w:r>
      <w:r w:rsidR="00870F63" w:rsidRPr="00625A76">
        <w:rPr>
          <w:rFonts w:ascii="Calibri" w:eastAsia="Yu Mincho" w:hAnsi="Calibri" w:cs="Times New Roman"/>
          <w:color w:val="000000" w:themeColor="text1"/>
          <w:sz w:val="28"/>
          <w:szCs w:val="28"/>
          <w:lang w:val="en-US" w:eastAsia="ja-JP"/>
        </w:rPr>
        <w:t xml:space="preserve"> to</w:t>
      </w:r>
      <w:r w:rsidRPr="00625A76">
        <w:rPr>
          <w:rFonts w:ascii="Calibri" w:eastAsia="Yu Mincho" w:hAnsi="Calibri" w:cs="Times New Roman"/>
          <w:color w:val="000000" w:themeColor="text1"/>
          <w:sz w:val="28"/>
          <w:szCs w:val="28"/>
          <w:lang w:val="en-US" w:eastAsia="ja-JP"/>
        </w:rPr>
        <w:t xml:space="preserve"> patients </w:t>
      </w:r>
      <w:r w:rsidR="00822B17" w:rsidRPr="00625A76">
        <w:rPr>
          <w:rFonts w:ascii="Calibri" w:eastAsia="Yu Mincho" w:hAnsi="Calibri" w:cs="Times New Roman"/>
          <w:color w:val="000000" w:themeColor="text1"/>
          <w:sz w:val="28"/>
          <w:szCs w:val="28"/>
          <w:lang w:val="en-US" w:eastAsia="ja-JP"/>
        </w:rPr>
        <w:t xml:space="preserve">the reason why less treatment is being tested and </w:t>
      </w:r>
      <w:r w:rsidR="00870F63" w:rsidRPr="00625A76">
        <w:rPr>
          <w:rFonts w:ascii="Calibri" w:eastAsia="Yu Mincho" w:hAnsi="Calibri" w:cs="Times New Roman"/>
          <w:color w:val="000000" w:themeColor="text1"/>
          <w:sz w:val="28"/>
          <w:szCs w:val="28"/>
          <w:lang w:val="en-US" w:eastAsia="ja-JP"/>
        </w:rPr>
        <w:t xml:space="preserve">how </w:t>
      </w:r>
      <w:r w:rsidR="006F28FD" w:rsidRPr="00625A76">
        <w:rPr>
          <w:rFonts w:ascii="Calibri" w:eastAsia="Yu Mincho" w:hAnsi="Calibri" w:cs="Times New Roman"/>
          <w:color w:val="000000" w:themeColor="text1"/>
          <w:sz w:val="28"/>
          <w:szCs w:val="28"/>
          <w:lang w:val="en-US" w:eastAsia="ja-JP"/>
        </w:rPr>
        <w:t>it</w:t>
      </w:r>
      <w:r w:rsidRPr="00625A76">
        <w:rPr>
          <w:rFonts w:ascii="Calibri" w:eastAsia="Yu Mincho" w:hAnsi="Calibri" w:cs="Times New Roman"/>
          <w:color w:val="000000" w:themeColor="text1"/>
          <w:sz w:val="28"/>
          <w:szCs w:val="28"/>
          <w:lang w:val="en-US" w:eastAsia="ja-JP"/>
        </w:rPr>
        <w:t xml:space="preserve"> </w:t>
      </w:r>
      <w:r w:rsidR="00822B17" w:rsidRPr="00625A76">
        <w:rPr>
          <w:rFonts w:ascii="Calibri" w:eastAsia="Yu Mincho" w:hAnsi="Calibri" w:cs="Times New Roman"/>
          <w:color w:val="000000" w:themeColor="text1"/>
          <w:sz w:val="28"/>
          <w:szCs w:val="28"/>
          <w:lang w:val="en-US" w:eastAsia="ja-JP"/>
        </w:rPr>
        <w:t xml:space="preserve">can </w:t>
      </w:r>
      <w:r w:rsidRPr="00625A76">
        <w:rPr>
          <w:rFonts w:ascii="Calibri" w:eastAsia="Yu Mincho" w:hAnsi="Calibri" w:cs="Times New Roman"/>
          <w:color w:val="000000" w:themeColor="text1"/>
          <w:sz w:val="28"/>
          <w:szCs w:val="28"/>
          <w:lang w:val="en-US" w:eastAsia="ja-JP"/>
        </w:rPr>
        <w:t>result</w:t>
      </w:r>
      <w:r w:rsidR="00822B17" w:rsidRPr="00625A76">
        <w:rPr>
          <w:rFonts w:ascii="Calibri" w:eastAsia="Yu Mincho" w:hAnsi="Calibri" w:cs="Times New Roman"/>
          <w:color w:val="000000" w:themeColor="text1"/>
          <w:sz w:val="28"/>
          <w:szCs w:val="28"/>
          <w:lang w:val="en-US" w:eastAsia="ja-JP"/>
        </w:rPr>
        <w:t xml:space="preserve"> </w:t>
      </w:r>
      <w:r w:rsidR="004F0318" w:rsidRPr="00625A76">
        <w:rPr>
          <w:rFonts w:ascii="Calibri" w:eastAsia="Yu Mincho" w:hAnsi="Calibri" w:cs="Times New Roman"/>
          <w:color w:val="000000" w:themeColor="text1"/>
          <w:sz w:val="28"/>
          <w:szCs w:val="28"/>
          <w:lang w:val="en-US" w:eastAsia="ja-JP"/>
        </w:rPr>
        <w:t xml:space="preserve">in </w:t>
      </w:r>
      <w:r w:rsidRPr="00625A76">
        <w:rPr>
          <w:rFonts w:ascii="Calibri" w:eastAsia="Yu Mincho" w:hAnsi="Calibri" w:cs="Times New Roman"/>
          <w:color w:val="000000" w:themeColor="text1"/>
          <w:sz w:val="28"/>
          <w:szCs w:val="28"/>
          <w:lang w:val="en-US" w:eastAsia="ja-JP"/>
        </w:rPr>
        <w:t xml:space="preserve">excellent outcomes </w:t>
      </w:r>
      <w:r w:rsidR="008445B3">
        <w:rPr>
          <w:rFonts w:ascii="Calibri" w:eastAsia="Yu Mincho" w:hAnsi="Calibri" w:cs="Times New Roman"/>
          <w:color w:val="000000" w:themeColor="text1"/>
          <w:sz w:val="28"/>
          <w:szCs w:val="28"/>
          <w:lang w:val="en-US" w:eastAsia="ja-JP"/>
        </w:rPr>
        <w:t>in terms of</w:t>
      </w:r>
      <w:r w:rsidRPr="00625A76">
        <w:rPr>
          <w:rFonts w:ascii="Calibri" w:eastAsia="Yu Mincho" w:hAnsi="Calibri" w:cs="Times New Roman"/>
          <w:color w:val="000000" w:themeColor="text1"/>
          <w:sz w:val="28"/>
          <w:szCs w:val="28"/>
          <w:lang w:val="en-US" w:eastAsia="ja-JP"/>
        </w:rPr>
        <w:t xml:space="preserve"> efficacy, safety and</w:t>
      </w:r>
      <w:r w:rsidR="004054B6" w:rsidRPr="00625A76">
        <w:rPr>
          <w:rFonts w:ascii="Calibri" w:eastAsia="Yu Mincho" w:hAnsi="Calibri" w:cs="Times New Roman"/>
          <w:color w:val="000000" w:themeColor="text1"/>
          <w:sz w:val="28"/>
          <w:szCs w:val="28"/>
          <w:lang w:val="en-US" w:eastAsia="ja-JP"/>
        </w:rPr>
        <w:t xml:space="preserve"> quality of life. </w:t>
      </w:r>
      <w:r w:rsidR="00E50AC1" w:rsidRPr="00625A76">
        <w:rPr>
          <w:rFonts w:ascii="Calibri" w:eastAsia="Yu Mincho" w:hAnsi="Calibri" w:cs="Times New Roman"/>
          <w:color w:val="000000" w:themeColor="text1"/>
          <w:sz w:val="28"/>
          <w:szCs w:val="28"/>
          <w:lang w:val="en-US" w:eastAsia="ja-JP"/>
        </w:rPr>
        <w:t xml:space="preserve">It must also be made clear whether the de-escalation strategy </w:t>
      </w:r>
      <w:r w:rsidR="008445B3">
        <w:rPr>
          <w:rFonts w:ascii="Calibri" w:eastAsia="Yu Mincho" w:hAnsi="Calibri" w:cs="Times New Roman"/>
          <w:color w:val="000000" w:themeColor="text1"/>
          <w:sz w:val="28"/>
          <w:szCs w:val="28"/>
          <w:lang w:val="en-US" w:eastAsia="ja-JP"/>
        </w:rPr>
        <w:t>might</w:t>
      </w:r>
      <w:r w:rsidR="00E50AC1" w:rsidRPr="00625A76">
        <w:rPr>
          <w:rFonts w:ascii="Calibri" w:eastAsia="Yu Mincho" w:hAnsi="Calibri" w:cs="Times New Roman"/>
          <w:color w:val="000000" w:themeColor="text1"/>
          <w:sz w:val="28"/>
          <w:szCs w:val="28"/>
          <w:lang w:val="en-US" w:eastAsia="ja-JP"/>
        </w:rPr>
        <w:t xml:space="preserve"> </w:t>
      </w:r>
      <w:r w:rsidR="00822B17" w:rsidRPr="00625A76">
        <w:rPr>
          <w:rFonts w:ascii="Calibri" w:eastAsia="Yu Mincho" w:hAnsi="Calibri" w:cs="Times New Roman"/>
          <w:color w:val="000000" w:themeColor="text1"/>
          <w:sz w:val="28"/>
          <w:szCs w:val="28"/>
          <w:lang w:val="en-US" w:eastAsia="ja-JP"/>
        </w:rPr>
        <w:t xml:space="preserve">benefit patients by </w:t>
      </w:r>
      <w:r w:rsidR="00E50AC1" w:rsidRPr="00625A76">
        <w:rPr>
          <w:rFonts w:ascii="Calibri" w:eastAsia="Yu Mincho" w:hAnsi="Calibri" w:cs="Times New Roman"/>
          <w:color w:val="000000" w:themeColor="text1"/>
          <w:sz w:val="28"/>
          <w:szCs w:val="28"/>
          <w:lang w:val="en-US" w:eastAsia="ja-JP"/>
        </w:rPr>
        <w:t>reduc</w:t>
      </w:r>
      <w:r w:rsidR="00822B17" w:rsidRPr="00625A76">
        <w:rPr>
          <w:rFonts w:ascii="Calibri" w:eastAsia="Yu Mincho" w:hAnsi="Calibri" w:cs="Times New Roman"/>
          <w:color w:val="000000" w:themeColor="text1"/>
          <w:sz w:val="28"/>
          <w:szCs w:val="28"/>
          <w:lang w:val="en-US" w:eastAsia="ja-JP"/>
        </w:rPr>
        <w:t>ing</w:t>
      </w:r>
      <w:r w:rsidR="00E50AC1" w:rsidRPr="00625A76">
        <w:rPr>
          <w:rFonts w:ascii="Calibri" w:eastAsia="Yu Mincho" w:hAnsi="Calibri" w:cs="Times New Roman"/>
          <w:color w:val="000000" w:themeColor="text1"/>
          <w:sz w:val="28"/>
          <w:szCs w:val="28"/>
          <w:lang w:val="en-US" w:eastAsia="ja-JP"/>
        </w:rPr>
        <w:t xml:space="preserve"> side effects</w:t>
      </w:r>
      <w:r w:rsidR="00822B17" w:rsidRPr="00625A76">
        <w:rPr>
          <w:rFonts w:ascii="Calibri" w:eastAsia="Yu Mincho" w:hAnsi="Calibri" w:cs="Times New Roman"/>
          <w:color w:val="000000" w:themeColor="text1"/>
          <w:sz w:val="28"/>
          <w:szCs w:val="28"/>
          <w:lang w:val="en-US" w:eastAsia="ja-JP"/>
        </w:rPr>
        <w:t xml:space="preserve">, </w:t>
      </w:r>
      <w:r w:rsidR="00E50AC1" w:rsidRPr="00625A76">
        <w:rPr>
          <w:rFonts w:ascii="Calibri" w:eastAsia="Yu Mincho" w:hAnsi="Calibri" w:cs="Times New Roman"/>
          <w:color w:val="000000" w:themeColor="text1"/>
          <w:sz w:val="28"/>
          <w:szCs w:val="28"/>
          <w:lang w:val="en-US" w:eastAsia="ja-JP"/>
        </w:rPr>
        <w:t xml:space="preserve">financial toxicity, or both. </w:t>
      </w:r>
    </w:p>
    <w:p w14:paraId="2C4DE3F4" w14:textId="2F8092BC" w:rsidR="007C5FB7" w:rsidRPr="00625A76" w:rsidRDefault="004F0318" w:rsidP="002F3AF2">
      <w:pPr>
        <w:jc w:val="both"/>
        <w:rPr>
          <w:rFonts w:ascii="Times New Roman" w:eastAsia="Times New Roman" w:hAnsi="Times New Roman" w:cs="Times New Roman"/>
          <w:color w:val="000000" w:themeColor="text1"/>
          <w:sz w:val="24"/>
          <w:szCs w:val="24"/>
          <w:lang w:val="en-US" w:eastAsia="en-GB"/>
        </w:rPr>
      </w:pPr>
      <w:r w:rsidRPr="00625A76">
        <w:rPr>
          <w:rFonts w:ascii="Calibri" w:eastAsia="Yu Mincho" w:hAnsi="Calibri" w:cs="Times New Roman"/>
          <w:color w:val="000000" w:themeColor="text1"/>
          <w:sz w:val="28"/>
          <w:szCs w:val="28"/>
          <w:lang w:val="en-US" w:eastAsia="ja-JP"/>
        </w:rPr>
        <w:t>Not surprisingly, p</w:t>
      </w:r>
      <w:r w:rsidR="00254898" w:rsidRPr="00625A76">
        <w:rPr>
          <w:rFonts w:ascii="Calibri" w:eastAsia="Yu Mincho" w:hAnsi="Calibri" w:cs="Times New Roman"/>
          <w:color w:val="000000" w:themeColor="text1"/>
          <w:sz w:val="28"/>
          <w:szCs w:val="28"/>
          <w:lang w:val="en-US" w:eastAsia="ja-JP"/>
        </w:rPr>
        <w:t xml:space="preserve">atients </w:t>
      </w:r>
      <w:r w:rsidR="00DB0573" w:rsidRPr="00625A76">
        <w:rPr>
          <w:rFonts w:ascii="Calibri" w:eastAsia="Yu Mincho" w:hAnsi="Calibri" w:cs="Times New Roman"/>
          <w:color w:val="000000" w:themeColor="text1"/>
          <w:sz w:val="28"/>
          <w:szCs w:val="28"/>
          <w:lang w:val="en-US" w:eastAsia="ja-JP"/>
        </w:rPr>
        <w:t>a</w:t>
      </w:r>
      <w:r w:rsidR="00254898" w:rsidRPr="00625A76">
        <w:rPr>
          <w:rFonts w:ascii="Calibri" w:eastAsia="Yu Mincho" w:hAnsi="Calibri" w:cs="Times New Roman"/>
          <w:color w:val="000000" w:themeColor="text1"/>
          <w:sz w:val="28"/>
          <w:szCs w:val="28"/>
          <w:lang w:val="en-US" w:eastAsia="ja-JP"/>
        </w:rPr>
        <w:t xml:space="preserve">re more willing to accept de-escalation </w:t>
      </w:r>
      <w:r w:rsidR="004054B6" w:rsidRPr="00625A76">
        <w:rPr>
          <w:rFonts w:ascii="Calibri" w:eastAsia="Yu Mincho" w:hAnsi="Calibri" w:cs="Times New Roman"/>
          <w:color w:val="000000" w:themeColor="text1"/>
          <w:sz w:val="28"/>
          <w:szCs w:val="28"/>
          <w:lang w:val="en-US" w:eastAsia="ja-JP"/>
        </w:rPr>
        <w:t>for treatments that ha</w:t>
      </w:r>
      <w:r w:rsidR="00DB0573" w:rsidRPr="00625A76">
        <w:rPr>
          <w:rFonts w:ascii="Calibri" w:eastAsia="Yu Mincho" w:hAnsi="Calibri" w:cs="Times New Roman"/>
          <w:color w:val="000000" w:themeColor="text1"/>
          <w:sz w:val="28"/>
          <w:szCs w:val="28"/>
          <w:lang w:val="en-US" w:eastAsia="ja-JP"/>
        </w:rPr>
        <w:t>ve</w:t>
      </w:r>
      <w:r w:rsidR="004054B6" w:rsidRPr="00625A76">
        <w:rPr>
          <w:rFonts w:ascii="Calibri" w:eastAsia="Yu Mincho" w:hAnsi="Calibri" w:cs="Times New Roman"/>
          <w:color w:val="000000" w:themeColor="text1"/>
          <w:sz w:val="28"/>
          <w:szCs w:val="28"/>
          <w:lang w:val="en-US" w:eastAsia="ja-JP"/>
        </w:rPr>
        <w:t xml:space="preserve"> </w:t>
      </w:r>
      <w:r w:rsidR="00200730" w:rsidRPr="00625A76">
        <w:rPr>
          <w:rFonts w:ascii="Calibri" w:eastAsia="Yu Mincho" w:hAnsi="Calibri" w:cs="Times New Roman"/>
          <w:color w:val="000000" w:themeColor="text1"/>
          <w:sz w:val="28"/>
          <w:szCs w:val="28"/>
          <w:lang w:val="en-US" w:eastAsia="ja-JP"/>
        </w:rPr>
        <w:t>worse</w:t>
      </w:r>
      <w:r w:rsidR="004054B6" w:rsidRPr="00625A76">
        <w:rPr>
          <w:rFonts w:ascii="Calibri" w:eastAsia="Yu Mincho" w:hAnsi="Calibri" w:cs="Times New Roman"/>
          <w:color w:val="000000" w:themeColor="text1"/>
          <w:sz w:val="28"/>
          <w:szCs w:val="28"/>
          <w:lang w:val="en-US" w:eastAsia="ja-JP"/>
        </w:rPr>
        <w:t xml:space="preserve"> side effects.</w:t>
      </w:r>
      <w:r w:rsidR="00200730" w:rsidRPr="00625A76">
        <w:rPr>
          <w:rFonts w:ascii="Calibri" w:eastAsia="Yu Mincho" w:hAnsi="Calibri" w:cs="Times New Roman"/>
          <w:color w:val="000000" w:themeColor="text1"/>
          <w:sz w:val="28"/>
          <w:szCs w:val="28"/>
          <w:lang w:val="en-US" w:eastAsia="ja-JP"/>
        </w:rPr>
        <w:t xml:space="preserve"> In</w:t>
      </w:r>
      <w:r w:rsidR="004054B6" w:rsidRPr="00625A76">
        <w:rPr>
          <w:rFonts w:ascii="Calibri" w:eastAsia="Yu Mincho" w:hAnsi="Calibri" w:cs="Times New Roman"/>
          <w:color w:val="000000" w:themeColor="text1"/>
          <w:sz w:val="28"/>
          <w:szCs w:val="28"/>
          <w:lang w:val="en-US" w:eastAsia="ja-JP"/>
        </w:rPr>
        <w:t xml:space="preserve"> the case of the PRIMETIME trial</w:t>
      </w:r>
      <w:r w:rsidR="009D09E5" w:rsidRPr="00625A76">
        <w:rPr>
          <w:rFonts w:ascii="Calibri" w:eastAsia="Yu Mincho" w:hAnsi="Calibri" w:cs="Times New Roman"/>
          <w:color w:val="000000" w:themeColor="text1"/>
          <w:sz w:val="28"/>
          <w:szCs w:val="28"/>
          <w:lang w:val="en-US" w:eastAsia="ja-JP"/>
        </w:rPr>
        <w:fldChar w:fldCharType="begin" w:fldLock="1"/>
      </w:r>
      <w:r w:rsidR="001A1C1C">
        <w:rPr>
          <w:rFonts w:ascii="Calibri" w:eastAsia="Yu Mincho" w:hAnsi="Calibri" w:cs="Times New Roman"/>
          <w:color w:val="000000" w:themeColor="text1"/>
          <w:sz w:val="28"/>
          <w:szCs w:val="28"/>
          <w:lang w:val="en-US" w:eastAsia="ja-JP"/>
        </w:rPr>
        <w:instrText>ADDIN CSL_CITATION {"citationItems":[{"id":"ITEM-1","itemData":{"DOI":"10.1016/j.clon.2017.12.022","ISSN":"0936-6555","author":[{"dropping-particle":"","family":"Bhattacharya","given":"I S","non-dropping-particle":"","parse-names":false,"suffix":""},{"dropping-particle":"","family":"Kirby","given":"A M","non-dropping-particle":"","parse-names":false,"suffix":""},{"dropping-particle":"","family":"Bliss","given":"J M","non-dropping-particle":"","parse-names":false,"suffix":""},{"dropping-particle":"","family":"Coles","given":"C E","non-dropping-particle":"","parse-names":false,"suffix":""}],"container-title":"Clinical Oncology","id":"ITEM-1","issue":"3","issued":{"date-parts":[["2018"]]},"page":"158-165","publisher":"Elsevier Ltd","title":"Can Interrogation of Tumour Characteristics Lead us to Safely Omit Adjuvant Radiotherapy in Patients with Early Breast Cancer ? Statement of Search Strategies Used and Sources of Information What are the Factors Contributing to the What are the Bene fi ts","type":"article-journal","volume":"30"},"uris":["http://www.mendeley.com/documents/?uuid=f5ba34b9-9347-494e-b025-7ccd4d13c551"]}],"mendeley":{"formattedCitation":"&lt;sup&gt;26&lt;/sup&gt;","plainTextFormattedCitation":"26","previouslyFormattedCitation":"&lt;sup&gt;26&lt;/sup&gt;"},"properties":{"noteIndex":0},"schema":"https://github.com/citation-style-language/schema/raw/master/csl-citation.json"}</w:instrText>
      </w:r>
      <w:r w:rsidR="009D09E5" w:rsidRPr="00625A76">
        <w:rPr>
          <w:rFonts w:ascii="Calibri" w:eastAsia="Yu Mincho" w:hAnsi="Calibri" w:cs="Times New Roman"/>
          <w:color w:val="000000" w:themeColor="text1"/>
          <w:sz w:val="28"/>
          <w:szCs w:val="28"/>
          <w:lang w:val="en-US" w:eastAsia="ja-JP"/>
        </w:rPr>
        <w:fldChar w:fldCharType="separate"/>
      </w:r>
      <w:r w:rsidR="00B21CA2" w:rsidRPr="00B21CA2">
        <w:rPr>
          <w:rFonts w:ascii="Calibri" w:eastAsia="Yu Mincho" w:hAnsi="Calibri" w:cs="Times New Roman"/>
          <w:noProof/>
          <w:color w:val="000000" w:themeColor="text1"/>
          <w:sz w:val="28"/>
          <w:szCs w:val="28"/>
          <w:vertAlign w:val="superscript"/>
          <w:lang w:val="en-US" w:eastAsia="ja-JP"/>
        </w:rPr>
        <w:t>26</w:t>
      </w:r>
      <w:r w:rsidR="009D09E5" w:rsidRPr="00625A76">
        <w:rPr>
          <w:rFonts w:ascii="Calibri" w:eastAsia="Yu Mincho" w:hAnsi="Calibri" w:cs="Times New Roman"/>
          <w:color w:val="000000" w:themeColor="text1"/>
          <w:sz w:val="28"/>
          <w:szCs w:val="28"/>
          <w:lang w:val="en-US" w:eastAsia="ja-JP"/>
        </w:rPr>
        <w:fldChar w:fldCharType="end"/>
      </w:r>
      <w:r w:rsidR="004054B6" w:rsidRPr="00625A76">
        <w:rPr>
          <w:rFonts w:ascii="Calibri" w:eastAsia="Yu Mincho" w:hAnsi="Calibri" w:cs="Times New Roman"/>
          <w:color w:val="000000" w:themeColor="text1"/>
          <w:sz w:val="28"/>
          <w:szCs w:val="28"/>
          <w:lang w:val="en-US" w:eastAsia="ja-JP"/>
        </w:rPr>
        <w:t xml:space="preserve"> where patients with low-grade, node-negative tumors </w:t>
      </w:r>
      <w:r w:rsidR="002A633B" w:rsidRPr="00625A76">
        <w:rPr>
          <w:rFonts w:ascii="Calibri" w:eastAsia="Yu Mincho" w:hAnsi="Calibri" w:cs="Times New Roman"/>
          <w:color w:val="000000" w:themeColor="text1"/>
          <w:sz w:val="28"/>
          <w:szCs w:val="28"/>
          <w:lang w:val="en-US" w:eastAsia="ja-JP"/>
        </w:rPr>
        <w:t>are</w:t>
      </w:r>
      <w:r w:rsidR="004054B6" w:rsidRPr="00625A76">
        <w:rPr>
          <w:rFonts w:ascii="Calibri" w:eastAsia="Yu Mincho" w:hAnsi="Calibri" w:cs="Times New Roman"/>
          <w:color w:val="000000" w:themeColor="text1"/>
          <w:sz w:val="28"/>
          <w:szCs w:val="28"/>
          <w:lang w:val="en-US" w:eastAsia="ja-JP"/>
        </w:rPr>
        <w:t xml:space="preserve"> identified as low-risk by a histochemical (IHC4) biomarker score to </w:t>
      </w:r>
      <w:r w:rsidRPr="00625A76">
        <w:rPr>
          <w:rFonts w:ascii="Calibri" w:eastAsia="Yu Mincho" w:hAnsi="Calibri" w:cs="Times New Roman"/>
          <w:color w:val="000000" w:themeColor="text1"/>
          <w:sz w:val="28"/>
          <w:szCs w:val="28"/>
          <w:lang w:val="en-US" w:eastAsia="ja-JP"/>
        </w:rPr>
        <w:t xml:space="preserve">avoid </w:t>
      </w:r>
      <w:r w:rsidR="004054B6" w:rsidRPr="00625A76">
        <w:rPr>
          <w:rFonts w:ascii="Calibri" w:eastAsia="Yu Mincho" w:hAnsi="Calibri" w:cs="Times New Roman"/>
          <w:color w:val="000000" w:themeColor="text1"/>
          <w:sz w:val="28"/>
          <w:szCs w:val="28"/>
          <w:lang w:val="en-US" w:eastAsia="ja-JP"/>
        </w:rPr>
        <w:t xml:space="preserve">radiotherapy, more patients responded that they would consider de-escalation despite the </w:t>
      </w:r>
      <w:r w:rsidR="00F522AD" w:rsidRPr="00625A76">
        <w:rPr>
          <w:rFonts w:ascii="Calibri" w:eastAsia="Yu Mincho" w:hAnsi="Calibri" w:cs="Times New Roman"/>
          <w:color w:val="000000" w:themeColor="text1"/>
          <w:sz w:val="28"/>
          <w:szCs w:val="28"/>
          <w:lang w:val="en-US" w:eastAsia="ja-JP"/>
        </w:rPr>
        <w:t xml:space="preserve">potential </w:t>
      </w:r>
      <w:r w:rsidR="004054B6" w:rsidRPr="00625A76">
        <w:rPr>
          <w:rFonts w:ascii="Calibri" w:eastAsia="Yu Mincho" w:hAnsi="Calibri" w:cs="Times New Roman"/>
          <w:color w:val="000000" w:themeColor="text1"/>
          <w:sz w:val="28"/>
          <w:szCs w:val="28"/>
          <w:lang w:val="en-US" w:eastAsia="ja-JP"/>
        </w:rPr>
        <w:t>increased risk</w:t>
      </w:r>
      <w:r w:rsidR="00F522AD" w:rsidRPr="00625A76">
        <w:rPr>
          <w:rFonts w:ascii="Calibri" w:eastAsia="Yu Mincho" w:hAnsi="Calibri" w:cs="Times New Roman"/>
          <w:color w:val="000000" w:themeColor="text1"/>
          <w:sz w:val="28"/>
          <w:szCs w:val="28"/>
          <w:lang w:val="en-US" w:eastAsia="ja-JP"/>
        </w:rPr>
        <w:t xml:space="preserve"> of a rare </w:t>
      </w:r>
      <w:r w:rsidR="007968C5" w:rsidRPr="00625A76">
        <w:rPr>
          <w:rFonts w:ascii="Calibri" w:eastAsia="Yu Mincho" w:hAnsi="Calibri" w:cs="Times New Roman"/>
          <w:color w:val="000000" w:themeColor="text1"/>
          <w:sz w:val="28"/>
          <w:szCs w:val="28"/>
          <w:lang w:val="en-US" w:eastAsia="ja-JP"/>
        </w:rPr>
        <w:t>but</w:t>
      </w:r>
      <w:r w:rsidR="00F522AD" w:rsidRPr="00625A76">
        <w:rPr>
          <w:rFonts w:ascii="Calibri" w:eastAsia="Yu Mincho" w:hAnsi="Calibri" w:cs="Times New Roman"/>
          <w:color w:val="000000" w:themeColor="text1"/>
          <w:sz w:val="28"/>
          <w:szCs w:val="28"/>
          <w:lang w:val="en-US" w:eastAsia="ja-JP"/>
        </w:rPr>
        <w:t xml:space="preserve"> treatable local recurrence</w:t>
      </w:r>
      <w:r w:rsidR="004054B6" w:rsidRPr="00625A76">
        <w:rPr>
          <w:rFonts w:ascii="Calibri" w:eastAsia="Yu Mincho" w:hAnsi="Calibri" w:cs="Times New Roman"/>
          <w:color w:val="000000" w:themeColor="text1"/>
          <w:sz w:val="28"/>
          <w:szCs w:val="28"/>
          <w:lang w:val="en-US" w:eastAsia="ja-JP"/>
        </w:rPr>
        <w:t xml:space="preserve">. The same was true when asked to consider the MINDACT trial where patients identified as </w:t>
      </w:r>
      <w:proofErr w:type="gramStart"/>
      <w:r w:rsidR="004054B6" w:rsidRPr="00625A76">
        <w:rPr>
          <w:rFonts w:ascii="Calibri" w:eastAsia="Yu Mincho" w:hAnsi="Calibri" w:cs="Times New Roman"/>
          <w:color w:val="000000" w:themeColor="text1"/>
          <w:sz w:val="28"/>
          <w:szCs w:val="28"/>
          <w:lang w:val="en-US" w:eastAsia="ja-JP"/>
        </w:rPr>
        <w:t>low-risk</w:t>
      </w:r>
      <w:proofErr w:type="gramEnd"/>
      <w:r w:rsidR="004054B6" w:rsidRPr="00625A76">
        <w:rPr>
          <w:rFonts w:ascii="Calibri" w:eastAsia="Yu Mincho" w:hAnsi="Calibri" w:cs="Times New Roman"/>
          <w:color w:val="000000" w:themeColor="text1"/>
          <w:sz w:val="28"/>
          <w:szCs w:val="28"/>
          <w:lang w:val="en-US" w:eastAsia="ja-JP"/>
        </w:rPr>
        <w:t xml:space="preserve"> by genomic markers would be randomized to forgo chemotherapy. </w:t>
      </w:r>
    </w:p>
    <w:p w14:paraId="77AFA74F" w14:textId="62EC757C" w:rsidR="007C5FB7" w:rsidRPr="00625A76" w:rsidRDefault="004054B6" w:rsidP="002F3AF2">
      <w:pPr>
        <w:jc w:val="both"/>
        <w:rPr>
          <w:rFonts w:ascii="Calibri" w:eastAsia="Yu Mincho" w:hAnsi="Calibri" w:cs="Times New Roman"/>
          <w:color w:val="000000" w:themeColor="text1"/>
          <w:sz w:val="28"/>
          <w:szCs w:val="28"/>
          <w:lang w:val="en-US" w:eastAsia="ja-JP"/>
        </w:rPr>
      </w:pPr>
      <w:r w:rsidRPr="00625A76">
        <w:rPr>
          <w:rFonts w:ascii="Calibri" w:eastAsia="Yu Mincho" w:hAnsi="Calibri" w:cs="Times New Roman"/>
          <w:color w:val="000000" w:themeColor="text1"/>
          <w:sz w:val="28"/>
          <w:szCs w:val="28"/>
          <w:lang w:val="en-US" w:eastAsia="ja-JP"/>
        </w:rPr>
        <w:t>There was less tolerance for risk when considering reducing trastuzumab treatment</w:t>
      </w:r>
      <w:r w:rsidR="00254898" w:rsidRPr="00625A76">
        <w:rPr>
          <w:rFonts w:ascii="Calibri" w:eastAsia="Yu Mincho" w:hAnsi="Calibri" w:cs="Times New Roman"/>
          <w:color w:val="000000" w:themeColor="text1"/>
          <w:sz w:val="28"/>
          <w:szCs w:val="28"/>
          <w:lang w:val="en-US" w:eastAsia="ja-JP"/>
        </w:rPr>
        <w:t>, such as in</w:t>
      </w:r>
      <w:r w:rsidRPr="00625A76">
        <w:rPr>
          <w:rFonts w:ascii="Calibri" w:eastAsia="Yu Mincho" w:hAnsi="Calibri" w:cs="Times New Roman"/>
          <w:color w:val="000000" w:themeColor="text1"/>
          <w:sz w:val="28"/>
          <w:szCs w:val="28"/>
          <w:lang w:val="en-US" w:eastAsia="ja-JP"/>
        </w:rPr>
        <w:t xml:space="preserve"> PHARE and PERSEPHONE</w:t>
      </w:r>
      <w:r w:rsidR="00254898" w:rsidRPr="00625A76">
        <w:rPr>
          <w:rFonts w:ascii="Calibri" w:eastAsia="Yu Mincho" w:hAnsi="Calibri" w:cs="Times New Roman"/>
          <w:color w:val="000000" w:themeColor="text1"/>
          <w:sz w:val="28"/>
          <w:szCs w:val="28"/>
          <w:lang w:val="en-US" w:eastAsia="ja-JP"/>
        </w:rPr>
        <w:t xml:space="preserve">, since </w:t>
      </w:r>
      <w:r w:rsidR="00DE6A53" w:rsidRPr="00625A76">
        <w:rPr>
          <w:rFonts w:ascii="Calibri" w:eastAsia="Yu Mincho" w:hAnsi="Calibri" w:cs="Times New Roman"/>
          <w:color w:val="000000" w:themeColor="text1"/>
          <w:sz w:val="28"/>
          <w:szCs w:val="28"/>
          <w:lang w:val="en-US" w:eastAsia="ja-JP"/>
        </w:rPr>
        <w:t>trastuzumab</w:t>
      </w:r>
      <w:r w:rsidRPr="00625A76">
        <w:rPr>
          <w:rFonts w:ascii="Calibri" w:eastAsia="Yu Mincho" w:hAnsi="Calibri" w:cs="Times New Roman"/>
          <w:color w:val="000000" w:themeColor="text1"/>
          <w:sz w:val="28"/>
          <w:szCs w:val="28"/>
          <w:lang w:val="en-US" w:eastAsia="ja-JP"/>
        </w:rPr>
        <w:t xml:space="preserve"> ha</w:t>
      </w:r>
      <w:r w:rsidR="00DE6A53">
        <w:rPr>
          <w:rFonts w:ascii="Calibri" w:eastAsia="Yu Mincho" w:hAnsi="Calibri" w:cs="Times New Roman"/>
          <w:color w:val="000000" w:themeColor="text1"/>
          <w:sz w:val="28"/>
          <w:szCs w:val="28"/>
          <w:lang w:val="en-US" w:eastAsia="ja-JP"/>
        </w:rPr>
        <w:t>s</w:t>
      </w:r>
      <w:r w:rsidRPr="00625A76">
        <w:rPr>
          <w:rFonts w:ascii="Calibri" w:eastAsia="Yu Mincho" w:hAnsi="Calibri" w:cs="Times New Roman"/>
          <w:color w:val="000000" w:themeColor="text1"/>
          <w:sz w:val="28"/>
          <w:szCs w:val="28"/>
          <w:lang w:val="en-US" w:eastAsia="ja-JP"/>
        </w:rPr>
        <w:t xml:space="preserve"> fewer uncomfortable side effects. This was true even after being educated about the </w:t>
      </w:r>
      <w:r w:rsidR="008445B3">
        <w:rPr>
          <w:rFonts w:ascii="Calibri" w:eastAsia="Yu Mincho" w:hAnsi="Calibri" w:cs="Times New Roman"/>
          <w:color w:val="000000" w:themeColor="text1"/>
          <w:sz w:val="28"/>
          <w:szCs w:val="28"/>
          <w:lang w:val="en-US" w:eastAsia="ja-JP"/>
        </w:rPr>
        <w:t>fact</w:t>
      </w:r>
      <w:r w:rsidR="008445B3" w:rsidRPr="00625A76">
        <w:rPr>
          <w:rFonts w:ascii="Calibri" w:eastAsia="Yu Mincho" w:hAnsi="Calibri" w:cs="Times New Roman"/>
          <w:color w:val="000000" w:themeColor="text1"/>
          <w:sz w:val="28"/>
          <w:szCs w:val="28"/>
          <w:lang w:val="en-US" w:eastAsia="ja-JP"/>
        </w:rPr>
        <w:t xml:space="preserve"> </w:t>
      </w:r>
      <w:r w:rsidRPr="00625A76">
        <w:rPr>
          <w:rFonts w:ascii="Calibri" w:eastAsia="Yu Mincho" w:hAnsi="Calibri" w:cs="Times New Roman"/>
          <w:color w:val="000000" w:themeColor="text1"/>
          <w:sz w:val="28"/>
          <w:szCs w:val="28"/>
          <w:lang w:val="en-US" w:eastAsia="ja-JP"/>
        </w:rPr>
        <w:t>that trastuzumab increase</w:t>
      </w:r>
      <w:r w:rsidR="008445B3">
        <w:rPr>
          <w:rFonts w:ascii="Calibri" w:eastAsia="Yu Mincho" w:hAnsi="Calibri" w:cs="Times New Roman"/>
          <w:color w:val="000000" w:themeColor="text1"/>
          <w:sz w:val="28"/>
          <w:szCs w:val="28"/>
          <w:lang w:val="en-US" w:eastAsia="ja-JP"/>
        </w:rPr>
        <w:t>s</w:t>
      </w:r>
      <w:r w:rsidRPr="00625A76">
        <w:rPr>
          <w:rFonts w:ascii="Calibri" w:eastAsia="Yu Mincho" w:hAnsi="Calibri" w:cs="Times New Roman"/>
          <w:color w:val="000000" w:themeColor="text1"/>
          <w:sz w:val="28"/>
          <w:szCs w:val="28"/>
          <w:lang w:val="en-US" w:eastAsia="ja-JP"/>
        </w:rPr>
        <w:t xml:space="preserve"> risk of cardiovascular events. </w:t>
      </w:r>
    </w:p>
    <w:p w14:paraId="165D4E4D" w14:textId="6EDF45E4" w:rsidR="004054B6" w:rsidRPr="00625A76" w:rsidRDefault="004054B6" w:rsidP="002F3AF2">
      <w:pPr>
        <w:jc w:val="both"/>
        <w:rPr>
          <w:rFonts w:ascii="Calibri" w:eastAsia="Yu Mincho" w:hAnsi="Calibri" w:cs="Times New Roman"/>
          <w:color w:val="000000" w:themeColor="text1"/>
          <w:sz w:val="28"/>
          <w:szCs w:val="28"/>
          <w:lang w:val="en-US" w:eastAsia="ja-JP"/>
        </w:rPr>
      </w:pPr>
      <w:r w:rsidRPr="00625A76">
        <w:rPr>
          <w:rFonts w:ascii="Calibri" w:eastAsia="Yu Mincho" w:hAnsi="Calibri" w:cs="Times New Roman"/>
          <w:color w:val="000000" w:themeColor="text1"/>
          <w:sz w:val="28"/>
          <w:szCs w:val="28"/>
          <w:lang w:val="en-US" w:eastAsia="ja-JP"/>
        </w:rPr>
        <w:t>Risk tolerance was higher for older patients who</w:t>
      </w:r>
      <w:r w:rsidR="00254898" w:rsidRPr="00625A76">
        <w:rPr>
          <w:rFonts w:ascii="Calibri" w:eastAsia="Yu Mincho" w:hAnsi="Calibri" w:cs="Times New Roman"/>
          <w:color w:val="000000" w:themeColor="text1"/>
          <w:sz w:val="28"/>
          <w:szCs w:val="28"/>
          <w:lang w:val="en-US" w:eastAsia="ja-JP"/>
        </w:rPr>
        <w:t xml:space="preserve"> </w:t>
      </w:r>
      <w:r w:rsidR="00744A26">
        <w:rPr>
          <w:rFonts w:ascii="Calibri" w:eastAsia="Yu Mincho" w:hAnsi="Calibri" w:cs="Times New Roman"/>
          <w:color w:val="000000" w:themeColor="text1"/>
          <w:sz w:val="28"/>
          <w:szCs w:val="28"/>
          <w:lang w:val="en-US" w:eastAsia="ja-JP"/>
        </w:rPr>
        <w:t>were less</w:t>
      </w:r>
      <w:r w:rsidR="00084C25" w:rsidRPr="00625A76">
        <w:rPr>
          <w:rFonts w:ascii="Calibri" w:eastAsia="Yu Mincho" w:hAnsi="Calibri" w:cs="Times New Roman"/>
          <w:color w:val="000000" w:themeColor="text1"/>
          <w:sz w:val="28"/>
          <w:szCs w:val="28"/>
          <w:lang w:val="en-US" w:eastAsia="ja-JP"/>
        </w:rPr>
        <w:t xml:space="preserve"> </w:t>
      </w:r>
      <w:r w:rsidRPr="00625A76">
        <w:rPr>
          <w:rFonts w:ascii="Calibri" w:eastAsia="Yu Mincho" w:hAnsi="Calibri" w:cs="Times New Roman"/>
          <w:color w:val="000000" w:themeColor="text1"/>
          <w:sz w:val="28"/>
          <w:szCs w:val="28"/>
          <w:lang w:val="en-US" w:eastAsia="ja-JP"/>
        </w:rPr>
        <w:t xml:space="preserve">willing to exchange quality of life for a </w:t>
      </w:r>
      <w:r w:rsidR="0023424C" w:rsidRPr="00625A76">
        <w:rPr>
          <w:rFonts w:ascii="Calibri" w:eastAsia="Yu Mincho" w:hAnsi="Calibri" w:cs="Times New Roman"/>
          <w:color w:val="000000" w:themeColor="text1"/>
          <w:sz w:val="28"/>
          <w:szCs w:val="28"/>
          <w:lang w:val="en-US" w:eastAsia="ja-JP"/>
        </w:rPr>
        <w:t>limited increase in</w:t>
      </w:r>
      <w:r w:rsidRPr="00625A76">
        <w:rPr>
          <w:rFonts w:ascii="Calibri" w:eastAsia="Yu Mincho" w:hAnsi="Calibri" w:cs="Times New Roman"/>
          <w:color w:val="000000" w:themeColor="text1"/>
          <w:sz w:val="28"/>
          <w:szCs w:val="28"/>
          <w:lang w:val="en-US" w:eastAsia="ja-JP"/>
        </w:rPr>
        <w:t xml:space="preserve"> survival</w:t>
      </w:r>
      <w:r w:rsidR="00200730" w:rsidRPr="00625A76">
        <w:rPr>
          <w:rFonts w:ascii="Calibri" w:eastAsia="Yu Mincho" w:hAnsi="Calibri" w:cs="Times New Roman"/>
          <w:color w:val="000000" w:themeColor="text1"/>
          <w:sz w:val="28"/>
          <w:szCs w:val="28"/>
          <w:lang w:val="en-US" w:eastAsia="ja-JP"/>
        </w:rPr>
        <w:t xml:space="preserve">. </w:t>
      </w:r>
      <w:r w:rsidR="00084C25" w:rsidRPr="00625A76">
        <w:rPr>
          <w:rFonts w:ascii="Calibri" w:eastAsia="Yu Mincho" w:hAnsi="Calibri" w:cs="Times New Roman"/>
          <w:color w:val="000000" w:themeColor="text1"/>
          <w:sz w:val="28"/>
          <w:szCs w:val="28"/>
          <w:lang w:val="en-US" w:eastAsia="ja-JP"/>
        </w:rPr>
        <w:t xml:space="preserve">Maintaining physical function and independence is even more important to older patients. </w:t>
      </w:r>
      <w:r w:rsidR="00200730" w:rsidRPr="00625A76">
        <w:rPr>
          <w:rFonts w:ascii="Calibri" w:eastAsia="Yu Mincho" w:hAnsi="Calibri" w:cs="Times New Roman"/>
          <w:color w:val="000000" w:themeColor="text1"/>
          <w:sz w:val="28"/>
          <w:szCs w:val="28"/>
          <w:lang w:val="en-US" w:eastAsia="ja-JP"/>
        </w:rPr>
        <w:t>This</w:t>
      </w:r>
      <w:r w:rsidR="00E50AC1" w:rsidRPr="00625A76">
        <w:rPr>
          <w:rFonts w:ascii="Calibri" w:eastAsia="Yu Mincho" w:hAnsi="Calibri" w:cs="Times New Roman"/>
          <w:color w:val="000000" w:themeColor="text1"/>
          <w:sz w:val="28"/>
          <w:szCs w:val="28"/>
          <w:lang w:val="en-US" w:eastAsia="ja-JP"/>
        </w:rPr>
        <w:t xml:space="preserve"> is</w:t>
      </w:r>
      <w:r w:rsidR="00200730" w:rsidRPr="00625A76">
        <w:rPr>
          <w:rFonts w:ascii="Calibri" w:eastAsia="Yu Mincho" w:hAnsi="Calibri" w:cs="Times New Roman"/>
          <w:color w:val="000000" w:themeColor="text1"/>
          <w:sz w:val="28"/>
          <w:szCs w:val="28"/>
          <w:lang w:val="en-US" w:eastAsia="ja-JP"/>
        </w:rPr>
        <w:t xml:space="preserve"> in contrast to</w:t>
      </w:r>
      <w:r w:rsidRPr="00625A76">
        <w:rPr>
          <w:rFonts w:ascii="Calibri" w:eastAsia="Yu Mincho" w:hAnsi="Calibri" w:cs="Times New Roman"/>
          <w:color w:val="000000" w:themeColor="text1"/>
          <w:sz w:val="28"/>
          <w:szCs w:val="28"/>
          <w:lang w:val="en-US" w:eastAsia="ja-JP"/>
        </w:rPr>
        <w:t xml:space="preserve"> younger patients who </w:t>
      </w:r>
      <w:r w:rsidR="00744A26">
        <w:rPr>
          <w:rFonts w:ascii="Calibri" w:eastAsia="Yu Mincho" w:hAnsi="Calibri" w:cs="Times New Roman"/>
          <w:color w:val="000000" w:themeColor="text1"/>
          <w:sz w:val="28"/>
          <w:szCs w:val="28"/>
          <w:lang w:val="en-US" w:eastAsia="ja-JP"/>
        </w:rPr>
        <w:t>were</w:t>
      </w:r>
      <w:r w:rsidR="00084C25" w:rsidRPr="00625A76">
        <w:rPr>
          <w:rFonts w:ascii="Calibri" w:eastAsia="Yu Mincho" w:hAnsi="Calibri" w:cs="Times New Roman"/>
          <w:color w:val="000000" w:themeColor="text1"/>
          <w:sz w:val="28"/>
          <w:szCs w:val="28"/>
          <w:lang w:val="en-US" w:eastAsia="ja-JP"/>
        </w:rPr>
        <w:t xml:space="preserve"> willing to exchange a lower quality of life for any </w:t>
      </w:r>
      <w:r w:rsidR="00084C25" w:rsidRPr="00625A76">
        <w:rPr>
          <w:rFonts w:ascii="Calibri" w:eastAsia="Yu Mincho" w:hAnsi="Calibri" w:cs="Times New Roman"/>
          <w:color w:val="000000" w:themeColor="text1"/>
          <w:sz w:val="28"/>
          <w:szCs w:val="28"/>
          <w:lang w:val="en-US" w:eastAsia="ja-JP"/>
        </w:rPr>
        <w:lastRenderedPageBreak/>
        <w:t>increase in survival since they are usually looking toward a long future of work and</w:t>
      </w:r>
      <w:r w:rsidRPr="00625A76">
        <w:rPr>
          <w:rFonts w:ascii="Calibri" w:eastAsia="Yu Mincho" w:hAnsi="Calibri" w:cs="Times New Roman"/>
          <w:color w:val="000000" w:themeColor="text1"/>
          <w:sz w:val="28"/>
          <w:szCs w:val="28"/>
          <w:lang w:val="en-US" w:eastAsia="ja-JP"/>
        </w:rPr>
        <w:t xml:space="preserve"> family obligations. </w:t>
      </w:r>
      <w:r w:rsidR="00254898" w:rsidRPr="00625A76">
        <w:rPr>
          <w:rFonts w:ascii="Calibri" w:eastAsia="Yu Mincho" w:hAnsi="Calibri" w:cs="Times New Roman"/>
          <w:color w:val="000000" w:themeColor="text1"/>
          <w:sz w:val="28"/>
          <w:szCs w:val="28"/>
          <w:lang w:val="en-US" w:eastAsia="ja-JP"/>
        </w:rPr>
        <w:t xml:space="preserve">Importantly, </w:t>
      </w:r>
      <w:r w:rsidRPr="00625A76">
        <w:rPr>
          <w:rFonts w:ascii="Calibri" w:eastAsia="Yu Mincho" w:hAnsi="Calibri" w:cs="Times New Roman"/>
          <w:color w:val="000000" w:themeColor="text1"/>
          <w:sz w:val="28"/>
          <w:szCs w:val="28"/>
          <w:lang w:val="en-US" w:eastAsia="ja-JP"/>
        </w:rPr>
        <w:t xml:space="preserve">at each workshop, patients were reticent to consider greater than 3% decrease in </w:t>
      </w:r>
      <w:r w:rsidR="003B76E0">
        <w:rPr>
          <w:rFonts w:ascii="Calibri" w:eastAsia="Yu Mincho" w:hAnsi="Calibri" w:cs="Times New Roman"/>
          <w:color w:val="000000" w:themeColor="text1"/>
          <w:sz w:val="28"/>
          <w:szCs w:val="28"/>
          <w:lang w:val="en-US" w:eastAsia="ja-JP"/>
        </w:rPr>
        <w:t>DMFS</w:t>
      </w:r>
      <w:r w:rsidRPr="00625A76">
        <w:rPr>
          <w:rFonts w:ascii="Calibri" w:eastAsia="Yu Mincho" w:hAnsi="Calibri" w:cs="Times New Roman"/>
          <w:color w:val="000000" w:themeColor="text1"/>
          <w:sz w:val="28"/>
          <w:szCs w:val="28"/>
          <w:lang w:val="en-US" w:eastAsia="ja-JP"/>
        </w:rPr>
        <w:t xml:space="preserve"> when considering a treatment de-escalation.</w:t>
      </w:r>
    </w:p>
    <w:p w14:paraId="149193FA" w14:textId="0AC06432" w:rsidR="004054B6" w:rsidRPr="00625A76" w:rsidRDefault="003A3BB0" w:rsidP="002F3AF2">
      <w:pPr>
        <w:jc w:val="both"/>
        <w:rPr>
          <w:rFonts w:ascii="Calibri" w:eastAsia="Yu Mincho" w:hAnsi="Calibri" w:cs="Times New Roman"/>
          <w:color w:val="000000" w:themeColor="text1"/>
          <w:sz w:val="28"/>
          <w:szCs w:val="28"/>
          <w:lang w:val="en-US" w:eastAsia="ja-JP"/>
        </w:rPr>
      </w:pPr>
      <w:r w:rsidRPr="00625A76">
        <w:rPr>
          <w:rFonts w:ascii="Calibri" w:eastAsia="Yu Mincho" w:hAnsi="Calibri" w:cs="Times New Roman"/>
          <w:color w:val="000000" w:themeColor="text1"/>
          <w:sz w:val="28"/>
          <w:szCs w:val="28"/>
          <w:lang w:val="en-US" w:eastAsia="ja-JP"/>
        </w:rPr>
        <w:t>For de-escalation trials it is even more important that physicians</w:t>
      </w:r>
      <w:r w:rsidR="004054B6" w:rsidRPr="00625A76">
        <w:rPr>
          <w:rFonts w:ascii="Calibri" w:eastAsia="Yu Mincho" w:hAnsi="Calibri" w:cs="Times New Roman"/>
          <w:color w:val="000000" w:themeColor="text1"/>
          <w:sz w:val="28"/>
          <w:szCs w:val="28"/>
          <w:lang w:val="en-US" w:eastAsia="ja-JP"/>
        </w:rPr>
        <w:t xml:space="preserve"> </w:t>
      </w:r>
      <w:r w:rsidRPr="00625A76">
        <w:rPr>
          <w:rFonts w:ascii="Calibri" w:eastAsia="Yu Mincho" w:hAnsi="Calibri" w:cs="Times New Roman"/>
          <w:color w:val="000000" w:themeColor="text1"/>
          <w:sz w:val="28"/>
          <w:szCs w:val="28"/>
          <w:lang w:val="en-US" w:eastAsia="ja-JP"/>
        </w:rPr>
        <w:t xml:space="preserve">take the time to prepare patients to make informed </w:t>
      </w:r>
      <w:r w:rsidR="004054B6" w:rsidRPr="00625A76">
        <w:rPr>
          <w:rFonts w:ascii="Calibri" w:eastAsia="Yu Mincho" w:hAnsi="Calibri" w:cs="Times New Roman"/>
          <w:color w:val="000000" w:themeColor="text1"/>
          <w:sz w:val="28"/>
          <w:szCs w:val="28"/>
          <w:lang w:val="en-US" w:eastAsia="ja-JP"/>
        </w:rPr>
        <w:t>treatment</w:t>
      </w:r>
      <w:r w:rsidR="007C5FB7" w:rsidRPr="00625A76">
        <w:rPr>
          <w:rFonts w:ascii="Calibri" w:eastAsia="Yu Mincho" w:hAnsi="Calibri" w:cs="Times New Roman"/>
          <w:color w:val="000000" w:themeColor="text1"/>
          <w:sz w:val="28"/>
          <w:szCs w:val="28"/>
          <w:lang w:val="en-US" w:eastAsia="ja-JP"/>
        </w:rPr>
        <w:t xml:space="preserve"> decisions</w:t>
      </w:r>
      <w:r w:rsidR="004054B6" w:rsidRPr="00625A76">
        <w:rPr>
          <w:rFonts w:ascii="Calibri" w:eastAsia="Yu Mincho" w:hAnsi="Calibri" w:cs="Times New Roman"/>
          <w:color w:val="000000" w:themeColor="text1"/>
          <w:sz w:val="28"/>
          <w:szCs w:val="28"/>
          <w:lang w:val="en-US" w:eastAsia="ja-JP"/>
        </w:rPr>
        <w:t xml:space="preserve">. </w:t>
      </w:r>
      <w:r w:rsidR="007C5FB7" w:rsidRPr="00625A76">
        <w:rPr>
          <w:rFonts w:ascii="Calibri" w:eastAsia="Yu Mincho" w:hAnsi="Calibri" w:cs="Times New Roman"/>
          <w:color w:val="000000" w:themeColor="text1"/>
          <w:sz w:val="28"/>
          <w:szCs w:val="28"/>
          <w:lang w:val="en-US" w:eastAsia="ja-JP"/>
        </w:rPr>
        <w:t>Patients expressed</w:t>
      </w:r>
      <w:r w:rsidR="004054B6" w:rsidRPr="00625A76">
        <w:rPr>
          <w:rFonts w:ascii="Calibri" w:eastAsia="Yu Mincho" w:hAnsi="Calibri" w:cs="Times New Roman"/>
          <w:color w:val="000000" w:themeColor="text1"/>
          <w:sz w:val="28"/>
          <w:szCs w:val="28"/>
          <w:lang w:val="en-US" w:eastAsia="ja-JP"/>
        </w:rPr>
        <w:t xml:space="preserve"> that</w:t>
      </w:r>
      <w:r w:rsidR="007C5FB7" w:rsidRPr="00625A76">
        <w:rPr>
          <w:rFonts w:ascii="Calibri" w:eastAsia="Yu Mincho" w:hAnsi="Calibri" w:cs="Times New Roman"/>
          <w:color w:val="000000" w:themeColor="text1"/>
          <w:sz w:val="28"/>
          <w:szCs w:val="28"/>
          <w:lang w:val="en-US" w:eastAsia="ja-JP"/>
        </w:rPr>
        <w:t xml:space="preserve"> they</w:t>
      </w:r>
      <w:r w:rsidR="004054B6" w:rsidRPr="00625A76">
        <w:rPr>
          <w:rFonts w:ascii="Calibri" w:eastAsia="Yu Mincho" w:hAnsi="Calibri" w:cs="Times New Roman"/>
          <w:color w:val="000000" w:themeColor="text1"/>
          <w:sz w:val="28"/>
          <w:szCs w:val="28"/>
          <w:lang w:val="en-US" w:eastAsia="ja-JP"/>
        </w:rPr>
        <w:t xml:space="preserve"> rely on the expertise of the doctor to lead them to the “right choice.” </w:t>
      </w:r>
      <w:r w:rsidR="00DB0573" w:rsidRPr="00625A76">
        <w:rPr>
          <w:rFonts w:ascii="Calibri" w:eastAsia="Yu Mincho" w:hAnsi="Calibri" w:cs="Times New Roman"/>
          <w:color w:val="000000" w:themeColor="text1"/>
          <w:sz w:val="28"/>
          <w:szCs w:val="28"/>
          <w:lang w:val="en-US" w:eastAsia="ja-JP"/>
        </w:rPr>
        <w:t>P</w:t>
      </w:r>
      <w:r w:rsidR="004054B6" w:rsidRPr="00625A76">
        <w:rPr>
          <w:rFonts w:ascii="Calibri" w:eastAsia="Yu Mincho" w:hAnsi="Calibri" w:cs="Times New Roman"/>
          <w:color w:val="000000" w:themeColor="text1"/>
          <w:sz w:val="28"/>
          <w:szCs w:val="28"/>
          <w:lang w:val="en-US" w:eastAsia="ja-JP"/>
        </w:rPr>
        <w:t xml:space="preserve">atients </w:t>
      </w:r>
      <w:r w:rsidR="00DB0573" w:rsidRPr="00625A76">
        <w:rPr>
          <w:rFonts w:ascii="Calibri" w:eastAsia="Yu Mincho" w:hAnsi="Calibri" w:cs="Times New Roman"/>
          <w:color w:val="000000" w:themeColor="text1"/>
          <w:sz w:val="28"/>
          <w:szCs w:val="28"/>
          <w:lang w:val="en-US" w:eastAsia="ja-JP"/>
        </w:rPr>
        <w:t>with</w:t>
      </w:r>
      <w:r w:rsidR="004054B6" w:rsidRPr="00625A76">
        <w:rPr>
          <w:rFonts w:ascii="Calibri" w:eastAsia="Yu Mincho" w:hAnsi="Calibri" w:cs="Times New Roman"/>
          <w:color w:val="000000" w:themeColor="text1"/>
          <w:sz w:val="28"/>
          <w:szCs w:val="28"/>
          <w:lang w:val="en-US" w:eastAsia="ja-JP"/>
        </w:rPr>
        <w:t xml:space="preserve"> metastatic or high-risk cancer</w:t>
      </w:r>
      <w:r w:rsidR="00254898" w:rsidRPr="00625A76">
        <w:rPr>
          <w:rFonts w:ascii="Calibri" w:eastAsia="Yu Mincho" w:hAnsi="Calibri" w:cs="Times New Roman"/>
          <w:color w:val="000000" w:themeColor="text1"/>
          <w:sz w:val="28"/>
          <w:szCs w:val="28"/>
          <w:lang w:val="en-US" w:eastAsia="ja-JP"/>
        </w:rPr>
        <w:t xml:space="preserve"> tend to</w:t>
      </w:r>
      <w:r w:rsidR="007C5FB7" w:rsidRPr="00625A76">
        <w:rPr>
          <w:rFonts w:ascii="Calibri" w:eastAsia="Yu Mincho" w:hAnsi="Calibri" w:cs="Times New Roman"/>
          <w:color w:val="000000" w:themeColor="text1"/>
          <w:sz w:val="28"/>
          <w:szCs w:val="28"/>
          <w:lang w:val="en-US" w:eastAsia="ja-JP"/>
        </w:rPr>
        <w:t xml:space="preserve"> </w:t>
      </w:r>
      <w:r w:rsidRPr="00625A76">
        <w:rPr>
          <w:rFonts w:ascii="Calibri" w:eastAsia="Yu Mincho" w:hAnsi="Calibri" w:cs="Times New Roman"/>
          <w:color w:val="000000" w:themeColor="text1"/>
          <w:sz w:val="28"/>
          <w:szCs w:val="28"/>
          <w:lang w:val="en-US" w:eastAsia="ja-JP"/>
        </w:rPr>
        <w:t xml:space="preserve">be more </w:t>
      </w:r>
      <w:r w:rsidR="007C5FB7" w:rsidRPr="00625A76">
        <w:rPr>
          <w:rFonts w:ascii="Calibri" w:eastAsia="Yu Mincho" w:hAnsi="Calibri" w:cs="Times New Roman"/>
          <w:color w:val="000000" w:themeColor="text1"/>
          <w:sz w:val="28"/>
          <w:szCs w:val="28"/>
          <w:lang w:val="en-US" w:eastAsia="ja-JP"/>
        </w:rPr>
        <w:t>hesita</w:t>
      </w:r>
      <w:r w:rsidRPr="00625A76">
        <w:rPr>
          <w:rFonts w:ascii="Calibri" w:eastAsia="Yu Mincho" w:hAnsi="Calibri" w:cs="Times New Roman"/>
          <w:color w:val="000000" w:themeColor="text1"/>
          <w:sz w:val="28"/>
          <w:szCs w:val="28"/>
          <w:lang w:val="en-US" w:eastAsia="ja-JP"/>
        </w:rPr>
        <w:t>nt</w:t>
      </w:r>
      <w:r w:rsidR="00870F63" w:rsidRPr="00625A76">
        <w:rPr>
          <w:rFonts w:ascii="Calibri" w:eastAsia="Yu Mincho" w:hAnsi="Calibri" w:cs="Times New Roman"/>
          <w:color w:val="000000" w:themeColor="text1"/>
          <w:sz w:val="28"/>
          <w:szCs w:val="28"/>
          <w:lang w:val="en-US" w:eastAsia="ja-JP"/>
        </w:rPr>
        <w:t xml:space="preserve"> </w:t>
      </w:r>
      <w:r w:rsidR="00DB0573" w:rsidRPr="00625A76">
        <w:rPr>
          <w:rFonts w:ascii="Calibri" w:eastAsia="Yu Mincho" w:hAnsi="Calibri" w:cs="Times New Roman"/>
          <w:color w:val="000000" w:themeColor="text1"/>
          <w:sz w:val="28"/>
          <w:szCs w:val="28"/>
          <w:lang w:val="en-US" w:eastAsia="ja-JP"/>
        </w:rPr>
        <w:t xml:space="preserve">to </w:t>
      </w:r>
      <w:r w:rsidR="007C5FB7" w:rsidRPr="00625A76">
        <w:rPr>
          <w:rFonts w:ascii="Calibri" w:eastAsia="Yu Mincho" w:hAnsi="Calibri" w:cs="Times New Roman"/>
          <w:color w:val="000000" w:themeColor="text1"/>
          <w:sz w:val="28"/>
          <w:szCs w:val="28"/>
          <w:lang w:val="en-US" w:eastAsia="ja-JP"/>
        </w:rPr>
        <w:t>accept</w:t>
      </w:r>
      <w:r w:rsidR="00254898" w:rsidRPr="00625A76">
        <w:rPr>
          <w:rFonts w:ascii="Calibri" w:eastAsia="Yu Mincho" w:hAnsi="Calibri" w:cs="Times New Roman"/>
          <w:color w:val="000000" w:themeColor="text1"/>
          <w:sz w:val="28"/>
          <w:szCs w:val="28"/>
          <w:lang w:val="en-US" w:eastAsia="ja-JP"/>
        </w:rPr>
        <w:t xml:space="preserve"> the risk</w:t>
      </w:r>
      <w:r w:rsidR="007C5FB7" w:rsidRPr="00625A76">
        <w:rPr>
          <w:rFonts w:ascii="Calibri" w:eastAsia="Yu Mincho" w:hAnsi="Calibri" w:cs="Times New Roman"/>
          <w:color w:val="000000" w:themeColor="text1"/>
          <w:sz w:val="28"/>
          <w:szCs w:val="28"/>
          <w:lang w:val="en-US" w:eastAsia="ja-JP"/>
        </w:rPr>
        <w:t xml:space="preserve"> </w:t>
      </w:r>
      <w:r w:rsidR="00254898" w:rsidRPr="00625A76">
        <w:rPr>
          <w:rFonts w:ascii="Calibri" w:eastAsia="Yu Mincho" w:hAnsi="Calibri" w:cs="Times New Roman"/>
          <w:color w:val="000000" w:themeColor="text1"/>
          <w:sz w:val="28"/>
          <w:szCs w:val="28"/>
          <w:lang w:val="en-US" w:eastAsia="ja-JP"/>
        </w:rPr>
        <w:t xml:space="preserve">of recurrence </w:t>
      </w:r>
      <w:r w:rsidR="007C5FB7" w:rsidRPr="00625A76">
        <w:rPr>
          <w:rFonts w:ascii="Calibri" w:eastAsia="Yu Mincho" w:hAnsi="Calibri" w:cs="Times New Roman"/>
          <w:color w:val="000000" w:themeColor="text1"/>
          <w:sz w:val="28"/>
          <w:szCs w:val="28"/>
          <w:lang w:val="en-US" w:eastAsia="ja-JP"/>
        </w:rPr>
        <w:t>in</w:t>
      </w:r>
      <w:r w:rsidR="004054B6" w:rsidRPr="00625A76">
        <w:rPr>
          <w:rFonts w:ascii="Calibri" w:eastAsia="Yu Mincho" w:hAnsi="Calibri" w:cs="Times New Roman"/>
          <w:color w:val="000000" w:themeColor="text1"/>
          <w:sz w:val="28"/>
          <w:szCs w:val="28"/>
          <w:lang w:val="en-US" w:eastAsia="ja-JP"/>
        </w:rPr>
        <w:t xml:space="preserve"> a de-escalation trial</w:t>
      </w:r>
      <w:r w:rsidR="00254898" w:rsidRPr="00625A76">
        <w:rPr>
          <w:rFonts w:ascii="Calibri" w:eastAsia="Yu Mincho" w:hAnsi="Calibri" w:cs="Times New Roman"/>
          <w:color w:val="000000" w:themeColor="text1"/>
          <w:sz w:val="28"/>
          <w:szCs w:val="28"/>
          <w:lang w:val="en-US" w:eastAsia="ja-JP"/>
        </w:rPr>
        <w:t>.</w:t>
      </w:r>
      <w:r w:rsidR="007C5FB7" w:rsidRPr="00625A76">
        <w:rPr>
          <w:rFonts w:ascii="Calibri" w:eastAsia="Yu Mincho" w:hAnsi="Calibri" w:cs="Times New Roman"/>
          <w:color w:val="000000" w:themeColor="text1"/>
          <w:sz w:val="28"/>
          <w:szCs w:val="28"/>
          <w:lang w:val="en-US" w:eastAsia="ja-JP"/>
        </w:rPr>
        <w:t xml:space="preserve"> </w:t>
      </w:r>
      <w:r w:rsidR="00254898" w:rsidRPr="00625A76">
        <w:rPr>
          <w:rFonts w:ascii="Calibri" w:eastAsia="Yu Mincho" w:hAnsi="Calibri" w:cs="Times New Roman"/>
          <w:color w:val="000000" w:themeColor="text1"/>
          <w:sz w:val="28"/>
          <w:szCs w:val="28"/>
          <w:lang w:val="en-US" w:eastAsia="ja-JP"/>
        </w:rPr>
        <w:t>I</w:t>
      </w:r>
      <w:r w:rsidR="004054B6" w:rsidRPr="00625A76">
        <w:rPr>
          <w:rFonts w:ascii="Calibri" w:eastAsia="Yu Mincho" w:hAnsi="Calibri" w:cs="Times New Roman"/>
          <w:color w:val="000000" w:themeColor="text1"/>
          <w:sz w:val="28"/>
          <w:szCs w:val="28"/>
          <w:lang w:val="en-US" w:eastAsia="ja-JP"/>
        </w:rPr>
        <w:t xml:space="preserve">t is paramount that risks </w:t>
      </w:r>
      <w:r w:rsidR="000E0A9C" w:rsidRPr="00625A76">
        <w:rPr>
          <w:rFonts w:ascii="Calibri" w:eastAsia="Yu Mincho" w:hAnsi="Calibri" w:cs="Times New Roman"/>
          <w:color w:val="000000" w:themeColor="text1"/>
          <w:sz w:val="28"/>
          <w:szCs w:val="28"/>
          <w:lang w:val="en-US" w:eastAsia="ja-JP"/>
        </w:rPr>
        <w:t>and potential</w:t>
      </w:r>
      <w:r w:rsidR="007513F1" w:rsidRPr="00625A76">
        <w:rPr>
          <w:rFonts w:ascii="Calibri" w:eastAsia="Yu Mincho" w:hAnsi="Calibri" w:cs="Times New Roman"/>
          <w:color w:val="000000" w:themeColor="text1"/>
          <w:sz w:val="28"/>
          <w:szCs w:val="28"/>
          <w:lang w:val="en-US" w:eastAsia="ja-JP"/>
        </w:rPr>
        <w:t xml:space="preserve"> therapeutic</w:t>
      </w:r>
      <w:r w:rsidR="000E0A9C" w:rsidRPr="00625A76">
        <w:rPr>
          <w:rFonts w:ascii="Calibri" w:eastAsia="Yu Mincho" w:hAnsi="Calibri" w:cs="Times New Roman"/>
          <w:color w:val="000000" w:themeColor="text1"/>
          <w:sz w:val="28"/>
          <w:szCs w:val="28"/>
          <w:lang w:val="en-US" w:eastAsia="ja-JP"/>
        </w:rPr>
        <w:t xml:space="preserve"> benefits </w:t>
      </w:r>
      <w:r w:rsidR="00744A26">
        <w:rPr>
          <w:rFonts w:ascii="Calibri" w:eastAsia="Yu Mincho" w:hAnsi="Calibri" w:cs="Times New Roman"/>
          <w:color w:val="000000" w:themeColor="text1"/>
          <w:sz w:val="28"/>
          <w:szCs w:val="28"/>
          <w:lang w:val="en-US" w:eastAsia="ja-JP"/>
        </w:rPr>
        <w:t>are</w:t>
      </w:r>
      <w:r w:rsidR="004054B6" w:rsidRPr="00625A76">
        <w:rPr>
          <w:rFonts w:ascii="Calibri" w:eastAsia="Yu Mincho" w:hAnsi="Calibri" w:cs="Times New Roman"/>
          <w:color w:val="000000" w:themeColor="text1"/>
          <w:sz w:val="28"/>
          <w:szCs w:val="28"/>
          <w:lang w:val="en-US" w:eastAsia="ja-JP"/>
        </w:rPr>
        <w:t xml:space="preserve"> fully explained to the</w:t>
      </w:r>
      <w:r w:rsidR="007C5FB7" w:rsidRPr="00625A76">
        <w:rPr>
          <w:rFonts w:ascii="Calibri" w:eastAsia="Yu Mincho" w:hAnsi="Calibri" w:cs="Times New Roman"/>
          <w:color w:val="000000" w:themeColor="text1"/>
          <w:sz w:val="28"/>
          <w:szCs w:val="28"/>
          <w:lang w:val="en-US" w:eastAsia="ja-JP"/>
        </w:rPr>
        <w:t>m</w:t>
      </w:r>
      <w:r w:rsidR="004054B6" w:rsidRPr="00625A76">
        <w:rPr>
          <w:rFonts w:ascii="Calibri" w:eastAsia="Yu Mincho" w:hAnsi="Calibri" w:cs="Times New Roman"/>
          <w:color w:val="000000" w:themeColor="text1"/>
          <w:sz w:val="28"/>
          <w:szCs w:val="28"/>
          <w:lang w:val="en-US" w:eastAsia="ja-JP"/>
        </w:rPr>
        <w:t xml:space="preserve"> before they make the commitment</w:t>
      </w:r>
      <w:r w:rsidR="00254898" w:rsidRPr="00625A76">
        <w:rPr>
          <w:rFonts w:ascii="Calibri" w:eastAsia="Yu Mincho" w:hAnsi="Calibri" w:cs="Times New Roman"/>
          <w:color w:val="000000" w:themeColor="text1"/>
          <w:sz w:val="28"/>
          <w:szCs w:val="28"/>
          <w:lang w:val="en-US" w:eastAsia="ja-JP"/>
        </w:rPr>
        <w:t xml:space="preserve"> to participate</w:t>
      </w:r>
      <w:r w:rsidR="004054B6" w:rsidRPr="00625A76">
        <w:rPr>
          <w:rFonts w:ascii="Calibri" w:eastAsia="Yu Mincho" w:hAnsi="Calibri" w:cs="Times New Roman"/>
          <w:color w:val="000000" w:themeColor="text1"/>
          <w:sz w:val="28"/>
          <w:szCs w:val="28"/>
          <w:lang w:val="en-US" w:eastAsia="ja-JP"/>
        </w:rPr>
        <w:t xml:space="preserve">. If they </w:t>
      </w:r>
      <w:r w:rsidR="007C5FB7" w:rsidRPr="00625A76">
        <w:rPr>
          <w:rFonts w:ascii="Calibri" w:eastAsia="Yu Mincho" w:hAnsi="Calibri" w:cs="Times New Roman"/>
          <w:color w:val="000000" w:themeColor="text1"/>
          <w:sz w:val="28"/>
          <w:szCs w:val="28"/>
          <w:lang w:val="en-US" w:eastAsia="ja-JP"/>
        </w:rPr>
        <w:t>perceive</w:t>
      </w:r>
      <w:r w:rsidR="004054B6" w:rsidRPr="00625A76">
        <w:rPr>
          <w:rFonts w:ascii="Calibri" w:eastAsia="Yu Mincho" w:hAnsi="Calibri" w:cs="Times New Roman"/>
          <w:color w:val="000000" w:themeColor="text1"/>
          <w:sz w:val="28"/>
          <w:szCs w:val="28"/>
          <w:lang w:val="en-US" w:eastAsia="ja-JP"/>
        </w:rPr>
        <w:t xml:space="preserve"> that they </w:t>
      </w:r>
      <w:r w:rsidR="002A633B" w:rsidRPr="00625A76">
        <w:rPr>
          <w:rFonts w:ascii="Calibri" w:eastAsia="Yu Mincho" w:hAnsi="Calibri" w:cs="Times New Roman"/>
          <w:color w:val="000000" w:themeColor="text1"/>
          <w:sz w:val="28"/>
          <w:szCs w:val="28"/>
          <w:lang w:val="en-US" w:eastAsia="ja-JP"/>
        </w:rPr>
        <w:t xml:space="preserve">may </w:t>
      </w:r>
      <w:r w:rsidR="004054B6" w:rsidRPr="00625A76">
        <w:rPr>
          <w:rFonts w:ascii="Calibri" w:eastAsia="Yu Mincho" w:hAnsi="Calibri" w:cs="Times New Roman"/>
          <w:color w:val="000000" w:themeColor="text1"/>
          <w:sz w:val="28"/>
          <w:szCs w:val="28"/>
          <w:lang w:val="en-US" w:eastAsia="ja-JP"/>
        </w:rPr>
        <w:t>regret their decision</w:t>
      </w:r>
      <w:r w:rsidR="002A633B" w:rsidRPr="00625A76">
        <w:rPr>
          <w:rFonts w:ascii="Calibri" w:eastAsia="Yu Mincho" w:hAnsi="Calibri" w:cs="Times New Roman"/>
          <w:color w:val="000000" w:themeColor="text1"/>
          <w:sz w:val="28"/>
          <w:szCs w:val="28"/>
          <w:lang w:val="en-US" w:eastAsia="ja-JP"/>
        </w:rPr>
        <w:t xml:space="preserve"> </w:t>
      </w:r>
      <w:r w:rsidR="00DF6ECF" w:rsidRPr="00625A76">
        <w:rPr>
          <w:rFonts w:ascii="Calibri" w:eastAsia="Yu Mincho" w:hAnsi="Calibri" w:cs="Times New Roman"/>
          <w:color w:val="000000" w:themeColor="text1"/>
          <w:sz w:val="28"/>
          <w:szCs w:val="28"/>
          <w:lang w:val="en-US" w:eastAsia="ja-JP"/>
        </w:rPr>
        <w:t>later,</w:t>
      </w:r>
      <w:r w:rsidR="004054B6" w:rsidRPr="00625A76">
        <w:rPr>
          <w:rFonts w:ascii="Calibri" w:eastAsia="Yu Mincho" w:hAnsi="Calibri" w:cs="Times New Roman"/>
          <w:color w:val="000000" w:themeColor="text1"/>
          <w:sz w:val="28"/>
          <w:szCs w:val="28"/>
          <w:lang w:val="en-US" w:eastAsia="ja-JP"/>
        </w:rPr>
        <w:t xml:space="preserve"> </w:t>
      </w:r>
      <w:r w:rsidR="002A633B" w:rsidRPr="00625A76">
        <w:rPr>
          <w:rFonts w:ascii="Calibri" w:eastAsia="Yu Mincho" w:hAnsi="Calibri" w:cs="Times New Roman"/>
          <w:color w:val="000000" w:themeColor="text1"/>
          <w:sz w:val="28"/>
          <w:szCs w:val="28"/>
          <w:lang w:val="en-US" w:eastAsia="ja-JP"/>
        </w:rPr>
        <w:t>they would rather not take the risk</w:t>
      </w:r>
      <w:r w:rsidR="004054B6" w:rsidRPr="00625A76">
        <w:rPr>
          <w:rFonts w:ascii="Calibri" w:eastAsia="Yu Mincho" w:hAnsi="Calibri" w:cs="Times New Roman"/>
          <w:color w:val="000000" w:themeColor="text1"/>
          <w:sz w:val="28"/>
          <w:szCs w:val="28"/>
          <w:lang w:val="en-US" w:eastAsia="ja-JP"/>
        </w:rPr>
        <w:t xml:space="preserve">. The </w:t>
      </w:r>
      <w:r w:rsidR="00D34240" w:rsidRPr="00625A76">
        <w:rPr>
          <w:rFonts w:ascii="Calibri" w:eastAsia="Yu Mincho" w:hAnsi="Calibri" w:cs="Times New Roman"/>
          <w:color w:val="000000" w:themeColor="text1"/>
          <w:sz w:val="28"/>
          <w:szCs w:val="28"/>
          <w:lang w:val="en-US" w:eastAsia="ja-JP"/>
        </w:rPr>
        <w:t>patients</w:t>
      </w:r>
      <w:r w:rsidR="004054B6" w:rsidRPr="00625A76">
        <w:rPr>
          <w:rFonts w:ascii="Calibri" w:eastAsia="Yu Mincho" w:hAnsi="Calibri" w:cs="Times New Roman"/>
          <w:color w:val="000000" w:themeColor="text1"/>
          <w:sz w:val="28"/>
          <w:szCs w:val="28"/>
          <w:lang w:val="en-US" w:eastAsia="ja-JP"/>
        </w:rPr>
        <w:t xml:space="preserve"> emphasized that it is important that physicians are honest and that “I don’t know,” is a valid medical opinion</w:t>
      </w:r>
      <w:r w:rsidR="002A633B" w:rsidRPr="00625A76">
        <w:rPr>
          <w:rFonts w:ascii="Calibri" w:eastAsia="Yu Mincho" w:hAnsi="Calibri" w:cs="Times New Roman"/>
          <w:color w:val="000000" w:themeColor="text1"/>
          <w:sz w:val="28"/>
          <w:szCs w:val="28"/>
          <w:lang w:val="en-US" w:eastAsia="ja-JP"/>
        </w:rPr>
        <w:t>.</w:t>
      </w:r>
      <w:r w:rsidR="004054B6" w:rsidRPr="00625A76">
        <w:rPr>
          <w:rFonts w:ascii="Calibri" w:eastAsia="Yu Mincho" w:hAnsi="Calibri" w:cs="Times New Roman"/>
          <w:color w:val="000000" w:themeColor="text1"/>
          <w:sz w:val="28"/>
          <w:szCs w:val="28"/>
          <w:lang w:val="en-US" w:eastAsia="ja-JP"/>
        </w:rPr>
        <w:t xml:space="preserve"> </w:t>
      </w:r>
    </w:p>
    <w:p w14:paraId="2FE6938C" w14:textId="05F76986" w:rsidR="004054B6" w:rsidRPr="00625A76" w:rsidRDefault="00DF6ECF" w:rsidP="002F3AF2">
      <w:pPr>
        <w:jc w:val="both"/>
        <w:rPr>
          <w:rFonts w:ascii="Calibri" w:eastAsia="Yu Mincho" w:hAnsi="Calibri" w:cs="Times New Roman"/>
          <w:color w:val="000000" w:themeColor="text1"/>
          <w:sz w:val="28"/>
          <w:szCs w:val="28"/>
          <w:lang w:val="en-US" w:eastAsia="ja-JP"/>
        </w:rPr>
      </w:pPr>
      <w:r w:rsidRPr="00625A76">
        <w:rPr>
          <w:rFonts w:ascii="Calibri" w:eastAsia="Yu Mincho" w:hAnsi="Calibri" w:cs="Times New Roman"/>
          <w:color w:val="000000" w:themeColor="text1"/>
          <w:sz w:val="28"/>
          <w:szCs w:val="28"/>
          <w:lang w:val="en-US" w:eastAsia="ja-JP"/>
        </w:rPr>
        <w:t xml:space="preserve">To </w:t>
      </w:r>
      <w:r w:rsidR="004054B6" w:rsidRPr="00625A76">
        <w:rPr>
          <w:rFonts w:ascii="Calibri" w:eastAsia="Yu Mincho" w:hAnsi="Calibri" w:cs="Times New Roman"/>
          <w:color w:val="000000" w:themeColor="text1"/>
          <w:sz w:val="28"/>
          <w:szCs w:val="28"/>
          <w:lang w:val="en-US" w:eastAsia="ja-JP"/>
        </w:rPr>
        <w:t>determin</w:t>
      </w:r>
      <w:r w:rsidRPr="00625A76">
        <w:rPr>
          <w:rFonts w:ascii="Calibri" w:eastAsia="Yu Mincho" w:hAnsi="Calibri" w:cs="Times New Roman"/>
          <w:color w:val="000000" w:themeColor="text1"/>
          <w:sz w:val="28"/>
          <w:szCs w:val="28"/>
          <w:lang w:val="en-US" w:eastAsia="ja-JP"/>
        </w:rPr>
        <w:t>e</w:t>
      </w:r>
      <w:r w:rsidR="004054B6" w:rsidRPr="00625A76">
        <w:rPr>
          <w:rFonts w:ascii="Calibri" w:eastAsia="Yu Mincho" w:hAnsi="Calibri" w:cs="Times New Roman"/>
          <w:color w:val="000000" w:themeColor="text1"/>
          <w:sz w:val="28"/>
          <w:szCs w:val="28"/>
          <w:lang w:val="en-US" w:eastAsia="ja-JP"/>
        </w:rPr>
        <w:t xml:space="preserve"> the feasibility </w:t>
      </w:r>
      <w:r w:rsidR="00D34240" w:rsidRPr="00625A76">
        <w:rPr>
          <w:rFonts w:ascii="Calibri" w:eastAsia="Yu Mincho" w:hAnsi="Calibri" w:cs="Times New Roman"/>
          <w:color w:val="000000" w:themeColor="text1"/>
          <w:sz w:val="28"/>
          <w:szCs w:val="28"/>
          <w:lang w:val="en-US" w:eastAsia="ja-JP"/>
        </w:rPr>
        <w:t>of</w:t>
      </w:r>
      <w:r w:rsidR="004054B6" w:rsidRPr="00625A76">
        <w:rPr>
          <w:rFonts w:ascii="Calibri" w:eastAsia="Yu Mincho" w:hAnsi="Calibri" w:cs="Times New Roman"/>
          <w:color w:val="000000" w:themeColor="text1"/>
          <w:sz w:val="28"/>
          <w:szCs w:val="28"/>
          <w:lang w:val="en-US" w:eastAsia="ja-JP"/>
        </w:rPr>
        <w:t xml:space="preserve"> a de-escalation trial</w:t>
      </w:r>
      <w:r w:rsidR="00D34240" w:rsidRPr="00625A76">
        <w:rPr>
          <w:rFonts w:ascii="Calibri" w:eastAsia="Yu Mincho" w:hAnsi="Calibri" w:cs="Times New Roman"/>
          <w:color w:val="000000" w:themeColor="text1"/>
          <w:sz w:val="28"/>
          <w:szCs w:val="28"/>
          <w:lang w:val="en-US" w:eastAsia="ja-JP"/>
        </w:rPr>
        <w:t xml:space="preserve">, it might be useful to </w:t>
      </w:r>
      <w:r w:rsidRPr="00625A76">
        <w:rPr>
          <w:rFonts w:ascii="Calibri" w:eastAsia="Yu Mincho" w:hAnsi="Calibri" w:cs="Times New Roman"/>
          <w:color w:val="000000" w:themeColor="text1"/>
          <w:sz w:val="28"/>
          <w:szCs w:val="28"/>
          <w:lang w:val="en-US" w:eastAsia="ja-JP"/>
        </w:rPr>
        <w:t xml:space="preserve">conduct </w:t>
      </w:r>
      <w:r w:rsidR="00D34240" w:rsidRPr="00625A76">
        <w:rPr>
          <w:rFonts w:ascii="Calibri" w:eastAsia="Yu Mincho" w:hAnsi="Calibri" w:cs="Times New Roman"/>
          <w:color w:val="000000" w:themeColor="text1"/>
          <w:sz w:val="28"/>
          <w:szCs w:val="28"/>
          <w:lang w:val="en-US" w:eastAsia="ja-JP"/>
        </w:rPr>
        <w:t>a patient survey to better understand patient’s acceptance of the risks and benefits of the proposed trial</w:t>
      </w:r>
      <w:r w:rsidR="004054B6" w:rsidRPr="00625A76">
        <w:rPr>
          <w:rFonts w:ascii="Calibri" w:eastAsia="Yu Mincho" w:hAnsi="Calibri" w:cs="Times New Roman"/>
          <w:color w:val="000000" w:themeColor="text1"/>
          <w:sz w:val="28"/>
          <w:szCs w:val="28"/>
          <w:lang w:val="en-US" w:eastAsia="ja-JP"/>
        </w:rPr>
        <w:t>.</w:t>
      </w:r>
      <w:r w:rsidR="00E50AC1" w:rsidRPr="00625A76">
        <w:rPr>
          <w:rFonts w:ascii="Calibri" w:eastAsia="Yu Mincho" w:hAnsi="Calibri" w:cs="Times New Roman"/>
          <w:color w:val="000000" w:themeColor="text1"/>
          <w:sz w:val="28"/>
          <w:szCs w:val="28"/>
          <w:lang w:val="en-US" w:eastAsia="ja-JP"/>
        </w:rPr>
        <w:t xml:space="preserve"> </w:t>
      </w:r>
      <w:r w:rsidR="003A3BB0" w:rsidRPr="00625A76">
        <w:rPr>
          <w:rFonts w:ascii="Calibri" w:eastAsia="Yu Mincho" w:hAnsi="Calibri" w:cs="Times New Roman"/>
          <w:color w:val="000000" w:themeColor="text1"/>
          <w:sz w:val="28"/>
          <w:szCs w:val="28"/>
          <w:lang w:val="en-US" w:eastAsia="ja-JP"/>
        </w:rPr>
        <w:t xml:space="preserve">Patient Advocates </w:t>
      </w:r>
      <w:r w:rsidR="00E50AC1" w:rsidRPr="00625A76">
        <w:rPr>
          <w:rFonts w:ascii="Calibri" w:eastAsia="Yu Mincho" w:hAnsi="Calibri" w:cs="Times New Roman"/>
          <w:color w:val="000000" w:themeColor="text1"/>
          <w:sz w:val="28"/>
          <w:szCs w:val="28"/>
          <w:lang w:val="en-US" w:eastAsia="ja-JP"/>
        </w:rPr>
        <w:t>are also willing to be involved in the re</w:t>
      </w:r>
      <w:r w:rsidR="007513F1" w:rsidRPr="00625A76">
        <w:rPr>
          <w:rFonts w:ascii="Calibri" w:eastAsia="Yu Mincho" w:hAnsi="Calibri" w:cs="Times New Roman"/>
          <w:color w:val="000000" w:themeColor="text1"/>
          <w:sz w:val="28"/>
          <w:szCs w:val="28"/>
          <w:lang w:val="en-US" w:eastAsia="ja-JP"/>
        </w:rPr>
        <w:t>view of trial</w:t>
      </w:r>
      <w:r w:rsidR="00FA7619" w:rsidRPr="00625A76">
        <w:rPr>
          <w:rFonts w:ascii="Calibri" w:eastAsia="Yu Mincho" w:hAnsi="Calibri" w:cs="Times New Roman"/>
          <w:color w:val="000000" w:themeColor="text1"/>
          <w:sz w:val="28"/>
          <w:szCs w:val="28"/>
          <w:lang w:val="en-US" w:eastAsia="ja-JP"/>
        </w:rPr>
        <w:t xml:space="preserve"> protocols, as well as patient</w:t>
      </w:r>
      <w:r w:rsidR="007513F1" w:rsidRPr="00625A76">
        <w:rPr>
          <w:rFonts w:ascii="Calibri" w:eastAsia="Yu Mincho" w:hAnsi="Calibri" w:cs="Times New Roman"/>
          <w:color w:val="000000" w:themeColor="text1"/>
          <w:sz w:val="28"/>
          <w:szCs w:val="28"/>
          <w:lang w:val="en-US" w:eastAsia="ja-JP"/>
        </w:rPr>
        <w:t xml:space="preserve"> information documents to ensure that other patients will</w:t>
      </w:r>
      <w:r w:rsidR="00FA7619" w:rsidRPr="00625A76">
        <w:rPr>
          <w:rFonts w:ascii="Calibri" w:eastAsia="Yu Mincho" w:hAnsi="Calibri" w:cs="Times New Roman"/>
          <w:color w:val="000000" w:themeColor="text1"/>
          <w:sz w:val="28"/>
          <w:szCs w:val="28"/>
          <w:lang w:val="en-US" w:eastAsia="ja-JP"/>
        </w:rPr>
        <w:t xml:space="preserve"> thoroughly</w:t>
      </w:r>
      <w:r w:rsidR="007513F1" w:rsidRPr="00625A76">
        <w:rPr>
          <w:rFonts w:ascii="Calibri" w:eastAsia="Yu Mincho" w:hAnsi="Calibri" w:cs="Times New Roman"/>
          <w:color w:val="000000" w:themeColor="text1"/>
          <w:sz w:val="28"/>
          <w:szCs w:val="28"/>
          <w:lang w:val="en-US" w:eastAsia="ja-JP"/>
        </w:rPr>
        <w:t xml:space="preserve"> understand it. </w:t>
      </w:r>
    </w:p>
    <w:p w14:paraId="204ED9EA" w14:textId="77777777" w:rsidR="007C5FB7" w:rsidRPr="00625A76" w:rsidRDefault="007C5FB7" w:rsidP="002F3AF2">
      <w:pPr>
        <w:jc w:val="both"/>
        <w:rPr>
          <w:rFonts w:ascii="Calibri" w:eastAsia="Yu Mincho" w:hAnsi="Calibri" w:cs="Times New Roman"/>
          <w:bCs/>
          <w:color w:val="000000" w:themeColor="text1"/>
          <w:sz w:val="28"/>
          <w:szCs w:val="28"/>
          <w:u w:val="single"/>
          <w:lang w:val="en-US" w:eastAsia="ja-JP"/>
        </w:rPr>
      </w:pPr>
    </w:p>
    <w:p w14:paraId="3BB71E67" w14:textId="12DA430B" w:rsidR="004054B6" w:rsidRPr="00625A76" w:rsidRDefault="004E6C2A" w:rsidP="002F3AF2">
      <w:pPr>
        <w:jc w:val="both"/>
        <w:rPr>
          <w:rFonts w:ascii="Calibri" w:eastAsia="Yu Mincho" w:hAnsi="Calibri" w:cs="Times New Roman"/>
          <w:bCs/>
          <w:color w:val="000000" w:themeColor="text1"/>
          <w:sz w:val="28"/>
          <w:szCs w:val="28"/>
          <w:u w:val="single"/>
          <w:lang w:val="en-US" w:eastAsia="ja-JP"/>
        </w:rPr>
      </w:pPr>
      <w:r w:rsidRPr="00625A76">
        <w:rPr>
          <w:rFonts w:ascii="Calibri" w:eastAsia="Yu Mincho" w:hAnsi="Calibri" w:cs="Times New Roman"/>
          <w:bCs/>
          <w:color w:val="000000" w:themeColor="text1"/>
          <w:sz w:val="28"/>
          <w:szCs w:val="28"/>
          <w:u w:val="single"/>
          <w:lang w:val="en-US" w:eastAsia="ja-JP"/>
        </w:rPr>
        <w:t>Facilitating communication and p</w:t>
      </w:r>
      <w:r w:rsidR="004054B6" w:rsidRPr="00625A76">
        <w:rPr>
          <w:rFonts w:ascii="Calibri" w:eastAsia="Yu Mincho" w:hAnsi="Calibri" w:cs="Times New Roman"/>
          <w:bCs/>
          <w:color w:val="000000" w:themeColor="text1"/>
          <w:sz w:val="28"/>
          <w:szCs w:val="28"/>
          <w:u w:val="single"/>
          <w:lang w:val="en-US" w:eastAsia="ja-JP"/>
        </w:rPr>
        <w:t>atient education</w:t>
      </w:r>
      <w:r w:rsidR="00A57E72" w:rsidRPr="00625A76">
        <w:rPr>
          <w:rFonts w:ascii="Calibri" w:eastAsia="Yu Mincho" w:hAnsi="Calibri" w:cs="Times New Roman"/>
          <w:bCs/>
          <w:color w:val="000000" w:themeColor="text1"/>
          <w:sz w:val="28"/>
          <w:szCs w:val="28"/>
          <w:u w:val="single"/>
          <w:lang w:val="en-US" w:eastAsia="ja-JP"/>
        </w:rPr>
        <w:t xml:space="preserve"> </w:t>
      </w:r>
      <w:r w:rsidRPr="00625A76">
        <w:rPr>
          <w:rFonts w:ascii="Calibri" w:eastAsia="Yu Mincho" w:hAnsi="Calibri" w:cs="Times New Roman"/>
          <w:bCs/>
          <w:color w:val="000000" w:themeColor="text1"/>
          <w:sz w:val="28"/>
          <w:szCs w:val="28"/>
          <w:u w:val="single"/>
          <w:lang w:val="en-US" w:eastAsia="ja-JP"/>
        </w:rPr>
        <w:t xml:space="preserve">about </w:t>
      </w:r>
      <w:r w:rsidR="004054B6" w:rsidRPr="00625A76">
        <w:rPr>
          <w:rFonts w:ascii="Calibri" w:eastAsia="Yu Mincho" w:hAnsi="Calibri" w:cs="Times New Roman"/>
          <w:bCs/>
          <w:color w:val="000000" w:themeColor="text1"/>
          <w:sz w:val="28"/>
          <w:szCs w:val="28"/>
          <w:u w:val="single"/>
          <w:lang w:val="en-US" w:eastAsia="ja-JP"/>
        </w:rPr>
        <w:t>de-escalation trials</w:t>
      </w:r>
    </w:p>
    <w:p w14:paraId="31867F02" w14:textId="3CC97EA0" w:rsidR="005D0F0F" w:rsidRPr="00625A76" w:rsidRDefault="008C6479" w:rsidP="002F3AF2">
      <w:pPr>
        <w:jc w:val="both"/>
        <w:rPr>
          <w:rFonts w:ascii="Calibri" w:eastAsia="Yu Mincho" w:hAnsi="Calibri" w:cs="Times New Roman"/>
          <w:color w:val="000000" w:themeColor="text1"/>
          <w:sz w:val="28"/>
          <w:szCs w:val="28"/>
          <w:lang w:val="en-US" w:eastAsia="ja-JP"/>
        </w:rPr>
      </w:pPr>
      <w:r w:rsidRPr="00625A76">
        <w:rPr>
          <w:rFonts w:ascii="Calibri" w:eastAsia="Yu Mincho" w:hAnsi="Calibri" w:cs="Times New Roman"/>
          <w:color w:val="000000" w:themeColor="text1"/>
          <w:sz w:val="28"/>
          <w:szCs w:val="28"/>
          <w:lang w:val="en-US" w:eastAsia="ja-JP"/>
        </w:rPr>
        <w:t xml:space="preserve">The </w:t>
      </w:r>
      <w:r w:rsidR="003B76E0">
        <w:rPr>
          <w:rFonts w:ascii="Calibri" w:eastAsia="Yu Mincho" w:hAnsi="Calibri" w:cs="Times New Roman"/>
          <w:color w:val="000000" w:themeColor="text1"/>
          <w:sz w:val="28"/>
          <w:szCs w:val="28"/>
          <w:lang w:val="en-US" w:eastAsia="ja-JP"/>
        </w:rPr>
        <w:t>patient</w:t>
      </w:r>
      <w:r w:rsidR="004054B6" w:rsidRPr="00625A76">
        <w:rPr>
          <w:rFonts w:ascii="Calibri" w:eastAsia="Yu Mincho" w:hAnsi="Calibri" w:cs="Times New Roman"/>
          <w:color w:val="000000" w:themeColor="text1"/>
          <w:sz w:val="28"/>
          <w:szCs w:val="28"/>
          <w:lang w:val="en-US" w:eastAsia="ja-JP"/>
        </w:rPr>
        <w:t xml:space="preserve"> workshops highlighted </w:t>
      </w:r>
      <w:r w:rsidR="00A57E72" w:rsidRPr="00625A76">
        <w:rPr>
          <w:rFonts w:ascii="Calibri" w:eastAsia="Yu Mincho" w:hAnsi="Calibri" w:cs="Times New Roman"/>
          <w:color w:val="000000" w:themeColor="text1"/>
          <w:sz w:val="28"/>
          <w:szCs w:val="28"/>
          <w:lang w:val="en-US" w:eastAsia="ja-JP"/>
        </w:rPr>
        <w:t xml:space="preserve">opportunities for improved </w:t>
      </w:r>
      <w:r w:rsidR="004054B6" w:rsidRPr="00625A76">
        <w:rPr>
          <w:rFonts w:ascii="Calibri" w:eastAsia="Yu Mincho" w:hAnsi="Calibri" w:cs="Times New Roman"/>
          <w:color w:val="000000" w:themeColor="text1"/>
          <w:sz w:val="28"/>
          <w:szCs w:val="28"/>
          <w:lang w:val="en-US" w:eastAsia="ja-JP"/>
        </w:rPr>
        <w:t>patient</w:t>
      </w:r>
      <w:r w:rsidRPr="00625A76">
        <w:rPr>
          <w:rFonts w:ascii="Calibri" w:eastAsia="Yu Mincho" w:hAnsi="Calibri" w:cs="Times New Roman"/>
          <w:color w:val="000000" w:themeColor="text1"/>
          <w:sz w:val="28"/>
          <w:szCs w:val="28"/>
          <w:lang w:val="en-US" w:eastAsia="ja-JP"/>
        </w:rPr>
        <w:t>-doctor communication</w:t>
      </w:r>
      <w:r w:rsidR="00FE4203" w:rsidRPr="00625A76">
        <w:rPr>
          <w:rFonts w:ascii="Calibri" w:eastAsia="Yu Mincho" w:hAnsi="Calibri" w:cs="Times New Roman"/>
          <w:color w:val="000000" w:themeColor="text1"/>
          <w:sz w:val="28"/>
          <w:szCs w:val="28"/>
          <w:lang w:val="en-US" w:eastAsia="ja-JP"/>
        </w:rPr>
        <w:t xml:space="preserve">. </w:t>
      </w:r>
      <w:r w:rsidR="003B76E0">
        <w:rPr>
          <w:rFonts w:ascii="Calibri" w:eastAsia="Yu Mincho" w:hAnsi="Calibri" w:cs="Times New Roman"/>
          <w:color w:val="000000" w:themeColor="text1"/>
          <w:sz w:val="28"/>
          <w:szCs w:val="28"/>
          <w:lang w:val="en-US" w:eastAsia="ja-JP"/>
        </w:rPr>
        <w:t>Often</w:t>
      </w:r>
      <w:r w:rsidR="00FE4203" w:rsidRPr="00625A76">
        <w:rPr>
          <w:rFonts w:ascii="Calibri" w:eastAsia="Yu Mincho" w:hAnsi="Calibri" w:cs="Times New Roman"/>
          <w:color w:val="000000" w:themeColor="text1"/>
          <w:sz w:val="28"/>
          <w:szCs w:val="28"/>
          <w:lang w:val="en-US" w:eastAsia="ja-JP"/>
        </w:rPr>
        <w:t xml:space="preserve">, </w:t>
      </w:r>
      <w:r w:rsidR="004054B6" w:rsidRPr="00625A76">
        <w:rPr>
          <w:rFonts w:ascii="Calibri" w:eastAsia="Yu Mincho" w:hAnsi="Calibri" w:cs="Times New Roman"/>
          <w:color w:val="000000" w:themeColor="text1"/>
          <w:sz w:val="28"/>
          <w:szCs w:val="28"/>
          <w:lang w:val="en-US" w:eastAsia="ja-JP"/>
        </w:rPr>
        <w:t xml:space="preserve">doctors </w:t>
      </w:r>
      <w:r w:rsidR="003A3BB0" w:rsidRPr="00625A76">
        <w:rPr>
          <w:rFonts w:ascii="Calibri" w:eastAsia="Yu Mincho" w:hAnsi="Calibri" w:cs="Times New Roman"/>
          <w:color w:val="000000" w:themeColor="text1"/>
          <w:sz w:val="28"/>
          <w:szCs w:val="28"/>
          <w:lang w:val="en-US" w:eastAsia="ja-JP"/>
        </w:rPr>
        <w:t xml:space="preserve">have a limited amount of time to talk with patients to </w:t>
      </w:r>
      <w:r w:rsidR="005D0F0F" w:rsidRPr="00625A76">
        <w:rPr>
          <w:rFonts w:ascii="Calibri" w:eastAsia="Yu Mincho" w:hAnsi="Calibri" w:cs="Times New Roman"/>
          <w:color w:val="000000" w:themeColor="text1"/>
          <w:sz w:val="28"/>
          <w:szCs w:val="28"/>
          <w:lang w:val="en-US" w:eastAsia="ja-JP"/>
        </w:rPr>
        <w:t>hear</w:t>
      </w:r>
      <w:r w:rsidR="004054B6" w:rsidRPr="00625A76">
        <w:rPr>
          <w:rFonts w:ascii="Calibri" w:eastAsia="Yu Mincho" w:hAnsi="Calibri" w:cs="Times New Roman"/>
          <w:color w:val="000000" w:themeColor="text1"/>
          <w:sz w:val="28"/>
          <w:szCs w:val="28"/>
          <w:lang w:val="en-US" w:eastAsia="ja-JP"/>
        </w:rPr>
        <w:t xml:space="preserve"> </w:t>
      </w:r>
      <w:r w:rsidR="005D0F0F" w:rsidRPr="00625A76">
        <w:rPr>
          <w:rFonts w:ascii="Calibri" w:eastAsia="Yu Mincho" w:hAnsi="Calibri" w:cs="Times New Roman"/>
          <w:color w:val="000000" w:themeColor="text1"/>
          <w:sz w:val="28"/>
          <w:szCs w:val="28"/>
          <w:lang w:val="en-US" w:eastAsia="ja-JP"/>
        </w:rPr>
        <w:t xml:space="preserve">their </w:t>
      </w:r>
      <w:r w:rsidR="004054B6" w:rsidRPr="00625A76">
        <w:rPr>
          <w:rFonts w:ascii="Calibri" w:eastAsia="Yu Mincho" w:hAnsi="Calibri" w:cs="Times New Roman"/>
          <w:color w:val="000000" w:themeColor="text1"/>
          <w:sz w:val="28"/>
          <w:szCs w:val="28"/>
          <w:lang w:val="en-US" w:eastAsia="ja-JP"/>
        </w:rPr>
        <w:t>fears,</w:t>
      </w:r>
      <w:r w:rsidR="00FE4203" w:rsidRPr="00625A76">
        <w:rPr>
          <w:rFonts w:ascii="Calibri" w:eastAsia="Yu Mincho" w:hAnsi="Calibri" w:cs="Times New Roman"/>
          <w:color w:val="000000" w:themeColor="text1"/>
          <w:sz w:val="28"/>
          <w:szCs w:val="28"/>
          <w:lang w:val="en-US" w:eastAsia="ja-JP"/>
        </w:rPr>
        <w:t xml:space="preserve"> personal values,</w:t>
      </w:r>
      <w:r w:rsidR="004054B6" w:rsidRPr="00625A76">
        <w:rPr>
          <w:rFonts w:ascii="Calibri" w:eastAsia="Yu Mincho" w:hAnsi="Calibri" w:cs="Times New Roman"/>
          <w:color w:val="000000" w:themeColor="text1"/>
          <w:sz w:val="28"/>
          <w:szCs w:val="28"/>
          <w:lang w:val="en-US" w:eastAsia="ja-JP"/>
        </w:rPr>
        <w:t xml:space="preserve"> questions or offer an easily digestible explanation of what is entailed in a </w:t>
      </w:r>
      <w:r w:rsidR="003A3BB0" w:rsidRPr="00625A76">
        <w:rPr>
          <w:rFonts w:ascii="Calibri" w:eastAsia="Yu Mincho" w:hAnsi="Calibri" w:cs="Times New Roman"/>
          <w:color w:val="000000" w:themeColor="text1"/>
          <w:sz w:val="28"/>
          <w:szCs w:val="28"/>
          <w:lang w:val="en-US" w:eastAsia="ja-JP"/>
        </w:rPr>
        <w:t>de-escalation trial</w:t>
      </w:r>
      <w:r w:rsidR="004054B6" w:rsidRPr="00625A76">
        <w:rPr>
          <w:rFonts w:ascii="Calibri" w:eastAsia="Yu Mincho" w:hAnsi="Calibri" w:cs="Times New Roman"/>
          <w:color w:val="000000" w:themeColor="text1"/>
          <w:sz w:val="28"/>
          <w:szCs w:val="28"/>
          <w:lang w:val="en-US" w:eastAsia="ja-JP"/>
        </w:rPr>
        <w:t xml:space="preserve">. </w:t>
      </w:r>
      <w:r w:rsidR="00927E6A" w:rsidRPr="00625A76">
        <w:rPr>
          <w:rFonts w:ascii="Calibri" w:eastAsia="Yu Mincho" w:hAnsi="Calibri" w:cs="Times New Roman"/>
          <w:color w:val="000000" w:themeColor="text1"/>
          <w:sz w:val="28"/>
          <w:szCs w:val="28"/>
          <w:lang w:val="en-US" w:eastAsia="ja-JP"/>
        </w:rPr>
        <w:t xml:space="preserve">Deciding to participate in a clinical trial is a decision that is not only based </w:t>
      </w:r>
      <w:r w:rsidR="002B1BE4" w:rsidRPr="00625A76">
        <w:rPr>
          <w:rFonts w:ascii="Calibri" w:eastAsia="Yu Mincho" w:hAnsi="Calibri" w:cs="Times New Roman"/>
          <w:color w:val="000000" w:themeColor="text1"/>
          <w:sz w:val="28"/>
          <w:szCs w:val="28"/>
          <w:lang w:val="en-US" w:eastAsia="ja-JP"/>
        </w:rPr>
        <w:t>on the science</w:t>
      </w:r>
      <w:r w:rsidR="00927E6A" w:rsidRPr="00625A76">
        <w:rPr>
          <w:rFonts w:ascii="Calibri" w:eastAsia="Yu Mincho" w:hAnsi="Calibri" w:cs="Times New Roman"/>
          <w:color w:val="000000" w:themeColor="text1"/>
          <w:sz w:val="28"/>
          <w:szCs w:val="28"/>
          <w:lang w:val="en-US" w:eastAsia="ja-JP"/>
        </w:rPr>
        <w:t xml:space="preserve"> but also </w:t>
      </w:r>
      <w:r w:rsidR="00BD073C">
        <w:rPr>
          <w:rFonts w:ascii="Calibri" w:eastAsia="Yu Mincho" w:hAnsi="Calibri" w:cs="Times New Roman"/>
          <w:color w:val="000000" w:themeColor="text1"/>
          <w:sz w:val="28"/>
          <w:szCs w:val="28"/>
          <w:lang w:val="en-US" w:eastAsia="ja-JP"/>
        </w:rPr>
        <w:t xml:space="preserve">on </w:t>
      </w:r>
      <w:r w:rsidR="00927E6A" w:rsidRPr="00625A76">
        <w:rPr>
          <w:rFonts w:ascii="Calibri" w:eastAsia="Yu Mincho" w:hAnsi="Calibri" w:cs="Times New Roman"/>
          <w:color w:val="000000" w:themeColor="text1"/>
          <w:sz w:val="28"/>
          <w:szCs w:val="28"/>
          <w:lang w:val="en-US" w:eastAsia="ja-JP"/>
        </w:rPr>
        <w:t xml:space="preserve">values and personal experiences of the patient. </w:t>
      </w:r>
      <w:r w:rsidR="00BD073C">
        <w:rPr>
          <w:rFonts w:ascii="Calibri" w:eastAsia="Yu Mincho" w:hAnsi="Calibri" w:cs="Times New Roman"/>
          <w:color w:val="000000" w:themeColor="text1"/>
          <w:sz w:val="28"/>
          <w:szCs w:val="28"/>
          <w:lang w:val="en-US" w:eastAsia="ja-JP"/>
        </w:rPr>
        <w:t>As</w:t>
      </w:r>
      <w:r w:rsidR="002B1BE4" w:rsidRPr="00625A76">
        <w:rPr>
          <w:rFonts w:ascii="Calibri" w:eastAsia="Yu Mincho" w:hAnsi="Calibri" w:cs="Times New Roman"/>
          <w:color w:val="000000" w:themeColor="text1"/>
          <w:sz w:val="28"/>
          <w:szCs w:val="28"/>
          <w:lang w:val="en-US" w:eastAsia="ja-JP"/>
        </w:rPr>
        <w:t xml:space="preserve"> t</w:t>
      </w:r>
      <w:r w:rsidR="00927E6A" w:rsidRPr="00625A76">
        <w:rPr>
          <w:rFonts w:ascii="Calibri" w:eastAsia="Yu Mincho" w:hAnsi="Calibri" w:cs="Times New Roman"/>
          <w:color w:val="000000" w:themeColor="text1"/>
          <w:sz w:val="28"/>
          <w:szCs w:val="28"/>
          <w:lang w:val="en-US" w:eastAsia="ja-JP"/>
        </w:rPr>
        <w:t xml:space="preserve">hese are complex decisions, there is a need for clear communication and understanding of the individual patient’s values and situation. </w:t>
      </w:r>
      <w:r w:rsidR="00BD073C">
        <w:rPr>
          <w:rFonts w:ascii="Calibri" w:eastAsia="Yu Mincho" w:hAnsi="Calibri" w:cs="Times New Roman"/>
          <w:color w:val="000000" w:themeColor="text1"/>
          <w:sz w:val="28"/>
          <w:szCs w:val="28"/>
          <w:lang w:val="en-US" w:eastAsia="ja-JP"/>
        </w:rPr>
        <w:t>T</w:t>
      </w:r>
      <w:r w:rsidRPr="00625A76">
        <w:rPr>
          <w:rFonts w:ascii="Calibri" w:eastAsia="Yu Mincho" w:hAnsi="Calibri" w:cs="Times New Roman"/>
          <w:color w:val="000000" w:themeColor="text1"/>
          <w:sz w:val="28"/>
          <w:szCs w:val="28"/>
          <w:lang w:val="en-US" w:eastAsia="ja-JP"/>
        </w:rPr>
        <w:t xml:space="preserve">ools </w:t>
      </w:r>
      <w:r w:rsidR="00D86B95" w:rsidRPr="00625A76">
        <w:rPr>
          <w:rFonts w:ascii="Calibri" w:eastAsia="Yu Mincho" w:hAnsi="Calibri" w:cs="Times New Roman"/>
          <w:color w:val="000000" w:themeColor="text1"/>
          <w:sz w:val="28"/>
          <w:szCs w:val="28"/>
          <w:lang w:val="en-US" w:eastAsia="ja-JP"/>
        </w:rPr>
        <w:t>such as</w:t>
      </w:r>
      <w:r w:rsidRPr="00625A76">
        <w:rPr>
          <w:rFonts w:ascii="Calibri" w:eastAsia="Yu Mincho" w:hAnsi="Calibri" w:cs="Times New Roman"/>
          <w:color w:val="000000" w:themeColor="text1"/>
          <w:sz w:val="28"/>
          <w:szCs w:val="28"/>
          <w:lang w:val="en-US" w:eastAsia="ja-JP"/>
        </w:rPr>
        <w:t xml:space="preserve"> p</w:t>
      </w:r>
      <w:r w:rsidR="004054B6" w:rsidRPr="00625A76">
        <w:rPr>
          <w:rFonts w:ascii="Calibri" w:eastAsia="Yu Mincho" w:hAnsi="Calibri" w:cs="Times New Roman"/>
          <w:color w:val="000000" w:themeColor="text1"/>
          <w:sz w:val="28"/>
          <w:szCs w:val="28"/>
          <w:lang w:val="en-US" w:eastAsia="ja-JP"/>
        </w:rPr>
        <w:t>amphlets and videos that can be shared with friends and family go a long way to make up for the brevity of a typical consultation</w:t>
      </w:r>
      <w:r w:rsidRPr="00625A76">
        <w:rPr>
          <w:rFonts w:ascii="Calibri" w:eastAsia="Yu Mincho" w:hAnsi="Calibri" w:cs="Times New Roman"/>
          <w:color w:val="000000" w:themeColor="text1"/>
          <w:sz w:val="28"/>
          <w:szCs w:val="28"/>
          <w:lang w:val="en-US" w:eastAsia="ja-JP"/>
        </w:rPr>
        <w:t>.</w:t>
      </w:r>
      <w:r w:rsidR="004054B6" w:rsidRPr="00625A76">
        <w:rPr>
          <w:rFonts w:ascii="Calibri" w:eastAsia="Yu Mincho" w:hAnsi="Calibri" w:cs="Times New Roman"/>
          <w:color w:val="000000" w:themeColor="text1"/>
          <w:sz w:val="28"/>
          <w:szCs w:val="28"/>
          <w:lang w:val="en-US" w:eastAsia="ja-JP"/>
        </w:rPr>
        <w:t xml:space="preserve"> </w:t>
      </w:r>
      <w:r w:rsidR="00AA4B38" w:rsidRPr="00625A76">
        <w:rPr>
          <w:rFonts w:ascii="Calibri" w:eastAsia="Yu Mincho" w:hAnsi="Calibri" w:cs="Times New Roman"/>
          <w:color w:val="000000" w:themeColor="text1"/>
          <w:sz w:val="28"/>
          <w:szCs w:val="28"/>
          <w:lang w:val="en-US" w:eastAsia="ja-JP"/>
        </w:rPr>
        <w:t xml:space="preserve">Visual aids can be especially helpful for the communication regarding complex aspects of a trial, such as expected absolute risk and the maximum acceptable loss in efficacy (non-inferiority threshold). </w:t>
      </w:r>
      <w:r w:rsidRPr="00625A76">
        <w:rPr>
          <w:rFonts w:ascii="Calibri" w:eastAsia="Yu Mincho" w:hAnsi="Calibri" w:cs="Times New Roman"/>
          <w:color w:val="000000" w:themeColor="text1"/>
          <w:sz w:val="28"/>
          <w:szCs w:val="28"/>
          <w:lang w:val="en-US" w:eastAsia="ja-JP"/>
        </w:rPr>
        <w:t>H</w:t>
      </w:r>
      <w:r w:rsidR="004054B6" w:rsidRPr="00625A76">
        <w:rPr>
          <w:rFonts w:ascii="Calibri" w:eastAsia="Yu Mincho" w:hAnsi="Calibri" w:cs="Times New Roman"/>
          <w:color w:val="000000" w:themeColor="text1"/>
          <w:sz w:val="28"/>
          <w:szCs w:val="28"/>
          <w:lang w:val="en-US" w:eastAsia="ja-JP"/>
        </w:rPr>
        <w:t xml:space="preserve">aving access to other healthcare professionals (such as nurses or hospital volunteers) who can address their questions would be extremely beneficial and helpful in making a </w:t>
      </w:r>
      <w:r w:rsidR="00FE4203" w:rsidRPr="00625A76">
        <w:rPr>
          <w:rFonts w:ascii="Calibri" w:eastAsia="Yu Mincho" w:hAnsi="Calibri" w:cs="Times New Roman"/>
          <w:color w:val="000000" w:themeColor="text1"/>
          <w:sz w:val="28"/>
          <w:szCs w:val="28"/>
          <w:lang w:val="en-US" w:eastAsia="ja-JP"/>
        </w:rPr>
        <w:t xml:space="preserve">shared and informed </w:t>
      </w:r>
      <w:r w:rsidR="004054B6" w:rsidRPr="00625A76">
        <w:rPr>
          <w:rFonts w:ascii="Calibri" w:eastAsia="Yu Mincho" w:hAnsi="Calibri" w:cs="Times New Roman"/>
          <w:color w:val="000000" w:themeColor="text1"/>
          <w:sz w:val="28"/>
          <w:szCs w:val="28"/>
          <w:lang w:val="en-US" w:eastAsia="ja-JP"/>
        </w:rPr>
        <w:t xml:space="preserve">treatment decision. </w:t>
      </w:r>
    </w:p>
    <w:p w14:paraId="1BC6D82C" w14:textId="77777777" w:rsidR="00905673" w:rsidRPr="00625A76" w:rsidRDefault="00905673" w:rsidP="002F3AF2">
      <w:pPr>
        <w:jc w:val="both"/>
        <w:rPr>
          <w:b/>
          <w:color w:val="000000" w:themeColor="text1"/>
          <w:sz w:val="32"/>
          <w:szCs w:val="32"/>
          <w:u w:val="single"/>
          <w:lang w:val="en-US"/>
        </w:rPr>
      </w:pPr>
    </w:p>
    <w:p w14:paraId="365FBEF7" w14:textId="77777777" w:rsidR="00905673" w:rsidRPr="00625A76" w:rsidRDefault="00905673" w:rsidP="002F3AF2">
      <w:pPr>
        <w:jc w:val="both"/>
        <w:rPr>
          <w:b/>
          <w:color w:val="000000" w:themeColor="text1"/>
          <w:sz w:val="32"/>
          <w:szCs w:val="32"/>
          <w:u w:val="single"/>
          <w:lang w:val="en-US"/>
        </w:rPr>
      </w:pPr>
      <w:r w:rsidRPr="00625A76">
        <w:rPr>
          <w:b/>
          <w:color w:val="000000" w:themeColor="text1"/>
          <w:sz w:val="32"/>
          <w:szCs w:val="32"/>
          <w:u w:val="single"/>
          <w:lang w:val="en-US"/>
        </w:rPr>
        <w:t>Improving the statistical design of drug de-escalation trials</w:t>
      </w:r>
    </w:p>
    <w:p w14:paraId="3918E633" w14:textId="27F17857" w:rsidR="00F522AD" w:rsidRPr="00625A76" w:rsidRDefault="008C6479" w:rsidP="009B4B71">
      <w:pPr>
        <w:jc w:val="both"/>
        <w:rPr>
          <w:rFonts w:ascii="Calibri" w:eastAsia="Times New Roman" w:hAnsi="Calibri" w:cs="Calibri"/>
          <w:color w:val="000000" w:themeColor="text1"/>
          <w:sz w:val="28"/>
          <w:szCs w:val="28"/>
          <w:lang w:val="en-US" w:eastAsia="en-GB"/>
        </w:rPr>
      </w:pPr>
      <w:r w:rsidRPr="00625A76">
        <w:rPr>
          <w:rFonts w:ascii="Calibri" w:eastAsia="Times New Roman" w:hAnsi="Calibri" w:cs="Calibri"/>
          <w:color w:val="000000" w:themeColor="text1"/>
          <w:sz w:val="28"/>
          <w:szCs w:val="28"/>
          <w:lang w:val="en-US" w:eastAsia="en-GB"/>
        </w:rPr>
        <w:t>C</w:t>
      </w:r>
      <w:r w:rsidR="00F522AD" w:rsidRPr="00625A76">
        <w:rPr>
          <w:rFonts w:ascii="Calibri" w:eastAsia="Times New Roman" w:hAnsi="Calibri" w:cs="Calibri"/>
          <w:color w:val="000000" w:themeColor="text1"/>
          <w:sz w:val="28"/>
          <w:szCs w:val="28"/>
          <w:lang w:val="en-US" w:eastAsia="en-GB"/>
        </w:rPr>
        <w:t xml:space="preserve">areful statistical design is </w:t>
      </w:r>
      <w:r w:rsidRPr="00625A76">
        <w:rPr>
          <w:rFonts w:ascii="Calibri" w:eastAsia="Times New Roman" w:hAnsi="Calibri" w:cs="Calibri"/>
          <w:color w:val="000000" w:themeColor="text1"/>
          <w:sz w:val="28"/>
          <w:szCs w:val="28"/>
          <w:lang w:val="en-US" w:eastAsia="en-GB"/>
        </w:rPr>
        <w:t xml:space="preserve">critical </w:t>
      </w:r>
      <w:r w:rsidR="00F522AD" w:rsidRPr="00625A76">
        <w:rPr>
          <w:rFonts w:ascii="Calibri" w:eastAsia="Times New Roman" w:hAnsi="Calibri" w:cs="Calibri"/>
          <w:color w:val="000000" w:themeColor="text1"/>
          <w:sz w:val="28"/>
          <w:szCs w:val="28"/>
          <w:lang w:val="en-US" w:eastAsia="en-GB"/>
        </w:rPr>
        <w:t xml:space="preserve">for treatment de-escalation trials, as the scientific community often only gets one </w:t>
      </w:r>
      <w:r w:rsidR="00D86B95" w:rsidRPr="00625A76">
        <w:rPr>
          <w:rFonts w:ascii="Calibri" w:eastAsia="Times New Roman" w:hAnsi="Calibri" w:cs="Calibri"/>
          <w:color w:val="000000" w:themeColor="text1"/>
          <w:sz w:val="28"/>
          <w:szCs w:val="28"/>
          <w:lang w:val="en-US" w:eastAsia="en-GB"/>
        </w:rPr>
        <w:t xml:space="preserve">opportunity to </w:t>
      </w:r>
      <w:r w:rsidR="00F522AD" w:rsidRPr="00625A76">
        <w:rPr>
          <w:rFonts w:ascii="Calibri" w:eastAsia="Times New Roman" w:hAnsi="Calibri" w:cs="Calibri"/>
          <w:color w:val="000000" w:themeColor="text1"/>
          <w:sz w:val="28"/>
          <w:szCs w:val="28"/>
          <w:lang w:val="en-US" w:eastAsia="en-GB"/>
        </w:rPr>
        <w:t xml:space="preserve">test a de-escalation </w:t>
      </w:r>
      <w:r w:rsidR="00F522AD" w:rsidRPr="00625A76">
        <w:rPr>
          <w:rFonts w:ascii="Calibri" w:eastAsia="Times New Roman" w:hAnsi="Calibri" w:cs="Calibri"/>
          <w:color w:val="000000" w:themeColor="text1"/>
          <w:sz w:val="28"/>
          <w:szCs w:val="28"/>
          <w:lang w:val="en-US" w:eastAsia="en-GB"/>
        </w:rPr>
        <w:lastRenderedPageBreak/>
        <w:t>hypothesis in a clinical trial; it is often difficult to fund de-escalation trials</w:t>
      </w:r>
      <w:r w:rsidR="00D86B95" w:rsidRPr="00625A76">
        <w:rPr>
          <w:rFonts w:ascii="Calibri" w:eastAsia="Times New Roman" w:hAnsi="Calibri" w:cs="Calibri"/>
          <w:color w:val="000000" w:themeColor="text1"/>
          <w:sz w:val="28"/>
          <w:szCs w:val="28"/>
          <w:lang w:val="en-US" w:eastAsia="en-GB"/>
        </w:rPr>
        <w:t xml:space="preserve"> as</w:t>
      </w:r>
      <w:r w:rsidR="000432C5">
        <w:rPr>
          <w:rFonts w:ascii="Calibri" w:eastAsia="Times New Roman" w:hAnsi="Calibri" w:cs="Calibri"/>
          <w:color w:val="000000" w:themeColor="text1"/>
          <w:sz w:val="28"/>
          <w:szCs w:val="28"/>
          <w:lang w:val="en-US" w:eastAsia="en-GB"/>
        </w:rPr>
        <w:t xml:space="preserve"> </w:t>
      </w:r>
      <w:r w:rsidR="00F522AD" w:rsidRPr="00625A76">
        <w:rPr>
          <w:rFonts w:ascii="Calibri" w:eastAsia="Times New Roman" w:hAnsi="Calibri" w:cs="Calibri"/>
          <w:color w:val="000000" w:themeColor="text1"/>
          <w:sz w:val="28"/>
          <w:szCs w:val="28"/>
          <w:lang w:val="en-US" w:eastAsia="en-GB"/>
        </w:rPr>
        <w:t>they require a large sample size, and they might suffer from slow accrual. Moreover, as the</w:t>
      </w:r>
      <w:r w:rsidR="00090337">
        <w:rPr>
          <w:rFonts w:ascii="Calibri" w:eastAsia="Times New Roman" w:hAnsi="Calibri" w:cs="Calibri"/>
          <w:color w:val="000000" w:themeColor="text1"/>
          <w:sz w:val="28"/>
          <w:szCs w:val="28"/>
          <w:lang w:val="en-US" w:eastAsia="en-GB"/>
        </w:rPr>
        <w:t xml:space="preserve"> </w:t>
      </w:r>
      <w:r w:rsidR="00090337" w:rsidRPr="00625A76">
        <w:rPr>
          <w:rFonts w:ascii="Calibri" w:eastAsia="Times New Roman" w:hAnsi="Calibri" w:cs="Calibri"/>
          <w:color w:val="000000" w:themeColor="text1"/>
          <w:sz w:val="28"/>
          <w:szCs w:val="28"/>
          <w:lang w:val="en-US" w:eastAsia="en-GB"/>
        </w:rPr>
        <w:t>underlying</w:t>
      </w:r>
      <w:r w:rsidR="00F522AD" w:rsidRPr="00625A76">
        <w:rPr>
          <w:rFonts w:ascii="Calibri" w:eastAsia="Times New Roman" w:hAnsi="Calibri" w:cs="Calibri"/>
          <w:color w:val="000000" w:themeColor="text1"/>
          <w:sz w:val="28"/>
          <w:szCs w:val="28"/>
          <w:lang w:val="en-US" w:eastAsia="en-GB"/>
        </w:rPr>
        <w:t xml:space="preserve"> hypothesis goes against the body of evidence supporting the current standard of care, a single trial</w:t>
      </w:r>
      <w:r w:rsidR="001D24F0" w:rsidRPr="00625A76">
        <w:rPr>
          <w:rFonts w:ascii="Calibri" w:eastAsia="Times New Roman" w:hAnsi="Calibri" w:cs="Calibri"/>
          <w:color w:val="000000" w:themeColor="text1"/>
          <w:sz w:val="28"/>
          <w:szCs w:val="28"/>
          <w:lang w:val="en-US" w:eastAsia="en-GB"/>
        </w:rPr>
        <w:t xml:space="preserve"> not being able to show non-inferiority</w:t>
      </w:r>
      <w:r w:rsidR="00F522AD" w:rsidRPr="00625A76">
        <w:rPr>
          <w:rFonts w:ascii="Calibri" w:eastAsia="Times New Roman" w:hAnsi="Calibri" w:cs="Calibri"/>
          <w:color w:val="000000" w:themeColor="text1"/>
          <w:sz w:val="28"/>
          <w:szCs w:val="28"/>
          <w:lang w:val="en-US" w:eastAsia="en-GB"/>
        </w:rPr>
        <w:t xml:space="preserve"> is typically sufficient to lose clinical equipoise, and thereby</w:t>
      </w:r>
      <w:r w:rsidR="00D86B95" w:rsidRPr="00625A76">
        <w:rPr>
          <w:rFonts w:ascii="Calibri" w:eastAsia="Times New Roman" w:hAnsi="Calibri" w:cs="Calibri"/>
          <w:color w:val="000000" w:themeColor="text1"/>
          <w:sz w:val="28"/>
          <w:szCs w:val="28"/>
          <w:lang w:val="en-US" w:eastAsia="en-GB"/>
        </w:rPr>
        <w:t xml:space="preserve"> undermine</w:t>
      </w:r>
      <w:r w:rsidR="00F522AD" w:rsidRPr="00625A76">
        <w:rPr>
          <w:rFonts w:ascii="Calibri" w:eastAsia="Times New Roman" w:hAnsi="Calibri" w:cs="Calibri"/>
          <w:color w:val="000000" w:themeColor="text1"/>
          <w:sz w:val="28"/>
          <w:szCs w:val="28"/>
          <w:lang w:val="en-US" w:eastAsia="en-GB"/>
        </w:rPr>
        <w:t xml:space="preserve"> the ethical foundation for future trials assessing the same or a similar hypothesis. </w:t>
      </w:r>
      <w:r w:rsidR="0077794A" w:rsidRPr="00625A76">
        <w:rPr>
          <w:rFonts w:ascii="Calibri" w:eastAsia="Times New Roman" w:hAnsi="Calibri" w:cs="Calibri"/>
          <w:color w:val="000000" w:themeColor="text1"/>
          <w:sz w:val="28"/>
          <w:szCs w:val="28"/>
          <w:lang w:val="en-US" w:eastAsia="en-GB"/>
        </w:rPr>
        <w:t>Additionally</w:t>
      </w:r>
      <w:r w:rsidR="00F522AD" w:rsidRPr="00625A76">
        <w:rPr>
          <w:rFonts w:ascii="Calibri" w:eastAsia="Times New Roman" w:hAnsi="Calibri" w:cs="Calibri"/>
          <w:color w:val="000000" w:themeColor="text1"/>
          <w:sz w:val="28"/>
          <w:szCs w:val="28"/>
          <w:lang w:val="en-US" w:eastAsia="en-GB"/>
        </w:rPr>
        <w:t xml:space="preserve">, while a poorly designed </w:t>
      </w:r>
      <w:r w:rsidR="00F522AD" w:rsidRPr="00625A76">
        <w:rPr>
          <w:rFonts w:ascii="Calibri" w:eastAsia="Yu Mincho" w:hAnsi="Calibri" w:cs="Times New Roman"/>
          <w:color w:val="000000" w:themeColor="text1"/>
          <w:sz w:val="28"/>
          <w:szCs w:val="28"/>
          <w:lang w:val="en-US" w:eastAsia="ja-JP"/>
        </w:rPr>
        <w:t xml:space="preserve">superiority trial may fail to pass the threshold of </w:t>
      </w:r>
      <w:r w:rsidR="0077794A" w:rsidRPr="00625A76">
        <w:rPr>
          <w:rFonts w:ascii="Calibri" w:eastAsia="Yu Mincho" w:hAnsi="Calibri" w:cs="Times New Roman"/>
          <w:color w:val="000000" w:themeColor="text1"/>
          <w:sz w:val="28"/>
          <w:szCs w:val="28"/>
          <w:lang w:val="en-US" w:eastAsia="ja-JP"/>
        </w:rPr>
        <w:t xml:space="preserve">statistical </w:t>
      </w:r>
      <w:r w:rsidR="00F522AD" w:rsidRPr="00625A76">
        <w:rPr>
          <w:rFonts w:ascii="Calibri" w:eastAsia="Yu Mincho" w:hAnsi="Calibri" w:cs="Times New Roman"/>
          <w:color w:val="000000" w:themeColor="text1"/>
          <w:sz w:val="28"/>
          <w:szCs w:val="28"/>
          <w:lang w:val="en-US" w:eastAsia="ja-JP"/>
        </w:rPr>
        <w:t xml:space="preserve">significance and have no influence on clinical practice, a poorly designed non-inferiority trial, has the potential to claim non-inferiority where there is none, and so adversely affect guidelines for standard of care. </w:t>
      </w:r>
    </w:p>
    <w:p w14:paraId="0B440CBF" w14:textId="77777777" w:rsidR="00F522AD" w:rsidRPr="00625A76" w:rsidRDefault="00F522AD" w:rsidP="009B4B71">
      <w:pPr>
        <w:jc w:val="both"/>
        <w:rPr>
          <w:rFonts w:ascii="Calibri" w:eastAsia="Times New Roman" w:hAnsi="Calibri" w:cs="Calibri"/>
          <w:color w:val="000000" w:themeColor="text1"/>
          <w:sz w:val="28"/>
          <w:szCs w:val="28"/>
          <w:lang w:val="en-US" w:eastAsia="en-GB"/>
        </w:rPr>
      </w:pPr>
    </w:p>
    <w:p w14:paraId="4CA9BA2D" w14:textId="77777777" w:rsidR="00F522AD" w:rsidRPr="00625A76" w:rsidRDefault="00F522AD" w:rsidP="009B4B71">
      <w:pPr>
        <w:jc w:val="both"/>
        <w:rPr>
          <w:rFonts w:ascii="Calibri" w:eastAsia="Times New Roman" w:hAnsi="Calibri" w:cs="Calibri"/>
          <w:color w:val="000000" w:themeColor="text1"/>
          <w:lang w:val="en-US" w:eastAsia="en-GB"/>
        </w:rPr>
      </w:pPr>
    </w:p>
    <w:p w14:paraId="54449C89" w14:textId="4F30F6F1" w:rsidR="00F522AD" w:rsidRPr="00625A76" w:rsidRDefault="00D34240" w:rsidP="009B4B71">
      <w:pPr>
        <w:jc w:val="both"/>
        <w:rPr>
          <w:rFonts w:ascii="Calibri" w:eastAsia="Yu Mincho" w:hAnsi="Calibri" w:cs="Times New Roman"/>
          <w:color w:val="000000" w:themeColor="text1"/>
          <w:sz w:val="28"/>
          <w:szCs w:val="28"/>
          <w:lang w:val="en-US" w:eastAsia="ja-JP"/>
        </w:rPr>
      </w:pPr>
      <w:r w:rsidRPr="00625A76">
        <w:rPr>
          <w:rFonts w:ascii="Calibri" w:eastAsia="Yu Mincho" w:hAnsi="Calibri" w:cs="Times New Roman"/>
          <w:color w:val="000000" w:themeColor="text1"/>
          <w:sz w:val="28"/>
          <w:szCs w:val="28"/>
          <w:u w:val="single"/>
          <w:lang w:val="en-US" w:eastAsia="ja-JP"/>
        </w:rPr>
        <w:t>Key aspects</w:t>
      </w:r>
      <w:r w:rsidR="00F522AD" w:rsidRPr="00625A76">
        <w:rPr>
          <w:rFonts w:ascii="Calibri" w:eastAsia="Yu Mincho" w:hAnsi="Calibri" w:cs="Times New Roman"/>
          <w:color w:val="000000" w:themeColor="text1"/>
          <w:sz w:val="28"/>
          <w:szCs w:val="28"/>
          <w:u w:val="single"/>
          <w:lang w:val="en-US" w:eastAsia="ja-JP"/>
        </w:rPr>
        <w:t xml:space="preserve"> in the statistical design of non-inferiority trials</w:t>
      </w:r>
    </w:p>
    <w:p w14:paraId="33B2171D" w14:textId="791B7036" w:rsidR="0075480B" w:rsidRPr="00625A76" w:rsidRDefault="00D34240" w:rsidP="009B4B71">
      <w:pPr>
        <w:jc w:val="both"/>
        <w:rPr>
          <w:rFonts w:ascii="Calibri" w:eastAsia="Yu Mincho" w:hAnsi="Calibri" w:cs="Times New Roman"/>
          <w:color w:val="000000" w:themeColor="text1"/>
          <w:sz w:val="28"/>
          <w:szCs w:val="28"/>
          <w:lang w:val="en-US" w:eastAsia="ja-JP"/>
        </w:rPr>
      </w:pPr>
      <w:r w:rsidRPr="00625A76">
        <w:rPr>
          <w:rFonts w:ascii="Calibri" w:eastAsia="Yu Mincho" w:hAnsi="Calibri" w:cs="Times New Roman"/>
          <w:color w:val="000000" w:themeColor="text1"/>
          <w:sz w:val="28"/>
          <w:szCs w:val="28"/>
          <w:lang w:val="en-US" w:eastAsia="ja-JP"/>
        </w:rPr>
        <w:t>The</w:t>
      </w:r>
      <w:r w:rsidR="00F522AD" w:rsidRPr="00625A76">
        <w:rPr>
          <w:rFonts w:ascii="Calibri" w:eastAsia="Yu Mincho" w:hAnsi="Calibri" w:cs="Times New Roman"/>
          <w:color w:val="000000" w:themeColor="text1"/>
          <w:sz w:val="28"/>
          <w:szCs w:val="28"/>
          <w:lang w:val="en-US" w:eastAsia="ja-JP"/>
        </w:rPr>
        <w:t xml:space="preserve"> goal</w:t>
      </w:r>
      <w:r w:rsidRPr="00625A76">
        <w:rPr>
          <w:rFonts w:ascii="Calibri" w:eastAsia="Yu Mincho" w:hAnsi="Calibri" w:cs="Times New Roman"/>
          <w:color w:val="000000" w:themeColor="text1"/>
          <w:sz w:val="28"/>
          <w:szCs w:val="28"/>
          <w:lang w:val="en-US" w:eastAsia="ja-JP"/>
        </w:rPr>
        <w:t xml:space="preserve"> of a non-inferiority trial</w:t>
      </w:r>
      <w:r w:rsidR="00F522AD" w:rsidRPr="00625A76">
        <w:rPr>
          <w:rFonts w:ascii="Calibri" w:eastAsia="Yu Mincho" w:hAnsi="Calibri" w:cs="Times New Roman"/>
          <w:color w:val="000000" w:themeColor="text1"/>
          <w:sz w:val="28"/>
          <w:szCs w:val="28"/>
          <w:lang w:val="en-US" w:eastAsia="ja-JP"/>
        </w:rPr>
        <w:t xml:space="preserve"> is to show that an experimental, de-escalated treatment is no worse than standard of care. However, as determining if two treatment arms are exactly equally effective would require an infinite sample size, in practice a predefined threshold is set based on the maximum absolute or relative loss in effectiveness one is willing to accept. This threshold cannot be crossed by the confidence interval surrounding the estimate for the de-escalated treatment arm. </w:t>
      </w:r>
      <w:r w:rsidR="0075480B" w:rsidRPr="00625A76">
        <w:rPr>
          <w:rFonts w:ascii="Calibri" w:eastAsia="Yu Mincho" w:hAnsi="Calibri" w:cs="Times New Roman"/>
          <w:color w:val="000000" w:themeColor="text1"/>
          <w:sz w:val="28"/>
          <w:szCs w:val="28"/>
          <w:lang w:val="en-US" w:eastAsia="ja-JP"/>
        </w:rPr>
        <w:t>Th</w:t>
      </w:r>
      <w:r w:rsidR="0017452A">
        <w:rPr>
          <w:rFonts w:ascii="Calibri" w:eastAsia="Yu Mincho" w:hAnsi="Calibri" w:cs="Times New Roman"/>
          <w:color w:val="000000" w:themeColor="text1"/>
          <w:sz w:val="28"/>
          <w:szCs w:val="28"/>
          <w:lang w:val="en-US" w:eastAsia="ja-JP"/>
        </w:rPr>
        <w:t>e</w:t>
      </w:r>
      <w:r w:rsidR="0075480B" w:rsidRPr="00625A76">
        <w:rPr>
          <w:rFonts w:ascii="Calibri" w:eastAsia="Yu Mincho" w:hAnsi="Calibri" w:cs="Times New Roman"/>
          <w:color w:val="000000" w:themeColor="text1"/>
          <w:sz w:val="28"/>
          <w:szCs w:val="28"/>
          <w:lang w:val="en-US" w:eastAsia="ja-JP"/>
        </w:rPr>
        <w:t xml:space="preserve"> non-inferiority threshold is critical for the design of a de-escalation trial and determines whether the results of a trial will be practice changing.</w:t>
      </w:r>
      <w:r w:rsidR="003C0A98">
        <w:rPr>
          <w:rFonts w:ascii="Calibri" w:eastAsia="Yu Mincho" w:hAnsi="Calibri" w:cs="Times New Roman"/>
          <w:color w:val="000000" w:themeColor="text1"/>
          <w:sz w:val="28"/>
          <w:szCs w:val="28"/>
          <w:lang w:val="en-US" w:eastAsia="ja-JP"/>
        </w:rPr>
        <w:t xml:space="preserve"> </w:t>
      </w:r>
      <w:r w:rsidR="0075480B" w:rsidRPr="00625A76">
        <w:rPr>
          <w:rFonts w:ascii="Calibri" w:eastAsia="Yu Mincho" w:hAnsi="Calibri" w:cs="Times New Roman"/>
          <w:color w:val="000000" w:themeColor="text1"/>
          <w:sz w:val="28"/>
          <w:szCs w:val="28"/>
          <w:lang w:val="en-US" w:eastAsia="ja-JP"/>
        </w:rPr>
        <w:t>The choice of threshold might be affected by factors such as the absolute risk of disease-related events and the severity of the toxicities associated with the treatment that is being de-escalated. Moreover, input from patients on how they weigh the risk of disease recurrence against the overall burden of the de-escalated treatment is critical.</w:t>
      </w:r>
    </w:p>
    <w:p w14:paraId="32793CD9" w14:textId="31261CBA" w:rsidR="0074618F" w:rsidRPr="00625A76" w:rsidRDefault="0074618F" w:rsidP="009B4B71">
      <w:pPr>
        <w:jc w:val="both"/>
        <w:rPr>
          <w:rFonts w:ascii="Calibri" w:eastAsia="Yu Mincho" w:hAnsi="Calibri" w:cs="Times New Roman"/>
          <w:color w:val="000000" w:themeColor="text1"/>
          <w:sz w:val="28"/>
          <w:szCs w:val="28"/>
          <w:lang w:val="en-US" w:eastAsia="ja-JP"/>
        </w:rPr>
      </w:pPr>
      <w:r w:rsidRPr="00625A76">
        <w:rPr>
          <w:rFonts w:ascii="Calibri" w:eastAsia="Yu Mincho" w:hAnsi="Calibri" w:cs="Times New Roman"/>
          <w:color w:val="000000" w:themeColor="text1"/>
          <w:sz w:val="28"/>
          <w:szCs w:val="28"/>
          <w:lang w:val="en-US" w:eastAsia="ja-JP"/>
        </w:rPr>
        <w:t xml:space="preserve">Typically, the non-inferiority threshold is </w:t>
      </w:r>
      <w:r w:rsidR="003E3729" w:rsidRPr="00625A76">
        <w:rPr>
          <w:rFonts w:ascii="Calibri" w:eastAsia="Yu Mincho" w:hAnsi="Calibri" w:cs="Times New Roman"/>
          <w:color w:val="000000" w:themeColor="text1"/>
          <w:sz w:val="28"/>
          <w:szCs w:val="28"/>
          <w:lang w:val="en-US" w:eastAsia="ja-JP"/>
        </w:rPr>
        <w:t xml:space="preserve">either </w:t>
      </w:r>
      <w:r w:rsidRPr="00625A76">
        <w:rPr>
          <w:rFonts w:ascii="Calibri" w:eastAsia="Yu Mincho" w:hAnsi="Calibri" w:cs="Times New Roman"/>
          <w:color w:val="000000" w:themeColor="text1"/>
          <w:sz w:val="28"/>
          <w:szCs w:val="28"/>
          <w:lang w:val="en-US" w:eastAsia="ja-JP"/>
        </w:rPr>
        <w:t xml:space="preserve">defined as an absolute or </w:t>
      </w:r>
      <w:r w:rsidR="003E3729" w:rsidRPr="00625A76">
        <w:rPr>
          <w:rFonts w:ascii="Calibri" w:eastAsia="Yu Mincho" w:hAnsi="Calibri" w:cs="Times New Roman"/>
          <w:color w:val="000000" w:themeColor="text1"/>
          <w:sz w:val="28"/>
          <w:szCs w:val="28"/>
          <w:lang w:val="en-US" w:eastAsia="ja-JP"/>
        </w:rPr>
        <w:t xml:space="preserve">as </w:t>
      </w:r>
      <w:r w:rsidRPr="00625A76">
        <w:rPr>
          <w:rFonts w:ascii="Calibri" w:eastAsia="Yu Mincho" w:hAnsi="Calibri" w:cs="Times New Roman"/>
          <w:color w:val="000000" w:themeColor="text1"/>
          <w:sz w:val="28"/>
          <w:szCs w:val="28"/>
          <w:lang w:val="en-US" w:eastAsia="ja-JP"/>
        </w:rPr>
        <w:t xml:space="preserve">a relative loss in effectiveness compared to the standard of care. However, when assumptions about the effectiveness of the standard of care differ substantially from the observed effectiveness in the study, the relation between </w:t>
      </w:r>
      <w:r w:rsidR="003E3729" w:rsidRPr="00625A76">
        <w:rPr>
          <w:rFonts w:ascii="Calibri" w:eastAsia="Yu Mincho" w:hAnsi="Calibri" w:cs="Times New Roman"/>
          <w:color w:val="000000" w:themeColor="text1"/>
          <w:sz w:val="28"/>
          <w:szCs w:val="28"/>
          <w:lang w:val="en-US" w:eastAsia="ja-JP"/>
        </w:rPr>
        <w:t xml:space="preserve">absolute and relative difference in effectiveness will shift. </w:t>
      </w:r>
      <w:r w:rsidRPr="00625A76">
        <w:rPr>
          <w:rFonts w:ascii="Calibri" w:eastAsia="Yu Mincho" w:hAnsi="Calibri" w:cs="Times New Roman"/>
          <w:color w:val="000000" w:themeColor="text1"/>
          <w:sz w:val="28"/>
          <w:szCs w:val="28"/>
          <w:lang w:val="en-US" w:eastAsia="ja-JP"/>
        </w:rPr>
        <w:t xml:space="preserve">This can lead to results that are difficult to interpret. For example, in the case of a much better than expected event-free survival, the 95% CI interval of the de-escalated treatment arm might not cross the </w:t>
      </w:r>
      <w:r w:rsidR="003E3729" w:rsidRPr="00625A76">
        <w:rPr>
          <w:rFonts w:ascii="Calibri" w:eastAsia="Yu Mincho" w:hAnsi="Calibri" w:cs="Times New Roman"/>
          <w:color w:val="000000" w:themeColor="text1"/>
          <w:sz w:val="28"/>
          <w:szCs w:val="28"/>
          <w:lang w:val="en-US" w:eastAsia="ja-JP"/>
        </w:rPr>
        <w:t>non-inferiority threshold based on absolute risk, but the corresponding relative risk might</w:t>
      </w:r>
      <w:r w:rsidR="00CC211B" w:rsidRPr="00625A76">
        <w:rPr>
          <w:rFonts w:ascii="Calibri" w:eastAsia="Yu Mincho" w:hAnsi="Calibri" w:cs="Times New Roman"/>
          <w:color w:val="000000" w:themeColor="text1"/>
          <w:sz w:val="28"/>
          <w:szCs w:val="28"/>
          <w:lang w:val="en-US" w:eastAsia="ja-JP"/>
        </w:rPr>
        <w:t xml:space="preserve"> be higher than expected and</w:t>
      </w:r>
      <w:r w:rsidR="003E3729" w:rsidRPr="00625A76">
        <w:rPr>
          <w:rFonts w:ascii="Calibri" w:eastAsia="Yu Mincho" w:hAnsi="Calibri" w:cs="Times New Roman"/>
          <w:color w:val="000000" w:themeColor="text1"/>
          <w:sz w:val="28"/>
          <w:szCs w:val="28"/>
          <w:lang w:val="en-US" w:eastAsia="ja-JP"/>
        </w:rPr>
        <w:t xml:space="preserve"> seem difficult to accept.</w:t>
      </w:r>
      <w:r w:rsidRPr="00625A76">
        <w:rPr>
          <w:rFonts w:ascii="Calibri" w:eastAsia="Yu Mincho" w:hAnsi="Calibri" w:cs="Times New Roman"/>
          <w:color w:val="000000" w:themeColor="text1"/>
          <w:sz w:val="28"/>
          <w:szCs w:val="28"/>
          <w:lang w:val="en-US" w:eastAsia="ja-JP"/>
        </w:rPr>
        <w:t xml:space="preserve"> </w:t>
      </w:r>
    </w:p>
    <w:p w14:paraId="4F52214B" w14:textId="2FD8D7DA" w:rsidR="006A3821" w:rsidRPr="00625A76" w:rsidRDefault="006A3821" w:rsidP="009B4B71">
      <w:pPr>
        <w:jc w:val="both"/>
        <w:rPr>
          <w:rFonts w:ascii="Calibri" w:eastAsia="Times New Roman" w:hAnsi="Calibri" w:cs="Calibri"/>
          <w:color w:val="000000" w:themeColor="text1"/>
          <w:sz w:val="28"/>
          <w:szCs w:val="28"/>
          <w:lang w:val="en-US" w:eastAsia="en-GB"/>
        </w:rPr>
      </w:pPr>
      <w:r w:rsidRPr="00625A76">
        <w:rPr>
          <w:rFonts w:ascii="Calibri" w:eastAsia="Times New Roman" w:hAnsi="Calibri" w:cs="Calibri"/>
          <w:color w:val="000000" w:themeColor="text1"/>
          <w:sz w:val="28"/>
          <w:szCs w:val="28"/>
          <w:lang w:val="en-US" w:eastAsia="en-GB"/>
        </w:rPr>
        <w:t>Although</w:t>
      </w:r>
      <w:r w:rsidR="006F1D7D" w:rsidRPr="00625A76">
        <w:rPr>
          <w:rFonts w:ascii="Calibri" w:eastAsia="Times New Roman" w:hAnsi="Calibri" w:cs="Calibri"/>
          <w:color w:val="000000" w:themeColor="text1"/>
          <w:sz w:val="28"/>
          <w:szCs w:val="28"/>
          <w:lang w:val="en-US" w:eastAsia="en-GB"/>
        </w:rPr>
        <w:t xml:space="preserve"> non-adherence to</w:t>
      </w:r>
      <w:r w:rsidRPr="00625A76">
        <w:rPr>
          <w:rFonts w:ascii="Calibri" w:eastAsia="Times New Roman" w:hAnsi="Calibri" w:cs="Calibri"/>
          <w:color w:val="000000" w:themeColor="text1"/>
          <w:sz w:val="28"/>
          <w:szCs w:val="28"/>
          <w:lang w:val="en-US" w:eastAsia="en-GB"/>
        </w:rPr>
        <w:t xml:space="preserve"> treatment </w:t>
      </w:r>
      <w:r w:rsidR="006F1D7D" w:rsidRPr="00625A76">
        <w:rPr>
          <w:rFonts w:ascii="Calibri" w:eastAsia="Times New Roman" w:hAnsi="Calibri" w:cs="Calibri"/>
          <w:color w:val="000000" w:themeColor="text1"/>
          <w:sz w:val="28"/>
          <w:szCs w:val="28"/>
          <w:lang w:val="en-US" w:eastAsia="en-GB"/>
        </w:rPr>
        <w:t>i</w:t>
      </w:r>
      <w:r w:rsidRPr="00625A76">
        <w:rPr>
          <w:rFonts w:ascii="Calibri" w:eastAsia="Times New Roman" w:hAnsi="Calibri" w:cs="Calibri"/>
          <w:color w:val="000000" w:themeColor="text1"/>
          <w:sz w:val="28"/>
          <w:szCs w:val="28"/>
          <w:lang w:val="en-US" w:eastAsia="en-GB"/>
        </w:rPr>
        <w:t xml:space="preserve">s a problem in most trials with systemic treatments, it’s effects can have particularly large consequences in non-inferiority trials. As non-adherence to the assigned treatment will make the standard of care arm more similar to the de-escalation arm, the difference in effect between the two arms might be underestimated. Therefore, an “intention </w:t>
      </w:r>
      <w:r w:rsidRPr="00625A76">
        <w:rPr>
          <w:rFonts w:ascii="Calibri" w:eastAsia="Times New Roman" w:hAnsi="Calibri" w:cs="Calibri"/>
          <w:color w:val="000000" w:themeColor="text1"/>
          <w:sz w:val="28"/>
          <w:szCs w:val="28"/>
          <w:lang w:val="en-US" w:eastAsia="en-GB"/>
        </w:rPr>
        <w:lastRenderedPageBreak/>
        <w:t>to treat” analysis in a de-escalation trial with substantial non-adherence will be biased towards concluding non-inferiority. A “per protocol analysis” reflects a less conservative alternative.</w:t>
      </w:r>
      <w:r w:rsidRPr="00625A76">
        <w:rPr>
          <w:rFonts w:ascii="Calibri" w:eastAsia="Times New Roman" w:hAnsi="Calibri" w:cs="Calibri"/>
          <w:color w:val="000000" w:themeColor="text1"/>
          <w:sz w:val="28"/>
          <w:szCs w:val="28"/>
          <w:lang w:val="en-US" w:eastAsia="en-GB"/>
        </w:rPr>
        <w:fldChar w:fldCharType="begin" w:fldLock="1"/>
      </w:r>
      <w:r w:rsidR="001A1C1C">
        <w:rPr>
          <w:rFonts w:ascii="Calibri" w:eastAsia="Times New Roman" w:hAnsi="Calibri" w:cs="Calibri"/>
          <w:color w:val="000000" w:themeColor="text1"/>
          <w:sz w:val="28"/>
          <w:szCs w:val="28"/>
          <w:lang w:val="en-US" w:eastAsia="en-GB"/>
        </w:rPr>
        <w:instrText>ADDIN CSL_CITATION {"citationItems":[{"id":"ITEM-1","itemData":{"DOI":"10.1002/sim.1425","ISSN":"02776715","abstract":"Placebo-controlled trials are the ideal for evaluating medical treatment efficacy. They allow for control of the placebo effect and are most efficient, requiring the smallest numbers of patients to detect a treatment effect. A placebo control is ethically justified if no standard treatment exists, if the standard treatment has not been proven efficacious, there are no risks associated with delaying treatment or escape clauses are included in the protocol. Where possible and justified, they should be the first choice for medical treatment evaluation. Given the large number of proven effective treatments, placebo-controlled trials are often unethical. In these situations active-controlled trials are generally appropriate. The non-inferiority trial is appropriate for evaluation of the efficacy of an experimental treatment versus an active control when it is hypothesized that the experimental treatment may not be superior to a proven effective treatment, but is clinically and statistically not inferior in effectiveness. These trials are not easy to design. An active control must be selected. Good historical placebo-controlled trials documenting the efficacy of the active control must exist. From these historical trials statistical analysis must be performed and clinical judgement applied in order to determine the non-inferiority margin M and to assess assay sensitivity. The latter refers to establishing that the active drug would be superior to the placebo in the setting of the present non-inferiority trial (that is, the constancy assumption). Further, a putative placebo analysis of the new treatment versus the placebo using data from the non-inferiority trial and the historical active versus placebo-controlled trials is needed. Useable placebo-controlled historical trials for the active control are often not available, and determination of assay sensitivity and an appropriate M is difficult and debatable. Serious consideration to expansions of and alternatives to non-inferiority trials are needed. Copyright © 2003 John Wiley &amp; Sons, Ltd.","author":[{"dropping-particle":"","family":"D'Agostino","given":"Ralph B.","non-dropping-particle":"","parse-names":false,"suffix":""},{"dropping-particle":"","family":"Massaro","given":"Joseph M.","non-dropping-particle":"","parse-names":false,"suffix":""},{"dropping-particle":"","family":"Sullivan","given":"Lisa M.","non-dropping-particle":"","parse-names":false,"suffix":""}],"container-title":"Statistics in Medicine","id":"ITEM-1","issue":"2","issued":{"date-parts":[["2003","1","30"]]},"page":"169-186","title":"Non-inferiority trials: Design concepts and issues - The encounters of academic consultants in statistics","type":"article-journal","volume":"22"},"uris":["http://www.mendeley.com/documents/?uuid=15531842-df08-3857-ada7-fe77088ef5d2"]}],"mendeley":{"formattedCitation":"&lt;sup&gt;27&lt;/sup&gt;","plainTextFormattedCitation":"27","previouslyFormattedCitation":"&lt;sup&gt;27&lt;/sup&gt;"},"properties":{"noteIndex":0},"schema":"https://github.com/citation-style-language/schema/raw/master/csl-citation.json"}</w:instrText>
      </w:r>
      <w:r w:rsidRPr="00625A76">
        <w:rPr>
          <w:rFonts w:ascii="Calibri" w:eastAsia="Times New Roman" w:hAnsi="Calibri" w:cs="Calibri"/>
          <w:color w:val="000000" w:themeColor="text1"/>
          <w:sz w:val="28"/>
          <w:szCs w:val="28"/>
          <w:lang w:val="en-US" w:eastAsia="en-GB"/>
        </w:rPr>
        <w:fldChar w:fldCharType="separate"/>
      </w:r>
      <w:r w:rsidR="00B21CA2" w:rsidRPr="00B21CA2">
        <w:rPr>
          <w:rFonts w:ascii="Calibri" w:eastAsia="Times New Roman" w:hAnsi="Calibri" w:cs="Calibri"/>
          <w:noProof/>
          <w:color w:val="000000" w:themeColor="text1"/>
          <w:sz w:val="28"/>
          <w:szCs w:val="28"/>
          <w:vertAlign w:val="superscript"/>
          <w:lang w:val="en-US" w:eastAsia="en-GB"/>
        </w:rPr>
        <w:t>27</w:t>
      </w:r>
      <w:r w:rsidRPr="00625A76">
        <w:rPr>
          <w:rFonts w:ascii="Calibri" w:eastAsia="Times New Roman" w:hAnsi="Calibri" w:cs="Calibri"/>
          <w:color w:val="000000" w:themeColor="text1"/>
          <w:sz w:val="28"/>
          <w:szCs w:val="28"/>
          <w:lang w:val="en-US" w:eastAsia="en-GB"/>
        </w:rPr>
        <w:fldChar w:fldCharType="end"/>
      </w:r>
      <w:r w:rsidR="003C0A98">
        <w:rPr>
          <w:rFonts w:ascii="Calibri" w:eastAsia="Times New Roman" w:hAnsi="Calibri" w:cs="Calibri"/>
          <w:color w:val="000000" w:themeColor="text1"/>
          <w:sz w:val="28"/>
          <w:szCs w:val="28"/>
          <w:lang w:val="en-US" w:eastAsia="en-GB"/>
        </w:rPr>
        <w:t xml:space="preserve"> I</w:t>
      </w:r>
      <w:r w:rsidRPr="00625A76">
        <w:rPr>
          <w:rFonts w:ascii="Calibri" w:eastAsia="Times New Roman" w:hAnsi="Calibri" w:cs="Calibri"/>
          <w:color w:val="000000" w:themeColor="text1"/>
          <w:sz w:val="28"/>
          <w:szCs w:val="28"/>
          <w:lang w:val="en-US" w:eastAsia="en-GB"/>
        </w:rPr>
        <w:t xml:space="preserve">n de-escalation studies assessing treatment duration, </w:t>
      </w:r>
      <w:r w:rsidR="006F1D7D" w:rsidRPr="00625A76">
        <w:rPr>
          <w:rFonts w:ascii="Calibri" w:eastAsia="Times New Roman" w:hAnsi="Calibri" w:cs="Calibri"/>
          <w:color w:val="000000" w:themeColor="text1"/>
          <w:sz w:val="28"/>
          <w:szCs w:val="28"/>
          <w:lang w:val="en-US" w:eastAsia="en-GB"/>
        </w:rPr>
        <w:t xml:space="preserve">it might be beneficial </w:t>
      </w:r>
      <w:r w:rsidRPr="00625A76">
        <w:rPr>
          <w:rFonts w:ascii="Calibri" w:eastAsia="Times New Roman" w:hAnsi="Calibri" w:cs="Calibri"/>
          <w:color w:val="000000" w:themeColor="text1"/>
          <w:sz w:val="28"/>
          <w:szCs w:val="28"/>
          <w:lang w:val="en-US" w:eastAsia="en-GB"/>
        </w:rPr>
        <w:t xml:space="preserve">to randomize patients when they are already on treatment and have almost completed the shorter of the two durations being compared (i.e., the point at which the two treatments diverge). By that time, </w:t>
      </w:r>
      <w:r w:rsidR="003C0A98">
        <w:rPr>
          <w:rFonts w:ascii="Calibri" w:eastAsia="Times New Roman" w:hAnsi="Calibri" w:cs="Calibri"/>
          <w:color w:val="000000" w:themeColor="text1"/>
          <w:sz w:val="28"/>
          <w:szCs w:val="28"/>
          <w:lang w:val="en-US" w:eastAsia="en-GB"/>
        </w:rPr>
        <w:t>it</w:t>
      </w:r>
      <w:r w:rsidRPr="00625A76">
        <w:rPr>
          <w:rFonts w:ascii="Calibri" w:eastAsia="Times New Roman" w:hAnsi="Calibri" w:cs="Calibri"/>
          <w:color w:val="000000" w:themeColor="text1"/>
          <w:sz w:val="28"/>
          <w:szCs w:val="28"/>
          <w:lang w:val="en-US" w:eastAsia="en-GB"/>
        </w:rPr>
        <w:t xml:space="preserve"> </w:t>
      </w:r>
      <w:r w:rsidR="003C0A98">
        <w:rPr>
          <w:rFonts w:ascii="Calibri" w:eastAsia="Times New Roman" w:hAnsi="Calibri" w:cs="Calibri"/>
          <w:color w:val="000000" w:themeColor="text1"/>
          <w:sz w:val="28"/>
          <w:szCs w:val="28"/>
          <w:lang w:val="en-US" w:eastAsia="en-GB"/>
        </w:rPr>
        <w:t>is</w:t>
      </w:r>
      <w:r w:rsidR="003C0A98" w:rsidRPr="00625A76">
        <w:rPr>
          <w:rFonts w:ascii="Calibri" w:eastAsia="Times New Roman" w:hAnsi="Calibri" w:cs="Calibri"/>
          <w:color w:val="000000" w:themeColor="text1"/>
          <w:sz w:val="28"/>
          <w:szCs w:val="28"/>
          <w:lang w:val="en-US" w:eastAsia="en-GB"/>
        </w:rPr>
        <w:t xml:space="preserve"> </w:t>
      </w:r>
      <w:r w:rsidRPr="00625A76">
        <w:rPr>
          <w:rFonts w:ascii="Calibri" w:eastAsia="Times New Roman" w:hAnsi="Calibri" w:cs="Calibri"/>
          <w:color w:val="000000" w:themeColor="text1"/>
          <w:sz w:val="28"/>
          <w:szCs w:val="28"/>
          <w:lang w:val="en-US" w:eastAsia="en-GB"/>
        </w:rPr>
        <w:t>know</w:t>
      </w:r>
      <w:r w:rsidR="003C0A98">
        <w:rPr>
          <w:rFonts w:ascii="Calibri" w:eastAsia="Times New Roman" w:hAnsi="Calibri" w:cs="Calibri"/>
          <w:color w:val="000000" w:themeColor="text1"/>
          <w:sz w:val="28"/>
          <w:szCs w:val="28"/>
          <w:lang w:val="en-US" w:eastAsia="en-GB"/>
        </w:rPr>
        <w:t>n</w:t>
      </w:r>
      <w:r w:rsidRPr="00625A76">
        <w:rPr>
          <w:rFonts w:ascii="Calibri" w:eastAsia="Times New Roman" w:hAnsi="Calibri" w:cs="Calibri"/>
          <w:color w:val="000000" w:themeColor="text1"/>
          <w:sz w:val="28"/>
          <w:szCs w:val="28"/>
          <w:lang w:val="en-US" w:eastAsia="en-GB"/>
        </w:rPr>
        <w:t xml:space="preserve"> how well the patient is tolerating the treatment and whether the patient </w:t>
      </w:r>
      <w:r w:rsidR="003C0A98">
        <w:rPr>
          <w:rFonts w:ascii="Calibri" w:eastAsia="Times New Roman" w:hAnsi="Calibri" w:cs="Calibri"/>
          <w:color w:val="000000" w:themeColor="text1"/>
          <w:sz w:val="28"/>
          <w:szCs w:val="28"/>
          <w:lang w:val="en-US" w:eastAsia="en-GB"/>
        </w:rPr>
        <w:t xml:space="preserve">is likely to </w:t>
      </w:r>
      <w:r w:rsidR="006F1D7D" w:rsidRPr="00625A76">
        <w:rPr>
          <w:rFonts w:ascii="Calibri" w:eastAsia="Times New Roman" w:hAnsi="Calibri" w:cs="Calibri"/>
          <w:color w:val="000000" w:themeColor="text1"/>
          <w:sz w:val="28"/>
          <w:szCs w:val="28"/>
          <w:lang w:val="en-US" w:eastAsia="en-GB"/>
        </w:rPr>
        <w:t>be able to</w:t>
      </w:r>
      <w:r w:rsidR="006F1D7D" w:rsidRPr="00625A76" w:rsidDel="006F1D7D">
        <w:rPr>
          <w:rFonts w:ascii="Calibri" w:eastAsia="Times New Roman" w:hAnsi="Calibri" w:cs="Calibri"/>
          <w:color w:val="000000" w:themeColor="text1"/>
          <w:sz w:val="28"/>
          <w:szCs w:val="28"/>
          <w:lang w:val="en-US" w:eastAsia="en-GB"/>
        </w:rPr>
        <w:t xml:space="preserve"> </w:t>
      </w:r>
      <w:r w:rsidRPr="00625A76">
        <w:rPr>
          <w:rFonts w:ascii="Calibri" w:eastAsia="Times New Roman" w:hAnsi="Calibri" w:cs="Calibri"/>
          <w:color w:val="000000" w:themeColor="text1"/>
          <w:sz w:val="28"/>
          <w:szCs w:val="28"/>
          <w:lang w:val="en-US" w:eastAsia="en-GB"/>
        </w:rPr>
        <w:t xml:space="preserve">complete </w:t>
      </w:r>
      <w:r w:rsidR="006F1D7D" w:rsidRPr="00625A76">
        <w:rPr>
          <w:rFonts w:ascii="Calibri" w:eastAsia="Times New Roman" w:hAnsi="Calibri" w:cs="Calibri"/>
          <w:color w:val="000000" w:themeColor="text1"/>
          <w:sz w:val="28"/>
          <w:szCs w:val="28"/>
          <w:lang w:val="en-US" w:eastAsia="en-GB"/>
        </w:rPr>
        <w:t xml:space="preserve">the longer </w:t>
      </w:r>
      <w:r w:rsidRPr="00625A76">
        <w:rPr>
          <w:rFonts w:ascii="Calibri" w:eastAsia="Times New Roman" w:hAnsi="Calibri" w:cs="Calibri"/>
          <w:color w:val="000000" w:themeColor="text1"/>
          <w:sz w:val="28"/>
          <w:szCs w:val="28"/>
          <w:lang w:val="en-US" w:eastAsia="en-GB"/>
        </w:rPr>
        <w:t xml:space="preserve">regimen. Moreover, </w:t>
      </w:r>
      <w:r w:rsidR="00386427">
        <w:rPr>
          <w:rFonts w:ascii="Calibri" w:eastAsia="Times New Roman" w:hAnsi="Calibri" w:cs="Calibri"/>
          <w:color w:val="000000" w:themeColor="text1"/>
          <w:sz w:val="28"/>
          <w:szCs w:val="28"/>
          <w:lang w:val="en-US" w:eastAsia="en-GB"/>
        </w:rPr>
        <w:t xml:space="preserve">as </w:t>
      </w:r>
      <w:r w:rsidRPr="00625A76">
        <w:rPr>
          <w:rFonts w:ascii="Calibri" w:eastAsia="Times New Roman" w:hAnsi="Calibri" w:cs="Calibri"/>
          <w:color w:val="000000" w:themeColor="text1"/>
          <w:sz w:val="28"/>
          <w:szCs w:val="28"/>
          <w:lang w:val="en-US" w:eastAsia="en-GB"/>
        </w:rPr>
        <w:t>the initial anxiety at diagnosis might have decreased</w:t>
      </w:r>
      <w:r w:rsidR="00386427">
        <w:rPr>
          <w:rFonts w:ascii="Calibri" w:eastAsia="Times New Roman" w:hAnsi="Calibri" w:cs="Calibri"/>
          <w:color w:val="000000" w:themeColor="text1"/>
          <w:sz w:val="28"/>
          <w:szCs w:val="28"/>
          <w:lang w:val="en-US" w:eastAsia="en-GB"/>
        </w:rPr>
        <w:t>, t</w:t>
      </w:r>
      <w:r w:rsidRPr="00625A76">
        <w:rPr>
          <w:rFonts w:ascii="Calibri" w:eastAsia="Times New Roman" w:hAnsi="Calibri" w:cs="Calibri"/>
          <w:color w:val="000000" w:themeColor="text1"/>
          <w:sz w:val="28"/>
          <w:szCs w:val="28"/>
          <w:lang w:val="en-US" w:eastAsia="en-GB"/>
        </w:rPr>
        <w:t>he patient may be more willing to consider a treatment de-escalation trial. Finally, adherence to treatment must be part of the IDMC monitoring of the trial.</w:t>
      </w:r>
    </w:p>
    <w:p w14:paraId="1CD42B3E" w14:textId="77777777" w:rsidR="006A3821" w:rsidRPr="00625A76" w:rsidRDefault="006A3821" w:rsidP="009B4B71">
      <w:pPr>
        <w:jc w:val="both"/>
        <w:rPr>
          <w:rFonts w:ascii="Calibri" w:eastAsia="Yu Mincho" w:hAnsi="Calibri" w:cs="Times New Roman"/>
          <w:color w:val="000000" w:themeColor="text1"/>
          <w:sz w:val="28"/>
          <w:szCs w:val="28"/>
          <w:lang w:val="en-US" w:eastAsia="ja-JP"/>
        </w:rPr>
      </w:pPr>
    </w:p>
    <w:p w14:paraId="1C11BED1" w14:textId="4091EE64" w:rsidR="0077794A" w:rsidRPr="00625A76" w:rsidRDefault="0075480B" w:rsidP="009B4B71">
      <w:pPr>
        <w:jc w:val="both"/>
        <w:rPr>
          <w:rFonts w:ascii="Calibri" w:eastAsia="Times New Roman" w:hAnsi="Calibri" w:cs="Calibri"/>
          <w:color w:val="000000" w:themeColor="text1"/>
          <w:sz w:val="28"/>
          <w:szCs w:val="28"/>
          <w:u w:val="single"/>
          <w:lang w:val="en-US" w:eastAsia="en-GB"/>
        </w:rPr>
      </w:pPr>
      <w:r w:rsidRPr="00625A76">
        <w:rPr>
          <w:rFonts w:ascii="Calibri" w:eastAsia="Times New Roman" w:hAnsi="Calibri" w:cs="Calibri"/>
          <w:color w:val="000000" w:themeColor="text1"/>
          <w:sz w:val="28"/>
          <w:szCs w:val="28"/>
          <w:u w:val="single"/>
          <w:lang w:val="en-US" w:eastAsia="en-GB"/>
        </w:rPr>
        <w:t>The single-arm cohort design</w:t>
      </w:r>
    </w:p>
    <w:p w14:paraId="00AF547F" w14:textId="406D10D4" w:rsidR="0075480B" w:rsidRPr="00625A76" w:rsidRDefault="0075480B" w:rsidP="009B4B71">
      <w:pPr>
        <w:jc w:val="both"/>
        <w:rPr>
          <w:rFonts w:ascii="Calibri" w:eastAsia="Times New Roman" w:hAnsi="Calibri" w:cs="Calibri"/>
          <w:color w:val="000000" w:themeColor="text1"/>
          <w:sz w:val="28"/>
          <w:szCs w:val="28"/>
          <w:lang w:val="en-US" w:eastAsia="en-GB"/>
        </w:rPr>
      </w:pPr>
      <w:r w:rsidRPr="00625A76">
        <w:rPr>
          <w:rFonts w:ascii="Calibri" w:eastAsia="Times New Roman" w:hAnsi="Calibri" w:cs="Calibri"/>
          <w:color w:val="000000" w:themeColor="text1"/>
          <w:sz w:val="28"/>
          <w:szCs w:val="28"/>
          <w:lang w:val="en-US" w:eastAsia="en-GB"/>
        </w:rPr>
        <w:t xml:space="preserve">Non-inferiority designs typically require narrow confidence intervals and therefore large sample sizes, often leading to prohibitively high costs. In some settings, the use of a single arm cohort design, where the outcomes of a group of patients treated with the de-escalated treatment is compared with an absolute threshold of disease outcomes, might be a way to conduct a trial with a smaller sample size. However, inappropriate use of this design can easily result in the incorrect conclusion about the non-inferiority of the de-escalated treatment. A key requirement for a single-arm cohort design is the availability of high-quality data from </w:t>
      </w:r>
      <w:r w:rsidR="00F2373B" w:rsidRPr="00625A76">
        <w:rPr>
          <w:rFonts w:ascii="Calibri" w:eastAsia="Times New Roman" w:hAnsi="Calibri" w:cs="Calibri"/>
          <w:color w:val="000000" w:themeColor="text1"/>
          <w:sz w:val="28"/>
          <w:szCs w:val="28"/>
          <w:lang w:val="en-US" w:eastAsia="en-GB"/>
        </w:rPr>
        <w:t xml:space="preserve">one or more </w:t>
      </w:r>
      <w:r w:rsidRPr="00625A76">
        <w:rPr>
          <w:rFonts w:ascii="Calibri" w:eastAsia="Times New Roman" w:hAnsi="Calibri" w:cs="Calibri"/>
          <w:color w:val="000000" w:themeColor="text1"/>
          <w:sz w:val="28"/>
          <w:szCs w:val="28"/>
          <w:lang w:val="en-US" w:eastAsia="en-GB"/>
        </w:rPr>
        <w:t>a well-matched cohort</w:t>
      </w:r>
      <w:r w:rsidR="00F2373B" w:rsidRPr="00625A76">
        <w:rPr>
          <w:rFonts w:ascii="Calibri" w:eastAsia="Times New Roman" w:hAnsi="Calibri" w:cs="Calibri"/>
          <w:color w:val="000000" w:themeColor="text1"/>
          <w:sz w:val="28"/>
          <w:szCs w:val="28"/>
          <w:lang w:val="en-US" w:eastAsia="en-GB"/>
        </w:rPr>
        <w:t>(s)</w:t>
      </w:r>
      <w:r w:rsidRPr="00625A76">
        <w:rPr>
          <w:rFonts w:ascii="Calibri" w:eastAsia="Times New Roman" w:hAnsi="Calibri" w:cs="Calibri"/>
          <w:color w:val="000000" w:themeColor="text1"/>
          <w:sz w:val="28"/>
          <w:szCs w:val="28"/>
          <w:lang w:val="en-US" w:eastAsia="en-GB"/>
        </w:rPr>
        <w:t xml:space="preserve"> treated with the current standard of care, which can be used to determine the expected event rate. However, even if these data are available, a single arm cohort design is only appropriate when the expected event rate is relatively low (e.g. &lt;10% events at the main analysis timepoint). For higher event rates, a small difference in the risk profile of study population compared to the historical control will result in a relatively large difference in absolute risk of events, making the comparison invalid. Importantly, even though the inclusion criteria of a single arm cohort study might match a historical control population, the risk profile of patients actually enrolled in the trial might be skewed, typically towards lower risk patients. This might be particularly true for studies </w:t>
      </w:r>
      <w:r w:rsidR="00112B8E" w:rsidRPr="00625A76">
        <w:rPr>
          <w:rFonts w:ascii="Calibri" w:eastAsia="Times New Roman" w:hAnsi="Calibri" w:cs="Calibri"/>
          <w:color w:val="000000" w:themeColor="text1"/>
          <w:sz w:val="28"/>
          <w:szCs w:val="28"/>
          <w:lang w:val="en-US" w:eastAsia="en-GB"/>
        </w:rPr>
        <w:t xml:space="preserve">that are relatively small or have </w:t>
      </w:r>
      <w:r w:rsidRPr="00625A76">
        <w:rPr>
          <w:rFonts w:ascii="Calibri" w:eastAsia="Times New Roman" w:hAnsi="Calibri" w:cs="Calibri"/>
          <w:color w:val="000000" w:themeColor="text1"/>
          <w:sz w:val="28"/>
          <w:szCs w:val="28"/>
          <w:lang w:val="en-US" w:eastAsia="en-GB"/>
        </w:rPr>
        <w:t>broad inclusion criteria.</w:t>
      </w:r>
      <w:r w:rsidR="00112B8E" w:rsidRPr="00625A76">
        <w:rPr>
          <w:rFonts w:ascii="Calibri" w:eastAsia="Times New Roman" w:hAnsi="Calibri" w:cs="Calibri"/>
          <w:color w:val="000000" w:themeColor="text1"/>
          <w:sz w:val="28"/>
          <w:szCs w:val="28"/>
          <w:lang w:val="en-US" w:eastAsia="en-GB"/>
        </w:rPr>
        <w:t xml:space="preserve"> </w:t>
      </w:r>
    </w:p>
    <w:p w14:paraId="4C62BA46" w14:textId="77777777" w:rsidR="00870F63" w:rsidRPr="00625A76" w:rsidRDefault="00870F63" w:rsidP="009B4B71">
      <w:pPr>
        <w:jc w:val="both"/>
        <w:rPr>
          <w:rFonts w:ascii="Calibri" w:eastAsia="Times New Roman" w:hAnsi="Calibri" w:cs="Calibri"/>
          <w:color w:val="000000" w:themeColor="text1"/>
          <w:sz w:val="28"/>
          <w:szCs w:val="28"/>
          <w:u w:val="single"/>
          <w:lang w:val="en-US" w:eastAsia="en-GB"/>
        </w:rPr>
      </w:pPr>
    </w:p>
    <w:p w14:paraId="5173CC7A" w14:textId="35013DBD" w:rsidR="00F911E7" w:rsidRPr="00625A76" w:rsidRDefault="00F911E7" w:rsidP="009B4B71">
      <w:pPr>
        <w:jc w:val="both"/>
        <w:rPr>
          <w:rFonts w:ascii="Calibri" w:eastAsia="Times New Roman" w:hAnsi="Calibri" w:cs="Calibri"/>
          <w:color w:val="000000" w:themeColor="text1"/>
          <w:sz w:val="28"/>
          <w:szCs w:val="28"/>
          <w:lang w:val="en-US" w:eastAsia="en-GB"/>
        </w:rPr>
      </w:pPr>
      <w:r w:rsidRPr="00625A76">
        <w:rPr>
          <w:rFonts w:ascii="Calibri" w:eastAsia="Times New Roman" w:hAnsi="Calibri" w:cs="Calibri"/>
          <w:color w:val="000000" w:themeColor="text1"/>
          <w:sz w:val="28"/>
          <w:szCs w:val="28"/>
          <w:u w:val="single"/>
          <w:lang w:val="en-US" w:eastAsia="en-GB"/>
        </w:rPr>
        <w:t>Most appropriate endpoints of non-inferiority trials</w:t>
      </w:r>
    </w:p>
    <w:p w14:paraId="6278334B" w14:textId="212A66E7" w:rsidR="00F911E7" w:rsidRPr="00625A76" w:rsidRDefault="00F911E7" w:rsidP="009B4B71">
      <w:pPr>
        <w:jc w:val="both"/>
        <w:rPr>
          <w:rFonts w:ascii="Calibri" w:eastAsia="Times New Roman" w:hAnsi="Calibri" w:cs="Calibri"/>
          <w:color w:val="000000" w:themeColor="text1"/>
          <w:sz w:val="28"/>
          <w:szCs w:val="28"/>
          <w:lang w:val="en-US" w:eastAsia="en-GB"/>
        </w:rPr>
      </w:pPr>
      <w:r w:rsidRPr="00625A76">
        <w:rPr>
          <w:rFonts w:ascii="Calibri" w:eastAsia="Times New Roman" w:hAnsi="Calibri" w:cs="Calibri"/>
          <w:color w:val="000000" w:themeColor="text1"/>
          <w:sz w:val="28"/>
          <w:szCs w:val="28"/>
          <w:lang w:val="en-US" w:eastAsia="en-GB"/>
        </w:rPr>
        <w:t xml:space="preserve">Overall survival </w:t>
      </w:r>
      <w:r w:rsidR="0017452A">
        <w:rPr>
          <w:rFonts w:ascii="Calibri" w:eastAsia="Times New Roman" w:hAnsi="Calibri" w:cs="Calibri"/>
          <w:color w:val="000000" w:themeColor="text1"/>
          <w:sz w:val="28"/>
          <w:szCs w:val="28"/>
          <w:lang w:val="en-US" w:eastAsia="en-GB"/>
        </w:rPr>
        <w:t xml:space="preserve">(OS) </w:t>
      </w:r>
      <w:r w:rsidRPr="00625A76">
        <w:rPr>
          <w:rFonts w:ascii="Calibri" w:eastAsia="Times New Roman" w:hAnsi="Calibri" w:cs="Calibri"/>
          <w:color w:val="000000" w:themeColor="text1"/>
          <w:sz w:val="28"/>
          <w:szCs w:val="28"/>
          <w:lang w:val="en-US" w:eastAsia="en-GB"/>
        </w:rPr>
        <w:t xml:space="preserve">is still the gold standard for outcome measures in clinical trials and the most important outcome for patients. However, assessing </w:t>
      </w:r>
      <w:r w:rsidR="0017452A">
        <w:rPr>
          <w:rFonts w:ascii="Calibri" w:eastAsia="Times New Roman" w:hAnsi="Calibri" w:cs="Calibri"/>
          <w:color w:val="000000" w:themeColor="text1"/>
          <w:sz w:val="28"/>
          <w:szCs w:val="28"/>
          <w:lang w:val="en-US" w:eastAsia="en-GB"/>
        </w:rPr>
        <w:t>OS</w:t>
      </w:r>
      <w:r w:rsidRPr="00625A76">
        <w:rPr>
          <w:rFonts w:ascii="Calibri" w:eastAsia="Times New Roman" w:hAnsi="Calibri" w:cs="Calibri"/>
          <w:color w:val="000000" w:themeColor="text1"/>
          <w:sz w:val="28"/>
          <w:szCs w:val="28"/>
          <w:lang w:val="en-US" w:eastAsia="en-GB"/>
        </w:rPr>
        <w:t xml:space="preserve"> requires large trials and long-term follow-up. This might mean that a drug has become obsolete by the time the results of a clinical study are </w:t>
      </w:r>
      <w:r w:rsidR="007063DC">
        <w:rPr>
          <w:rFonts w:ascii="Calibri" w:eastAsia="Times New Roman" w:hAnsi="Calibri" w:cs="Calibri"/>
          <w:color w:val="000000" w:themeColor="text1"/>
          <w:sz w:val="28"/>
          <w:szCs w:val="28"/>
          <w:lang w:val="en-US" w:eastAsia="en-GB"/>
        </w:rPr>
        <w:t>available</w:t>
      </w:r>
      <w:r w:rsidRPr="00625A76">
        <w:rPr>
          <w:rFonts w:ascii="Calibri" w:eastAsia="Times New Roman" w:hAnsi="Calibri" w:cs="Calibri"/>
          <w:color w:val="000000" w:themeColor="text1"/>
          <w:sz w:val="28"/>
          <w:szCs w:val="28"/>
          <w:lang w:val="en-US" w:eastAsia="en-GB"/>
        </w:rPr>
        <w:t xml:space="preserve">. </w:t>
      </w:r>
      <w:r w:rsidR="0017452A">
        <w:rPr>
          <w:rFonts w:ascii="Calibri" w:eastAsia="Times New Roman" w:hAnsi="Calibri" w:cs="Calibri"/>
          <w:color w:val="000000" w:themeColor="text1"/>
          <w:sz w:val="28"/>
          <w:szCs w:val="28"/>
          <w:lang w:val="en-US" w:eastAsia="en-GB"/>
        </w:rPr>
        <w:t>Moreover, t</w:t>
      </w:r>
      <w:r w:rsidRPr="00625A76">
        <w:rPr>
          <w:rFonts w:ascii="Calibri" w:eastAsia="Times New Roman" w:hAnsi="Calibri" w:cs="Calibri"/>
          <w:color w:val="000000" w:themeColor="text1"/>
          <w:sz w:val="28"/>
          <w:szCs w:val="28"/>
          <w:lang w:val="en-US" w:eastAsia="en-GB"/>
        </w:rPr>
        <w:t xml:space="preserve">he effect of a treatment on </w:t>
      </w:r>
      <w:r w:rsidR="0017452A">
        <w:rPr>
          <w:rFonts w:ascii="Calibri" w:eastAsia="Times New Roman" w:hAnsi="Calibri" w:cs="Calibri"/>
          <w:color w:val="000000" w:themeColor="text1"/>
          <w:sz w:val="28"/>
          <w:szCs w:val="28"/>
          <w:lang w:val="en-US" w:eastAsia="en-GB"/>
        </w:rPr>
        <w:t>OS</w:t>
      </w:r>
      <w:r w:rsidRPr="00625A76">
        <w:rPr>
          <w:rFonts w:ascii="Calibri" w:eastAsia="Times New Roman" w:hAnsi="Calibri" w:cs="Calibri"/>
          <w:color w:val="000000" w:themeColor="text1"/>
          <w:sz w:val="28"/>
          <w:szCs w:val="28"/>
          <w:lang w:val="en-US" w:eastAsia="en-GB"/>
        </w:rPr>
        <w:t xml:space="preserve"> is confounded by the effect of </w:t>
      </w:r>
      <w:r w:rsidRPr="00625A76">
        <w:rPr>
          <w:rFonts w:ascii="Calibri" w:eastAsia="Times New Roman" w:hAnsi="Calibri" w:cs="Calibri"/>
          <w:color w:val="000000" w:themeColor="text1"/>
          <w:sz w:val="28"/>
          <w:szCs w:val="28"/>
          <w:lang w:val="en-US" w:eastAsia="en-GB"/>
        </w:rPr>
        <w:lastRenderedPageBreak/>
        <w:t>subsequent treatment lines given in the case of disease recurrence. Therefore, composite endpoints, for example invasive disease-free survival</w:t>
      </w:r>
      <w:r w:rsidR="00AB0263" w:rsidRPr="00625A76">
        <w:rPr>
          <w:rFonts w:ascii="Calibri" w:eastAsia="Times New Roman" w:hAnsi="Calibri" w:cs="Calibri"/>
          <w:color w:val="000000" w:themeColor="text1"/>
          <w:sz w:val="28"/>
          <w:szCs w:val="28"/>
          <w:lang w:val="en-US" w:eastAsia="en-GB"/>
        </w:rPr>
        <w:t xml:space="preserve"> (</w:t>
      </w:r>
      <w:r w:rsidR="00386427">
        <w:rPr>
          <w:rFonts w:ascii="Calibri" w:eastAsia="Times New Roman" w:hAnsi="Calibri" w:cs="Calibri"/>
          <w:color w:val="000000" w:themeColor="text1"/>
          <w:sz w:val="28"/>
          <w:szCs w:val="28"/>
          <w:lang w:val="en-US" w:eastAsia="en-GB"/>
        </w:rPr>
        <w:t>i</w:t>
      </w:r>
      <w:r w:rsidR="00AB0263" w:rsidRPr="00625A76">
        <w:rPr>
          <w:rFonts w:ascii="Calibri" w:eastAsia="Times New Roman" w:hAnsi="Calibri" w:cs="Calibri"/>
          <w:color w:val="000000" w:themeColor="text1"/>
          <w:sz w:val="28"/>
          <w:szCs w:val="28"/>
          <w:lang w:val="en-US" w:eastAsia="en-GB"/>
        </w:rPr>
        <w:t>DFS)</w:t>
      </w:r>
      <w:r w:rsidRPr="00625A76">
        <w:rPr>
          <w:rFonts w:ascii="Calibri" w:eastAsia="Times New Roman" w:hAnsi="Calibri" w:cs="Calibri"/>
          <w:color w:val="000000" w:themeColor="text1"/>
          <w:sz w:val="28"/>
          <w:szCs w:val="28"/>
          <w:lang w:val="en-US" w:eastAsia="en-GB"/>
        </w:rPr>
        <w:t>, which take</w:t>
      </w:r>
      <w:r w:rsidR="001004A2" w:rsidRPr="00625A76">
        <w:rPr>
          <w:rFonts w:ascii="Calibri" w:eastAsia="Times New Roman" w:hAnsi="Calibri" w:cs="Calibri"/>
          <w:color w:val="000000" w:themeColor="text1"/>
          <w:sz w:val="28"/>
          <w:szCs w:val="28"/>
          <w:lang w:val="en-US" w:eastAsia="en-GB"/>
        </w:rPr>
        <w:t>s</w:t>
      </w:r>
      <w:r w:rsidRPr="00625A76">
        <w:rPr>
          <w:rFonts w:ascii="Calibri" w:eastAsia="Times New Roman" w:hAnsi="Calibri" w:cs="Calibri"/>
          <w:color w:val="000000" w:themeColor="text1"/>
          <w:sz w:val="28"/>
          <w:szCs w:val="28"/>
          <w:lang w:val="en-US" w:eastAsia="en-GB"/>
        </w:rPr>
        <w:t xml:space="preserve"> into account multiple clinical endpoints such as disease recurrence, new primary cancers and death of any cause, are commonly used as the primary endpoint in superiority trials</w:t>
      </w:r>
      <w:r w:rsidRPr="00625A76">
        <w:rPr>
          <w:rFonts w:ascii="Calibri" w:eastAsia="Times New Roman" w:hAnsi="Calibri" w:cs="Calibri"/>
          <w:color w:val="000000" w:themeColor="text1"/>
          <w:sz w:val="28"/>
          <w:szCs w:val="28"/>
          <w:lang w:val="en-US" w:eastAsia="en-GB"/>
        </w:rPr>
        <w:fldChar w:fldCharType="begin" w:fldLock="1"/>
      </w:r>
      <w:r w:rsidR="001A1C1C">
        <w:rPr>
          <w:rFonts w:ascii="Calibri" w:eastAsia="Times New Roman" w:hAnsi="Calibri" w:cs="Calibri"/>
          <w:color w:val="000000" w:themeColor="text1"/>
          <w:sz w:val="28"/>
          <w:szCs w:val="28"/>
          <w:lang w:val="en-US" w:eastAsia="en-GB"/>
        </w:rPr>
        <w:instrText>ADDIN CSL_CITATION {"citationItems":[{"id":"ITEM-1","itemData":{"author":[{"dropping-particle":"","family":"Hudis","given":"CA","non-dropping-particle":"","parse-names":false,"suffix":""},{"dropping-particle":"","family":"Barlow","given":"WE","non-dropping-particle":"","parse-names":false,"suffix":""},{"dropping-particle":"","family":"Costantino","given":"JP","non-dropping-particle":"","parse-names":false,"suffix":""},{"dropping-particle":"","family":"al.","given":"et","non-dropping-particle":"","parse-names":false,"suffix":""}],"container-title":"J Clin Oncol","id":"ITEM-1","issued":{"date-parts":[["2007"]]},"page":"2127-2132","title":"Proposal for standardized definitions for efficacy end points in adjuvant breast cancer trials: the STEEP system","type":"article-journal","volume":"25"},"uris":["http://www.mendeley.com/documents/?uuid=a49caa2b-87b1-3488-ad45-d4b51a1789a6"]},{"id":"ITEM-2","itemData":{"DOI":"10.1093/annonc/mdv106","ISSN":"15698041","abstract":"Background: Using surrogate end points for overall survival, such as disease-free survival, is increasingly common in randomized controlled trials. However, the definitions of several of these time-to-event (TTE) end points are imprecisely which limits interpretation and cross-trial comparisons. The estimation of treatment effects may be directly affected by the definitions of end points. The DATECAN initiative (Definition for the Assessment of Time-to-event Endpoints in CANcer trials) aims to provide recommendations for definitions of TTE end points. We report guidelines for randomized cancer clinical trials (RCTs) in breast cancer. Patients and methods: A literature review was carried out to identify TTE end points (primary or secondary) reported in publications of randomized trials or guidelines. An international multidisciplinary panel of experts proposed recommendations for the definitions of these end points based on a validated consensus method that formalize the degree of agreement among experts. Results: Recommended guidelines for the definitions of TTE end points commonly used in RCTs for breast cancer are provided for non-metastatic and metastatic settings. Conclusion: The use of standardized definitions should facilitate comparisons of trial results and improve the quality of trial design and reporting. These guidelines could be of particular interest to those involved in the design, conducting, reporting, or assessment of RCT.","author":[{"dropping-particle":"","family":"Gourgou-Bourgade","given":"Sophie","non-dropping-particle":"","parse-names":false,"suffix":""},{"dropping-particle":"","family":"Cameron","given":"D.","non-dropping-particle":"","parse-names":false,"suffix":""},{"dropping-particle":"","family":"Poortmans","given":"P.","non-dropping-particle":"","parse-names":false,"suffix":""},{"dropping-particle":"","family":"Asselain","given":"B.","non-dropping-particle":"","parse-names":false,"suffix":""},{"dropping-particle":"","family":"Azria","given":"D.","non-dropping-particle":"","parse-names":false,"suffix":""},{"dropping-particle":"","family":"Cardoso","given":"F.","non-dropping-particle":"","parse-names":false,"suffix":""},{"dropping-particle":"","family":"A'Hern","given":"R.","non-dropping-particle":"","parse-names":false,"suffix":""},{"dropping-particle":"","family":"Bliss","given":"J.","non-dropping-particle":"","parse-names":false,"suffix":""},{"dropping-particle":"","family":"Bogaerts","given":"J.","non-dropping-particle":"","parse-names":false,"suffix":""},{"dropping-particle":"","family":"Bonnefoi","given":"H.","non-dropping-particle":"","parse-names":false,"suffix":""},{"dropping-particle":"","family":"Brain","given":"E.","non-dropping-particle":"","parse-names":false,"suffix":""},{"dropping-particle":"","family":"Cardoso","given":"M. J.","non-dropping-particle":"","parse-names":false,"suffix":""},{"dropping-particle":"","family":"Chibaudel","given":"B.","non-dropping-particle":"","parse-names":false,"suffix":""},{"dropping-particle":"","family":"Coleman","given":"R.","non-dropping-particle":"","parse-names":false,"suffix":""},{"dropping-particle":"","family":"Cufer","given":"T.","non-dropping-particle":"","parse-names":false,"suffix":""},{"dropping-particle":"","family":"Dal Lago","given":"L.","non-dropping-particle":"","parse-names":false,"suffix":""},{"dropping-particle":"","family":"Dalenc","given":"F.","non-dropping-particle":"","parse-names":false,"suffix":""},{"dropping-particle":"","family":"Azambuja","given":"E.","non-dropping-particle":"De","parse-names":false,"suffix":""},{"dropping-particle":"","family":"Debled","given":"M.","non-dropping-particle":"","parse-names":false,"suffix":""},{"dropping-particle":"","family":"Delaloge","given":"S.","non-dropping-particle":"","parse-names":false,"suffix":""},{"dropping-particle":"","family":"Filleron","given":"T.","non-dropping-particle":"","parse-names":false,"suffix":""},{"dropping-particle":"","family":"Gligorov","given":"J.","non-dropping-particle":"","parse-names":false,"suffix":""},{"dropping-particle":"","family":"Gutowski","given":"M.","non-dropping-particle":"","parse-names":false,"suffix":""},{"dropping-particle":"","family":"Jacot","given":"W.","non-dropping-particle":"","parse-names":false,"suffix":""},{"dropping-particle":"","family":"Kirkove","given":"C.","non-dropping-particle":"","parse-names":false,"suffix":""},{"dropping-particle":"","family":"MacGrogan","given":"G.","non-dropping-particle":"","parse-names":false,"suffix":""},{"dropping-particle":"","family":"Michiels","given":"S.","non-dropping-particle":"","parse-names":false,"suffix":""},{"dropping-particle":"","family":"Negreiros","given":"I.","non-dropping-particle":"","parse-names":false,"suffix":""},{"dropping-particle":"V.","family":"Offersen","given":"B.","non-dropping-particle":"","parse-names":false,"suffix":""},{"dropping-particle":"","family":"Penault Llorca","given":"F.","non-dropping-particle":"","parse-names":false,"suffix":""},{"dropping-particle":"","family":"Pruneri","given":"G.","non-dropping-particle":"","parse-names":false,"suffix":""},{"dropping-particle":"","family":"Roche","given":"H.","non-dropping-particle":"","parse-names":false,"suffix":""},{"dropping-particle":"","family":"Russell","given":"N. S.","non-dropping-particle":"","parse-names":false,"suffix":""},{"dropping-particle":"","family":"Schmitt","given":"F.","non-dropping-particle":"","parse-names":false,"suffix":""},{"dropping-particle":"","family":"Servent","given":"V.","non-dropping-particle":"","parse-names":false,"suffix":""},{"dropping-particle":"","family":"Thürlimann","given":"B.","non-dropping-particle":"","parse-names":false,"suffix":""},{"dropping-particle":"","family":"Untch","given":"M.","non-dropping-particle":"","parse-names":false,"suffix":""},{"dropping-particle":"","family":"Hage","given":"J. A.","non-dropping-particle":"van der","parse-names":false,"suffix":""},{"dropping-particle":"","family":"Tienhoven","given":"G.","non-dropping-particle":"van","parse-names":false,"suffix":""},{"dropping-particle":"","family":"Wildiers","given":"H.","non-dropping-particle":"","parse-names":false,"suffix":""},{"dropping-particle":"","family":"Yarnold","given":"J.","non-dropping-particle":"","parse-names":false,"suffix":""},{"dropping-particle":"","family":"Bonnetain","given":"F.","non-dropping-particle":"","parse-names":false,"suffix":""},{"dropping-particle":"","family":"Mathoulin-Pélissier","given":"S.","non-dropping-particle":"","parse-names":false,"suffix":""},{"dropping-particle":"","family":"Bellera","given":"C.","non-dropping-particle":"","parse-names":false,"suffix":""},{"dropping-particle":"","family":"Dabakuyo-Yonli","given":"T. S.","non-dropping-particle":"","parse-names":false,"suffix":""}],"container-title":"Annals of Oncology","id":"ITEM-2","issue":"5","issued":{"date-parts":[["2015","5","1"]]},"page":"873-879","publisher":"Oxford University Press","title":"Guidelines for time-to-event end point definitions in breast cancer trials: Results of the DATECAN initiative (Definition for the Assessment of Time-to-event Endpoints in CANcer trials)","type":"article","volume":"26"},"uris":["http://www.mendeley.com/documents/?uuid=debd2f3e-4e01-3ab1-ac6a-0f34630b011b"]}],"mendeley":{"formattedCitation":"&lt;sup&gt;28,29&lt;/sup&gt;","plainTextFormattedCitation":"28,29","previouslyFormattedCitation":"&lt;sup&gt;28,29&lt;/sup&gt;"},"properties":{"noteIndex":0},"schema":"https://github.com/citation-style-language/schema/raw/master/csl-citation.json"}</w:instrText>
      </w:r>
      <w:r w:rsidRPr="00625A76">
        <w:rPr>
          <w:rFonts w:ascii="Calibri" w:eastAsia="Times New Roman" w:hAnsi="Calibri" w:cs="Calibri"/>
          <w:color w:val="000000" w:themeColor="text1"/>
          <w:sz w:val="28"/>
          <w:szCs w:val="28"/>
          <w:lang w:val="en-US" w:eastAsia="en-GB"/>
        </w:rPr>
        <w:fldChar w:fldCharType="separate"/>
      </w:r>
      <w:r w:rsidR="00B21CA2" w:rsidRPr="00B21CA2">
        <w:rPr>
          <w:rFonts w:ascii="Calibri" w:eastAsia="Times New Roman" w:hAnsi="Calibri" w:cs="Calibri"/>
          <w:noProof/>
          <w:color w:val="000000" w:themeColor="text1"/>
          <w:sz w:val="28"/>
          <w:szCs w:val="28"/>
          <w:vertAlign w:val="superscript"/>
          <w:lang w:val="en-US" w:eastAsia="en-GB"/>
        </w:rPr>
        <w:t>28,29</w:t>
      </w:r>
      <w:r w:rsidRPr="00625A76">
        <w:rPr>
          <w:rFonts w:ascii="Calibri" w:eastAsia="Times New Roman" w:hAnsi="Calibri" w:cs="Calibri"/>
          <w:color w:val="000000" w:themeColor="text1"/>
          <w:sz w:val="28"/>
          <w:szCs w:val="28"/>
          <w:lang w:val="en-US" w:eastAsia="en-GB"/>
        </w:rPr>
        <w:fldChar w:fldCharType="end"/>
      </w:r>
      <w:r w:rsidRPr="00625A76">
        <w:rPr>
          <w:rFonts w:ascii="Calibri" w:eastAsia="Times New Roman" w:hAnsi="Calibri" w:cs="Calibri"/>
          <w:color w:val="000000" w:themeColor="text1"/>
          <w:sz w:val="28"/>
          <w:szCs w:val="28"/>
          <w:lang w:val="en-US" w:eastAsia="en-GB"/>
        </w:rPr>
        <w:t>. However, their use in the context of non-inferiority trials is disputed.</w:t>
      </w:r>
    </w:p>
    <w:p w14:paraId="3854AF52" w14:textId="77777777" w:rsidR="00F911E7" w:rsidRPr="00625A76" w:rsidRDefault="00F911E7" w:rsidP="009B4B71">
      <w:pPr>
        <w:jc w:val="both"/>
        <w:rPr>
          <w:rFonts w:ascii="Calibri" w:eastAsia="Times New Roman" w:hAnsi="Calibri" w:cs="Calibri"/>
          <w:color w:val="000000" w:themeColor="text1"/>
          <w:sz w:val="28"/>
          <w:szCs w:val="28"/>
          <w:lang w:val="en-US" w:eastAsia="en-GB"/>
        </w:rPr>
      </w:pPr>
    </w:p>
    <w:p w14:paraId="568F3298" w14:textId="7267314B" w:rsidR="00F911E7" w:rsidRDefault="00F911E7" w:rsidP="009B4B71">
      <w:pPr>
        <w:jc w:val="both"/>
        <w:rPr>
          <w:color w:val="000000" w:themeColor="text1"/>
          <w:sz w:val="28"/>
          <w:szCs w:val="28"/>
          <w:lang w:val="en-US"/>
        </w:rPr>
      </w:pPr>
      <w:r w:rsidRPr="00625A76">
        <w:rPr>
          <w:rFonts w:ascii="Calibri" w:eastAsia="Times New Roman" w:hAnsi="Calibri" w:cs="Calibri"/>
          <w:color w:val="000000" w:themeColor="text1"/>
          <w:sz w:val="28"/>
          <w:szCs w:val="28"/>
          <w:lang w:val="en-US" w:eastAsia="en-GB"/>
        </w:rPr>
        <w:t xml:space="preserve">Composite endpoints often consider events that cannot be prevented by the treatment that is being de-escalated, such as non-breast cancer-related deaths and new primary tumors in organs other than the breast. These events are expected to occur at an approximately equal rate in both study arms and will dilute the efficacy of treatment de-escalation on preventable events. </w:t>
      </w:r>
      <w:r w:rsidRPr="00625A76">
        <w:rPr>
          <w:color w:val="000000" w:themeColor="text1"/>
          <w:sz w:val="28"/>
          <w:szCs w:val="28"/>
          <w:lang w:val="en-US"/>
        </w:rPr>
        <w:t>Therefore, use of endpoints related to disease recurrence events such as recurrence-free interval</w:t>
      </w:r>
      <w:r w:rsidR="00AB0263" w:rsidRPr="00625A76">
        <w:rPr>
          <w:color w:val="000000" w:themeColor="text1"/>
          <w:sz w:val="28"/>
          <w:szCs w:val="28"/>
          <w:lang w:val="en-US"/>
        </w:rPr>
        <w:t xml:space="preserve"> </w:t>
      </w:r>
      <w:r w:rsidR="00025707" w:rsidRPr="00625A76">
        <w:rPr>
          <w:color w:val="000000" w:themeColor="text1"/>
          <w:sz w:val="28"/>
          <w:szCs w:val="28"/>
          <w:lang w:val="en-US"/>
        </w:rPr>
        <w:t xml:space="preserve">(RFI) </w:t>
      </w:r>
      <w:r w:rsidR="00AB0263" w:rsidRPr="00625A76">
        <w:rPr>
          <w:color w:val="000000" w:themeColor="text1"/>
          <w:sz w:val="28"/>
          <w:szCs w:val="28"/>
          <w:lang w:val="en-US"/>
        </w:rPr>
        <w:t>or recurrence free-survival</w:t>
      </w:r>
      <w:r w:rsidR="00025707" w:rsidRPr="00625A76">
        <w:rPr>
          <w:color w:val="000000" w:themeColor="text1"/>
          <w:sz w:val="28"/>
          <w:szCs w:val="28"/>
          <w:lang w:val="en-US"/>
        </w:rPr>
        <w:t xml:space="preserve"> (RFS)</w:t>
      </w:r>
      <w:r w:rsidRPr="00625A76">
        <w:rPr>
          <w:color w:val="000000" w:themeColor="text1"/>
          <w:sz w:val="28"/>
          <w:szCs w:val="28"/>
          <w:lang w:val="en-US"/>
        </w:rPr>
        <w:t xml:space="preserve">, are more appropriate in treatment de-escalation trials. Of note, these do not include treatment related deaths, which might provide important insights in the difference in toxicity between the de-escalated treatment and the standard of care. </w:t>
      </w:r>
      <w:r w:rsidR="004A42D0">
        <w:rPr>
          <w:color w:val="000000" w:themeColor="text1"/>
          <w:sz w:val="28"/>
          <w:szCs w:val="28"/>
          <w:lang w:val="en-US"/>
        </w:rPr>
        <w:t xml:space="preserve">As these </w:t>
      </w:r>
      <w:r w:rsidRPr="00625A76">
        <w:rPr>
          <w:color w:val="000000" w:themeColor="text1"/>
          <w:sz w:val="28"/>
          <w:szCs w:val="28"/>
          <w:lang w:val="en-US"/>
        </w:rPr>
        <w:t xml:space="preserve">events are relatively </w:t>
      </w:r>
      <w:r w:rsidR="003C0A98" w:rsidRPr="00625A76">
        <w:rPr>
          <w:color w:val="000000" w:themeColor="text1"/>
          <w:sz w:val="28"/>
          <w:szCs w:val="28"/>
          <w:lang w:val="en-US"/>
        </w:rPr>
        <w:t>rare,</w:t>
      </w:r>
      <w:r w:rsidRPr="00625A76">
        <w:rPr>
          <w:color w:val="000000" w:themeColor="text1"/>
          <w:sz w:val="28"/>
          <w:szCs w:val="28"/>
          <w:lang w:val="en-US"/>
        </w:rPr>
        <w:t xml:space="preserve"> they should be carefully annotated and analyzed separately.</w:t>
      </w:r>
      <w:r w:rsidR="00AB0263" w:rsidRPr="00625A76">
        <w:rPr>
          <w:color w:val="000000" w:themeColor="text1"/>
          <w:sz w:val="28"/>
          <w:szCs w:val="28"/>
          <w:lang w:val="en-US"/>
        </w:rPr>
        <w:t xml:space="preserve"> </w:t>
      </w:r>
      <w:r w:rsidRPr="00625A76">
        <w:rPr>
          <w:color w:val="000000" w:themeColor="text1"/>
          <w:sz w:val="28"/>
          <w:szCs w:val="28"/>
          <w:lang w:val="en-US"/>
        </w:rPr>
        <w:t xml:space="preserve">Finally, </w:t>
      </w:r>
      <w:r w:rsidR="004E1FFA" w:rsidRPr="00625A76">
        <w:rPr>
          <w:color w:val="000000" w:themeColor="text1"/>
          <w:sz w:val="28"/>
          <w:szCs w:val="28"/>
          <w:lang w:val="en-US"/>
        </w:rPr>
        <w:t>DMF</w:t>
      </w:r>
      <w:r w:rsidR="004E1FFA">
        <w:rPr>
          <w:color w:val="000000" w:themeColor="text1"/>
          <w:sz w:val="28"/>
          <w:szCs w:val="28"/>
          <w:lang w:val="en-US"/>
        </w:rPr>
        <w:t>S</w:t>
      </w:r>
      <w:r w:rsidR="001004A2" w:rsidRPr="00625A76">
        <w:rPr>
          <w:color w:val="000000" w:themeColor="text1"/>
          <w:sz w:val="28"/>
          <w:szCs w:val="28"/>
          <w:lang w:val="en-US"/>
        </w:rPr>
        <w:t xml:space="preserve"> </w:t>
      </w:r>
      <w:r w:rsidR="00F31805" w:rsidRPr="00625A76">
        <w:rPr>
          <w:color w:val="000000" w:themeColor="text1"/>
          <w:sz w:val="28"/>
          <w:szCs w:val="28"/>
          <w:lang w:val="en-US"/>
        </w:rPr>
        <w:t>sh</w:t>
      </w:r>
      <w:r w:rsidRPr="00625A76">
        <w:rPr>
          <w:color w:val="000000" w:themeColor="text1"/>
          <w:sz w:val="28"/>
          <w:szCs w:val="28"/>
          <w:lang w:val="en-US"/>
        </w:rPr>
        <w:t>ould be considered as a primary endpoint as there is no salvage therapy yet</w:t>
      </w:r>
      <w:r w:rsidR="00AB0263" w:rsidRPr="00625A76">
        <w:rPr>
          <w:color w:val="000000" w:themeColor="text1"/>
          <w:sz w:val="28"/>
          <w:szCs w:val="28"/>
          <w:lang w:val="en-US"/>
        </w:rPr>
        <w:t xml:space="preserve"> </w:t>
      </w:r>
      <w:r w:rsidR="00003056" w:rsidRPr="00625A76">
        <w:rPr>
          <w:color w:val="000000" w:themeColor="text1"/>
          <w:sz w:val="28"/>
          <w:szCs w:val="28"/>
          <w:lang w:val="en-US"/>
        </w:rPr>
        <w:t xml:space="preserve">for such events that patients </w:t>
      </w:r>
      <w:r w:rsidR="00AB0263" w:rsidRPr="00625A76">
        <w:rPr>
          <w:color w:val="000000" w:themeColor="text1"/>
          <w:sz w:val="28"/>
          <w:szCs w:val="28"/>
          <w:lang w:val="en-US"/>
        </w:rPr>
        <w:t xml:space="preserve">fear the most. </w:t>
      </w:r>
    </w:p>
    <w:p w14:paraId="688B50B0" w14:textId="43A34CD9" w:rsidR="006900D1" w:rsidRDefault="006900D1" w:rsidP="009B4B71">
      <w:pPr>
        <w:jc w:val="both"/>
        <w:rPr>
          <w:color w:val="000000" w:themeColor="text1"/>
          <w:sz w:val="28"/>
          <w:szCs w:val="28"/>
          <w:lang w:val="en-US"/>
        </w:rPr>
      </w:pPr>
    </w:p>
    <w:p w14:paraId="6AC803A9" w14:textId="12B76CE9" w:rsidR="006900D1" w:rsidRPr="00625A76" w:rsidRDefault="006900D1" w:rsidP="009B4B71">
      <w:pPr>
        <w:jc w:val="both"/>
        <w:rPr>
          <w:color w:val="000000" w:themeColor="text1"/>
          <w:sz w:val="28"/>
          <w:szCs w:val="28"/>
          <w:lang w:val="en-US"/>
        </w:rPr>
      </w:pPr>
      <w:r w:rsidRPr="00625A76">
        <w:rPr>
          <w:color w:val="000000" w:themeColor="text1"/>
          <w:sz w:val="28"/>
          <w:szCs w:val="28"/>
          <w:lang w:val="en-US"/>
        </w:rPr>
        <w:t>Apart from efficacy endpoints, patient reported outcomes (PROs)</w:t>
      </w:r>
      <w:r>
        <w:rPr>
          <w:color w:val="000000" w:themeColor="text1"/>
          <w:sz w:val="28"/>
          <w:szCs w:val="28"/>
          <w:lang w:val="en-US"/>
        </w:rPr>
        <w:t xml:space="preserve"> and the</w:t>
      </w:r>
      <w:r w:rsidRPr="00625A76">
        <w:rPr>
          <w:color w:val="000000" w:themeColor="text1"/>
          <w:sz w:val="28"/>
          <w:szCs w:val="28"/>
          <w:lang w:val="en-US"/>
        </w:rPr>
        <w:t xml:space="preserve"> evaluati</w:t>
      </w:r>
      <w:r>
        <w:rPr>
          <w:color w:val="000000" w:themeColor="text1"/>
          <w:sz w:val="28"/>
          <w:szCs w:val="28"/>
          <w:lang w:val="en-US"/>
        </w:rPr>
        <w:t>on of</w:t>
      </w:r>
      <w:r w:rsidRPr="00625A76">
        <w:rPr>
          <w:color w:val="000000" w:themeColor="text1"/>
          <w:sz w:val="28"/>
          <w:szCs w:val="28"/>
          <w:lang w:val="en-US"/>
        </w:rPr>
        <w:t xml:space="preserve"> short and long-term toxicities </w:t>
      </w:r>
      <w:r>
        <w:rPr>
          <w:color w:val="000000" w:themeColor="text1"/>
          <w:sz w:val="28"/>
          <w:szCs w:val="28"/>
          <w:lang w:val="en-US"/>
        </w:rPr>
        <w:t>are key</w:t>
      </w:r>
      <w:r w:rsidRPr="00625A76">
        <w:rPr>
          <w:color w:val="000000" w:themeColor="text1"/>
          <w:sz w:val="28"/>
          <w:szCs w:val="28"/>
          <w:lang w:val="en-US"/>
        </w:rPr>
        <w:t xml:space="preserve"> in demonstrating the impact of de-escalation treatment. However, </w:t>
      </w:r>
      <w:r w:rsidR="004E1FFA">
        <w:rPr>
          <w:color w:val="000000" w:themeColor="text1"/>
          <w:sz w:val="28"/>
          <w:szCs w:val="28"/>
          <w:lang w:val="en-US"/>
        </w:rPr>
        <w:t>it is critical for</w:t>
      </w:r>
      <w:r w:rsidRPr="00625A76">
        <w:rPr>
          <w:color w:val="000000" w:themeColor="text1"/>
          <w:sz w:val="28"/>
          <w:szCs w:val="28"/>
          <w:lang w:val="en-US"/>
        </w:rPr>
        <w:t xml:space="preserve"> PROs </w:t>
      </w:r>
      <w:r w:rsidR="004E1FFA">
        <w:rPr>
          <w:color w:val="000000" w:themeColor="text1"/>
          <w:sz w:val="28"/>
          <w:szCs w:val="28"/>
          <w:lang w:val="en-US"/>
        </w:rPr>
        <w:t>to be</w:t>
      </w:r>
      <w:r w:rsidRPr="00625A76">
        <w:rPr>
          <w:color w:val="000000" w:themeColor="text1"/>
          <w:sz w:val="28"/>
          <w:szCs w:val="28"/>
          <w:lang w:val="en-US"/>
        </w:rPr>
        <w:t xml:space="preserve"> collected in a scientifically rigorous manner </w:t>
      </w:r>
      <w:r w:rsidR="004E1FFA">
        <w:rPr>
          <w:color w:val="000000" w:themeColor="text1"/>
          <w:sz w:val="28"/>
          <w:szCs w:val="28"/>
          <w:lang w:val="en-US"/>
        </w:rPr>
        <w:t>for them to</w:t>
      </w:r>
      <w:r w:rsidRPr="00625A76">
        <w:rPr>
          <w:color w:val="000000" w:themeColor="text1"/>
          <w:sz w:val="28"/>
          <w:szCs w:val="28"/>
          <w:lang w:val="en-US"/>
        </w:rPr>
        <w:t xml:space="preserve"> truly inform clinical practice</w:t>
      </w:r>
      <w:r w:rsidRPr="00625A76">
        <w:rPr>
          <w:color w:val="000000" w:themeColor="text1"/>
          <w:sz w:val="28"/>
          <w:szCs w:val="28"/>
          <w:lang w:val="en-US"/>
        </w:rPr>
        <w:fldChar w:fldCharType="begin" w:fldLock="1"/>
      </w:r>
      <w:r w:rsidR="001A1C1C">
        <w:rPr>
          <w:color w:val="000000" w:themeColor="text1"/>
          <w:sz w:val="28"/>
          <w:szCs w:val="28"/>
          <w:lang w:val="en-US"/>
        </w:rPr>
        <w:instrText>ADDIN CSL_CITATION {"citationItems":[{"id":"ITEM-1","itemData":{"DOI":"10.1001/jama.2013.879","ISSN":"00987484","abstract":"The CONSORT (Consolidated Standards of Reporting Trials) Statement aims to improve the reporting of randomized controlled trials (RCTs); however, it lacks guidance on the reporting of patient-reported outcomes (PROs), which are often inadequately reported in trials, thus limiting the value of these data. In this article, we describe the development of the CONSORT PRO extension based on the methodological framework for guideline development proposed by the Enhancing the Quality and Transparency of Health Research (EQUATOR) Network. Five CONSORT PRO checklist items are recommended for RCTs in which PROs are primary or important secondary end points. These recommendations urge that the PROs be identified as a primary or secondary outcome in the abstract, that a description of the hypothesis of the PROs and relevant domains be provided (ie, if a multidimensional PRO tool has been used), that evidence of the PRO instrument's validity and reliability be provided or cited, that the statistical approaches for dealing with missing data be explicitly stated, and that PRO-specific limitations of study findings and generalizability of results to other populations and clinical practice be discussed. Examples and an updated CONSORT flow diagram with PRO items are provided. It is recommended that the CONSORT PRO guidance supplement the standard CONSORT guidelines for reporting RCTs with PROs as primary or secondary outcomes. Improved reporting of PRO data should facilitate robust interpretation of the results from RCTs and inform patient care. ©2013 American Medical Association. All rights reserved.","author":[{"dropping-particle":"","family":"Calvert","given":"Melanie","non-dropping-particle":"","parse-names":false,"suffix":""},{"dropping-particle":"","family":"Blazeby","given":"Jane","non-dropping-particle":"","parse-names":false,"suffix":""},{"dropping-particle":"","family":"Altman","given":"Douglas G.","non-dropping-particle":"","parse-names":false,"suffix":""},{"dropping-particle":"","family":"Revicki","given":"Dennis A.","non-dropping-particle":"","parse-names":false,"suffix":""},{"dropping-particle":"","family":"Moher","given":"David","non-dropping-particle":"","parse-names":false,"suffix":""},{"dropping-particle":"","family":"Brundage","given":"Michael D.","non-dropping-particle":"","parse-names":false,"suffix":""}],"container-title":"JAMA - Journal of the American Medical Association","id":"ITEM-1","issue":"8","issued":{"date-parts":[["2013"]]},"page":"814-822","title":"Reporting of patient-reported outcomes in randomized trials: The CONSORT PRO extension","type":"article-journal","volume":"309"},"uris":["http://www.mendeley.com/documents/?uuid=7c678a65-70c5-49df-ab45-916fb7dd5be4"]},{"id":"ITEM-2","itemData":{"DOI":"10.1001/jama.2017.21903","ISSN":"15383598","PMID":"29411037","abstract":"IMPORTANCE Patient-reported outcome (PRO) data from clinical trials can provide valuable evidence to inform shared decision making, labeling claims, clinical guidelines, and health policy; however, the PRO content of clinical trial protocols is often suboptimal. The SPIRIT (Standard Protocol Items: Recommendations for Interventional Trials) statement was published in 2013 and aims to improve the completeness of trial protocols by providing evidence-based recommendations for the minimum set of items to be addressed, but it does not provide PRO-specific guidance. OBJECTIVE To develop international, consensus-based, PRO-specific protocol guidance (the SPIRIT-PRO Extension). DESIGN, SETTING, AND PARTICIPANTS The SPIRIT-PRO Extensionwas developed following the Enhancing Quality and Transparency of Health Research (EQUATOR) Network'smethodological framework for guideline development. This included (1) a systematic review of existing PRO-specific protocol guidance to generate a list of potential PRO-specific protocol items (published in 2014); (2) refinements to the list and removal of duplicate items by the International Society for Quality of Life Research (ISOQOL) Protocol Checklist Taskforce; (3) an international stakeholder survey of clinical trial research personnel, PRO methodologists, health economists, psychometricians, patient advocates, funders, industry representatives, journal editors, policy makers, ethicists, and researchers responsible for evidence synthesis (distributed by 38 international partner organizations in October 2016); (4) an international Delphi exercise (n = 137 invited; October 2016 to February 2017); and (5) consensus meeting (n = 30 invited; May 2017). Prior to voting, consensus meeting participantswere informed of the results of the Delphi exercise and given data from structured reviews evaluating the PRO protocol content of 3 defined samples of trial protocols. RESULTS The systematic review identified 162 PRO-specific protocol recommendations from 54 sources. The ISOQOL Taskforce (n = 21) reduced this to 56 items, which were considered by 138 international stakeholder survey participants and 99 Delphi panelists. The final wording of the SPIRIT-PRO Extension was agreed on at a consensus meeting (n = 29 participants) and reviewed by external group of experts during a consultation period. Eleven extensions and 5 elaborations to the SPIRIT 2013 checklist were recommended for inclusion in clinical trial protocols in which PROs are …","author":[{"dropping-particle":"","family":"Calvert","given":"Melanie","non-dropping-particle":"","parse-names":false,"suffix":""},{"dropping-particle":"","family":"Kyte","given":"Derek","non-dropping-particle":"","parse-names":false,"suffix":""},{"dropping-particle":"","family":"Mercieca-Bebber","given":"Rebecca","non-dropping-particle":"","parse-names":false,"suffix":""},{"dropping-particle":"","family":"Slade","given":"Anita","non-dropping-particle":"","parse-names":false,"suffix":""},{"dropping-particle":"","family":"Chan","given":"An Wen","non-dropping-particle":"","parse-names":false,"suffix":""},{"dropping-particle":"","family":"King","given":"Madeleine T.","non-dropping-particle":"","parse-names":false,"suffix":""}],"container-title":"JAMA - Journal of the American Medical Association","id":"ITEM-2","issue":"5","issued":{"date-parts":[["2018"]]},"page":"483-494","title":"Guidelines for inclusion of patient-reported outcomes in clinical trial protocols the spirit-pro extension","type":"article-journal","volume":"319"},"uris":["http://www.mendeley.com/documents/?uuid=40bcd62c-be6a-4e2b-8d0b-ed5d1b79597e"]},{"id":"ITEM-3","itemData":{"DOI":"10.1016/S1470-2045(19)30790-9","ISSN":"14745488","PMID":"32007209","abstract":"Patient-reported outcomes (PROs), such as symptoms, function, and other health-related quality-of-life aspects, are increasingly evaluated in cancer randomised controlled trials (RCTs) to provide information about treatment risks, benefits, and tolerability. However, expert opinion and critical review of the literature showed no consensus on optimal methods of PRO analysis in cancer RCTs, hindering interpretation of results. The Setting International Standards in Analyzing Patient-Reported Outcomes and Quality of Life Endpoints Data Consortium was formed to establish PRO analysis recommendations. Four issues were prioritised: developing a taxonomy of research objectives that can be matched with appropriate statistical methods, identifying appropriate statistical methods for PRO analysis, standardising statistical terminology related to missing data, and determining appropriate ways to manage missing data. This Policy Review presents recommendations for PRO analysis developed through critical literature reviews and a structured collaborative process with diverse international stakeholders, which provides a foundation for endorsement; ongoing developments of these recommendations are also discussed.","author":[{"dropping-particle":"","family":"Coens","given":"Corneel","non-dropping-particle":"","parse-names":false,"suffix":""},{"dropping-particle":"","family":"Pe","given":"Madeline","non-dropping-particle":"","parse-names":false,"suffix":""},{"dropping-particle":"","family":"Dueck","given":"Amylou C.","non-dropping-particle":"","parse-names":false,"suffix":""},{"dropping-particle":"","family":"Sloan","given":"Jeff","non-dropping-particle":"","parse-names":false,"suffix":""},{"dropping-particle":"","family":"Basch","given":"Ethan","non-dropping-particle":"","parse-names":false,"suffix":""},{"dropping-particle":"","family":"Calvert","given":"Melanie","non-dropping-particle":"","parse-names":false,"suffix":""},{"dropping-particle":"","family":"Campbell","given":"Alicyn","non-dropping-particle":"","parse-names":false,"suffix":""},{"dropping-particle":"","family":"Cleeland","given":"Charles","non-dropping-particle":"","parse-names":false,"suffix":""},{"dropping-particle":"","family":"Cocks","given":"Kim","non-dropping-particle":"","parse-names":false,"suffix":""},{"dropping-particle":"","family":"Collette","given":"Laurence","non-dropping-particle":"","parse-names":false,"suffix":""},{"dropping-particle":"","family":"Devlin","given":"Nancy","non-dropping-particle":"","parse-names":false,"suffix":""},{"dropping-particle":"","family":"Dorme","given":"Lien","non-dropping-particle":"","parse-names":false,"suffix":""},{"dropping-particle":"","family":"Flechtner","given":"Hans Henning","non-dropping-particle":"","parse-names":false,"suffix":""},{"dropping-particle":"","family":"Gotay","given":"Carolyn","non-dropping-particle":"","parse-names":false,"suffix":""},{"dropping-particle":"","family":"Griebsch","given":"Ingolf","non-dropping-particle":"","parse-names":false,"suffix":""},{"dropping-particle":"","family":"Groenvold","given":"Mogens","non-dropping-particle":"","parse-names":false,"suffix":""},{"dropping-particle":"","family":"King","given":"Madeleine","non-dropping-particle":"","parse-names":false,"suffix":""},{"dropping-particle":"","family":"Kluetz","given":"Paul G.","non-dropping-particle":"","parse-names":false,"suffix":""},{"dropping-particle":"","family":"Koller","given":"Michael","non-dropping-particle":"","parse-names":false,"suffix":""},{"dropping-particle":"","family":"Malone","given":"Daniel C.","non-dropping-particle":"","parse-names":false,"suffix":""},{"dropping-particle":"","family":"Martinelli","given":"Francesca","non-dropping-particle":"","parse-names":false,"suffix":""},{"dropping-particle":"","family":"Mitchell","given":"Sandra A.","non-dropping-particle":"","parse-names":false,"suffix":""},{"dropping-particle":"","family":"Musoro","given":"Jammbe Z.","non-dropping-particle":"","parse-names":false,"suffix":""},{"dropping-particle":"","family":"O'Connor","given":"Daniel","non-dropping-particle":"","parse-names":false,"suffix":""},{"dropping-particle":"","family":"Oliver","given":"Kathy","non-dropping-particle":"","parse-names":false,"suffix":""},{"dropping-particle":"","family":"Piault-Louis","given":"Elisabeth","non-dropping-particle":"","parse-names":false,"suffix":""},{"dropping-particle":"","family":"Piccart","given":"Martine","non-dropping-particle":"","parse-names":false,"suffix":""},{"dropping-particle":"","family":"Quinten","given":"Chantal","non-dropping-particle":"","parse-names":false,"suffix":""},{"dropping-particle":"","family":"Reijneveld","given":"Jaap C.","non-dropping-particle":"","parse-names":false,"suffix":""},{"dropping-particle":"","family":"Schürmann","given":"Christoph","non-dropping-particle":"","parse-names":false,"suffix":""},{"dropping-particle":"","family":"Smith","given":"Ashley Wilder","non-dropping-particle":"","parse-names":false,"suffix":""},{"dropping-particle":"","family":"Soltys","given":"Katherine M.","non-dropping-particle":"","parse-names":false,"suffix":""},{"dropping-particle":"","family":"Taphoorn","given":"Martin J.B.","non-dropping-particle":"","parse-names":false,"suffix":""},{"dropping-particle":"","family":"Velikova","given":"Galina","non-dropping-particle":"","parse-names":false,"suffix":""},{"dropping-particle":"","family":"Bottomley","given":"Andrew","non-dropping-particle":"","parse-names":false,"suffix":""}],"container-title":"The Lancet Oncology","id":"ITEM-3","issue":"2","issued":{"date-parts":[["2020"]]},"page":"e83-e96","title":"International standards for the analysis of quality-of-life and patient-reported outcome endpoints in cancer randomised controlled trials: recommendations of the SISAQOL Consortium","type":"article-journal","volume":"21"},"uris":["http://www.mendeley.com/documents/?uuid=8b85ab4b-b4b5-431a-8abc-3ce0a5502f58"]}],"mendeley":{"formattedCitation":"&lt;sup&gt;30–32&lt;/sup&gt;","plainTextFormattedCitation":"30–32","previouslyFormattedCitation":"&lt;sup&gt;30–32&lt;/sup&gt;"},"properties":{"noteIndex":0},"schema":"https://github.com/citation-style-language/schema/raw/master/csl-citation.json"}</w:instrText>
      </w:r>
      <w:r w:rsidRPr="00625A76">
        <w:rPr>
          <w:color w:val="000000" w:themeColor="text1"/>
          <w:sz w:val="28"/>
          <w:szCs w:val="28"/>
          <w:lang w:val="en-US"/>
        </w:rPr>
        <w:fldChar w:fldCharType="separate"/>
      </w:r>
      <w:r w:rsidR="00B21CA2" w:rsidRPr="00B21CA2">
        <w:rPr>
          <w:noProof/>
          <w:color w:val="000000" w:themeColor="text1"/>
          <w:sz w:val="28"/>
          <w:szCs w:val="28"/>
          <w:vertAlign w:val="superscript"/>
          <w:lang w:val="en-US"/>
        </w:rPr>
        <w:t>30–32</w:t>
      </w:r>
      <w:r w:rsidRPr="00625A76">
        <w:rPr>
          <w:color w:val="000000" w:themeColor="text1"/>
          <w:sz w:val="28"/>
          <w:szCs w:val="28"/>
          <w:lang w:val="en-US"/>
        </w:rPr>
        <w:fldChar w:fldCharType="end"/>
      </w:r>
      <w:r w:rsidRPr="00625A76">
        <w:rPr>
          <w:color w:val="000000" w:themeColor="text1"/>
          <w:sz w:val="28"/>
          <w:szCs w:val="28"/>
          <w:lang w:val="en-US"/>
        </w:rPr>
        <w:t>.</w:t>
      </w:r>
    </w:p>
    <w:p w14:paraId="650E46DC" w14:textId="77777777" w:rsidR="00AB0263" w:rsidRPr="00625A76" w:rsidRDefault="00AB0263" w:rsidP="002F3AF2">
      <w:pPr>
        <w:jc w:val="both"/>
        <w:rPr>
          <w:bCs/>
          <w:color w:val="000000" w:themeColor="text1"/>
          <w:sz w:val="28"/>
          <w:szCs w:val="28"/>
          <w:u w:val="single"/>
          <w:lang w:val="en-US"/>
        </w:rPr>
      </w:pPr>
    </w:p>
    <w:p w14:paraId="4B912EEF" w14:textId="0B29FE52" w:rsidR="00F911E7" w:rsidRPr="00625A76" w:rsidRDefault="00F911E7" w:rsidP="002F3AF2">
      <w:pPr>
        <w:jc w:val="both"/>
        <w:rPr>
          <w:bCs/>
          <w:color w:val="000000" w:themeColor="text1"/>
          <w:sz w:val="28"/>
          <w:szCs w:val="28"/>
          <w:u w:val="single"/>
          <w:lang w:val="en-US"/>
        </w:rPr>
      </w:pPr>
      <w:r w:rsidRPr="00625A76">
        <w:rPr>
          <w:bCs/>
          <w:color w:val="000000" w:themeColor="text1"/>
          <w:sz w:val="28"/>
          <w:szCs w:val="28"/>
          <w:u w:val="single"/>
          <w:lang w:val="en-US"/>
        </w:rPr>
        <w:t>Using an intermediate endpoint with established individual patient level surrogacy</w:t>
      </w:r>
    </w:p>
    <w:p w14:paraId="1BC25580" w14:textId="14717FAD" w:rsidR="00F911E7" w:rsidRPr="00625A76" w:rsidRDefault="00F911E7" w:rsidP="002F3AF2">
      <w:pPr>
        <w:jc w:val="both"/>
        <w:rPr>
          <w:color w:val="000000" w:themeColor="text1"/>
          <w:sz w:val="28"/>
          <w:szCs w:val="28"/>
          <w:lang w:val="en-US"/>
        </w:rPr>
      </w:pPr>
      <w:r w:rsidRPr="00625A76">
        <w:rPr>
          <w:color w:val="000000" w:themeColor="text1"/>
          <w:sz w:val="28"/>
          <w:szCs w:val="28"/>
          <w:lang w:val="en-US"/>
        </w:rPr>
        <w:t xml:space="preserve">An elegant way of enhancing the probability of “success” of a de-escalation trial is to </w:t>
      </w:r>
      <w:r w:rsidR="00AB0263" w:rsidRPr="00625A76">
        <w:rPr>
          <w:color w:val="000000" w:themeColor="text1"/>
          <w:sz w:val="28"/>
          <w:szCs w:val="28"/>
          <w:lang w:val="en-US"/>
        </w:rPr>
        <w:t>use</w:t>
      </w:r>
      <w:r w:rsidRPr="00625A76">
        <w:rPr>
          <w:color w:val="000000" w:themeColor="text1"/>
          <w:sz w:val="28"/>
          <w:szCs w:val="28"/>
          <w:lang w:val="en-US"/>
        </w:rPr>
        <w:t xml:space="preserve"> a surrogate endpoint that has robustly shown to have individual-level surrogacy, that is to be</w:t>
      </w:r>
      <w:r w:rsidR="00AB0263" w:rsidRPr="00625A76">
        <w:rPr>
          <w:color w:val="000000" w:themeColor="text1"/>
          <w:sz w:val="28"/>
          <w:szCs w:val="28"/>
          <w:lang w:val="en-US"/>
        </w:rPr>
        <w:t xml:space="preserve"> significantly </w:t>
      </w:r>
      <w:r w:rsidRPr="00625A76">
        <w:rPr>
          <w:color w:val="000000" w:themeColor="text1"/>
          <w:sz w:val="28"/>
          <w:szCs w:val="28"/>
          <w:lang w:val="en-US"/>
        </w:rPr>
        <w:t>associated with an excellent long term DFS.</w:t>
      </w:r>
    </w:p>
    <w:p w14:paraId="0956DEB4" w14:textId="72BA3531" w:rsidR="00F911E7" w:rsidRPr="00625A76" w:rsidRDefault="00F911E7" w:rsidP="009B4B71">
      <w:pPr>
        <w:jc w:val="both"/>
        <w:rPr>
          <w:color w:val="000000" w:themeColor="text1"/>
          <w:sz w:val="28"/>
          <w:szCs w:val="28"/>
          <w:lang w:val="en-US"/>
        </w:rPr>
      </w:pPr>
      <w:r w:rsidRPr="00625A76">
        <w:rPr>
          <w:color w:val="000000" w:themeColor="text1"/>
          <w:sz w:val="28"/>
          <w:szCs w:val="28"/>
          <w:lang w:val="en-US"/>
        </w:rPr>
        <w:t>One of the best</w:t>
      </w:r>
      <w:r w:rsidR="00025707" w:rsidRPr="00625A76">
        <w:rPr>
          <w:color w:val="000000" w:themeColor="text1"/>
          <w:sz w:val="28"/>
          <w:szCs w:val="28"/>
          <w:lang w:val="en-US"/>
        </w:rPr>
        <w:t xml:space="preserve"> </w:t>
      </w:r>
      <w:r w:rsidRPr="00625A76">
        <w:rPr>
          <w:color w:val="000000" w:themeColor="text1"/>
          <w:sz w:val="28"/>
          <w:szCs w:val="28"/>
          <w:lang w:val="en-US"/>
        </w:rPr>
        <w:t xml:space="preserve">examples of this strategy is the use of a drop in </w:t>
      </w:r>
      <w:r w:rsidR="00194252" w:rsidRPr="00625A76">
        <w:rPr>
          <w:color w:val="000000" w:themeColor="text1"/>
          <w:sz w:val="28"/>
          <w:szCs w:val="28"/>
          <w:lang w:val="en-US"/>
        </w:rPr>
        <w:t xml:space="preserve">proliferation marker </w:t>
      </w:r>
      <w:r w:rsidRPr="00625A76">
        <w:rPr>
          <w:color w:val="000000" w:themeColor="text1"/>
          <w:sz w:val="28"/>
          <w:szCs w:val="28"/>
          <w:lang w:val="en-US"/>
        </w:rPr>
        <w:t>Ki67</w:t>
      </w:r>
      <w:r w:rsidR="00194252">
        <w:rPr>
          <w:color w:val="000000" w:themeColor="text1"/>
          <w:sz w:val="28"/>
          <w:szCs w:val="28"/>
          <w:lang w:val="en-US"/>
        </w:rPr>
        <w:t xml:space="preserve"> </w:t>
      </w:r>
      <w:r w:rsidRPr="00625A76">
        <w:rPr>
          <w:color w:val="000000" w:themeColor="text1"/>
          <w:sz w:val="28"/>
          <w:szCs w:val="28"/>
          <w:lang w:val="en-US"/>
        </w:rPr>
        <w:t>after 2 weeks of exposure to endocrine therapy given prior to surgery in early luminal breast cancer.</w:t>
      </w:r>
    </w:p>
    <w:p w14:paraId="753140B5" w14:textId="59B0CF14" w:rsidR="00F911E7" w:rsidRPr="00625A76" w:rsidRDefault="00F911E7" w:rsidP="009B4B71">
      <w:pPr>
        <w:jc w:val="both"/>
        <w:rPr>
          <w:color w:val="000000" w:themeColor="text1"/>
          <w:sz w:val="28"/>
          <w:szCs w:val="28"/>
          <w:lang w:val="en-US"/>
        </w:rPr>
      </w:pPr>
      <w:r w:rsidRPr="00625A76">
        <w:rPr>
          <w:color w:val="000000" w:themeColor="text1"/>
          <w:sz w:val="28"/>
          <w:szCs w:val="28"/>
          <w:lang w:val="en-US"/>
        </w:rPr>
        <w:t>In the POETIC trial (NCT02338310), this dynamic marker, centrally measured before and after a 2 week preoperative exposure to an aromatase inhibitor (AI)</w:t>
      </w:r>
      <w:r w:rsidR="00025707" w:rsidRPr="00625A76">
        <w:rPr>
          <w:color w:val="000000" w:themeColor="text1"/>
          <w:sz w:val="28"/>
          <w:szCs w:val="28"/>
          <w:lang w:val="en-US"/>
        </w:rPr>
        <w:t>,</w:t>
      </w:r>
      <w:r w:rsidRPr="00625A76">
        <w:rPr>
          <w:color w:val="000000" w:themeColor="text1"/>
          <w:sz w:val="28"/>
          <w:szCs w:val="28"/>
          <w:lang w:val="en-US"/>
        </w:rPr>
        <w:t xml:space="preserve"> was able to divide the patient population into 3 prognostic subgroups</w:t>
      </w:r>
      <w:r w:rsidR="00194252">
        <w:rPr>
          <w:color w:val="000000" w:themeColor="text1"/>
          <w:sz w:val="28"/>
          <w:szCs w:val="28"/>
          <w:lang w:val="en-US"/>
        </w:rPr>
        <w:t xml:space="preserve">: </w:t>
      </w:r>
      <w:r w:rsidRPr="00625A76">
        <w:rPr>
          <w:color w:val="000000" w:themeColor="text1"/>
          <w:sz w:val="28"/>
          <w:szCs w:val="28"/>
          <w:lang w:val="en-US"/>
        </w:rPr>
        <w:t>a very low risk group (low Ki67 before and after 2 weeks of AI) with a 4</w:t>
      </w:r>
      <w:r w:rsidR="00F31805" w:rsidRPr="00625A76">
        <w:rPr>
          <w:color w:val="000000" w:themeColor="text1"/>
          <w:sz w:val="28"/>
          <w:szCs w:val="28"/>
          <w:lang w:val="en-US"/>
        </w:rPr>
        <w:t>.</w:t>
      </w:r>
      <w:r w:rsidRPr="00625A76">
        <w:rPr>
          <w:color w:val="000000" w:themeColor="text1"/>
          <w:sz w:val="28"/>
          <w:szCs w:val="28"/>
          <w:lang w:val="en-US"/>
        </w:rPr>
        <w:t>5% risk of recurrence by 5 years, a median risk group (high Ki67 before and low Ki67 after the 2 weeks of AI) with a</w:t>
      </w:r>
      <w:r w:rsidR="00F31805" w:rsidRPr="00625A76">
        <w:rPr>
          <w:color w:val="000000" w:themeColor="text1"/>
          <w:sz w:val="28"/>
          <w:szCs w:val="28"/>
          <w:lang w:val="en-US"/>
        </w:rPr>
        <w:t>n</w:t>
      </w:r>
      <w:r w:rsidRPr="00625A76">
        <w:rPr>
          <w:color w:val="000000" w:themeColor="text1"/>
          <w:sz w:val="28"/>
          <w:szCs w:val="28"/>
          <w:lang w:val="en-US"/>
        </w:rPr>
        <w:t xml:space="preserve"> 8,9% risk of recurrence by 5 years and a high risk group (high Ki67 </w:t>
      </w:r>
      <w:r w:rsidRPr="00625A76">
        <w:rPr>
          <w:color w:val="000000" w:themeColor="text1"/>
          <w:sz w:val="28"/>
          <w:szCs w:val="28"/>
          <w:lang w:val="en-US"/>
        </w:rPr>
        <w:lastRenderedPageBreak/>
        <w:t>before and high Ki67 after the treatment window) with a 19.6% risk of recurrence by 5 years. All patients continued AI therapy after surgery; a small proportion also received post-operative chemotherapy at the discretion of the treating oncologist.</w:t>
      </w:r>
      <w:r w:rsidR="001004A2" w:rsidRPr="00625A76">
        <w:rPr>
          <w:color w:val="000000" w:themeColor="text1"/>
          <w:sz w:val="28"/>
          <w:szCs w:val="28"/>
          <w:lang w:val="en-US"/>
        </w:rPr>
        <w:t xml:space="preserve"> </w:t>
      </w:r>
      <w:r w:rsidRPr="00625A76">
        <w:rPr>
          <w:color w:val="000000" w:themeColor="text1"/>
          <w:sz w:val="28"/>
          <w:szCs w:val="28"/>
          <w:lang w:val="en-US"/>
        </w:rPr>
        <w:t xml:space="preserve">This trial represents the largest reported effort so far using a dynamic biomarker to identify low risk patients who should no longer be entered in drug escalation trials. </w:t>
      </w:r>
    </w:p>
    <w:p w14:paraId="0953597B" w14:textId="2BE794AA" w:rsidR="00F911E7" w:rsidRPr="00625A76" w:rsidRDefault="00F911E7" w:rsidP="009B4B71">
      <w:pPr>
        <w:jc w:val="both"/>
        <w:rPr>
          <w:color w:val="000000" w:themeColor="text1"/>
          <w:sz w:val="28"/>
          <w:szCs w:val="28"/>
          <w:lang w:val="en-US"/>
        </w:rPr>
      </w:pPr>
      <w:r w:rsidRPr="00625A76">
        <w:rPr>
          <w:color w:val="000000" w:themeColor="text1"/>
          <w:sz w:val="28"/>
          <w:szCs w:val="28"/>
          <w:lang w:val="en-US"/>
        </w:rPr>
        <w:t>In HER2</w:t>
      </w:r>
      <w:r w:rsidR="005219E1">
        <w:rPr>
          <w:color w:val="000000" w:themeColor="text1"/>
          <w:sz w:val="28"/>
          <w:szCs w:val="28"/>
          <w:lang w:val="en-US"/>
        </w:rPr>
        <w:t>-</w:t>
      </w:r>
      <w:r w:rsidRPr="00625A76">
        <w:rPr>
          <w:color w:val="000000" w:themeColor="text1"/>
          <w:sz w:val="28"/>
          <w:szCs w:val="28"/>
          <w:lang w:val="en-US"/>
        </w:rPr>
        <w:t xml:space="preserve">positive </w:t>
      </w:r>
      <w:r w:rsidR="005219E1">
        <w:rPr>
          <w:color w:val="000000" w:themeColor="text1"/>
          <w:sz w:val="28"/>
          <w:szCs w:val="28"/>
          <w:lang w:val="en-US"/>
        </w:rPr>
        <w:t>breast cancer</w:t>
      </w:r>
      <w:r w:rsidRPr="00625A76">
        <w:rPr>
          <w:color w:val="000000" w:themeColor="text1"/>
          <w:sz w:val="28"/>
          <w:szCs w:val="28"/>
          <w:lang w:val="en-US"/>
        </w:rPr>
        <w:t>, the excellen</w:t>
      </w:r>
      <w:r w:rsidR="00A52A9D">
        <w:rPr>
          <w:color w:val="000000" w:themeColor="text1"/>
          <w:sz w:val="28"/>
          <w:szCs w:val="28"/>
          <w:lang w:val="en-US"/>
        </w:rPr>
        <w:t>t</w:t>
      </w:r>
      <w:r w:rsidR="00AF6B96">
        <w:rPr>
          <w:color w:val="000000" w:themeColor="text1"/>
          <w:sz w:val="28"/>
          <w:szCs w:val="28"/>
          <w:lang w:val="en-US"/>
        </w:rPr>
        <w:t xml:space="preserve"> </w:t>
      </w:r>
      <w:r w:rsidRPr="00625A76">
        <w:rPr>
          <w:color w:val="000000" w:themeColor="text1"/>
          <w:sz w:val="28"/>
          <w:szCs w:val="28"/>
          <w:lang w:val="en-US"/>
        </w:rPr>
        <w:t xml:space="preserve">outcome </w:t>
      </w:r>
      <w:r w:rsidR="00AF6B96">
        <w:rPr>
          <w:color w:val="000000" w:themeColor="text1"/>
          <w:sz w:val="28"/>
          <w:szCs w:val="28"/>
          <w:lang w:val="en-US"/>
        </w:rPr>
        <w:t>in</w:t>
      </w:r>
      <w:r w:rsidR="00AF6B96" w:rsidRPr="00625A76">
        <w:rPr>
          <w:color w:val="000000" w:themeColor="text1"/>
          <w:sz w:val="28"/>
          <w:szCs w:val="28"/>
          <w:lang w:val="en-US"/>
        </w:rPr>
        <w:t xml:space="preserve"> </w:t>
      </w:r>
      <w:r w:rsidRPr="00625A76">
        <w:rPr>
          <w:color w:val="000000" w:themeColor="text1"/>
          <w:sz w:val="28"/>
          <w:szCs w:val="28"/>
          <w:lang w:val="en-US"/>
        </w:rPr>
        <w:t xml:space="preserve">the standard arm of APHINITY (NCT01358877), which shows an </w:t>
      </w:r>
      <w:r w:rsidR="005219E1">
        <w:rPr>
          <w:color w:val="000000" w:themeColor="text1"/>
          <w:sz w:val="28"/>
          <w:szCs w:val="28"/>
          <w:lang w:val="en-US"/>
        </w:rPr>
        <w:t>i</w:t>
      </w:r>
      <w:r w:rsidR="00025707" w:rsidRPr="00625A76">
        <w:rPr>
          <w:color w:val="000000" w:themeColor="text1"/>
          <w:sz w:val="28"/>
          <w:szCs w:val="28"/>
          <w:lang w:val="en-US"/>
        </w:rPr>
        <w:t>DFS</w:t>
      </w:r>
      <w:r w:rsidRPr="00625A76">
        <w:rPr>
          <w:color w:val="000000" w:themeColor="text1"/>
          <w:sz w:val="28"/>
          <w:szCs w:val="28"/>
          <w:lang w:val="en-US"/>
        </w:rPr>
        <w:t xml:space="preserve"> rate in excess of 90% at 45 months median follow-up, provides an encouragement for developing careful de-escalation strategies beyond the APT regimen.</w:t>
      </w:r>
      <w:r w:rsidR="000970A3">
        <w:rPr>
          <w:color w:val="000000" w:themeColor="text1"/>
          <w:sz w:val="28"/>
          <w:szCs w:val="28"/>
          <w:lang w:val="en-US"/>
        </w:rPr>
        <w:t xml:space="preserve"> </w:t>
      </w:r>
      <w:r w:rsidRPr="00625A76">
        <w:rPr>
          <w:color w:val="000000" w:themeColor="text1"/>
          <w:sz w:val="28"/>
          <w:szCs w:val="28"/>
          <w:lang w:val="en-US"/>
        </w:rPr>
        <w:t>Two such trials are due to start, on both sides of the Atlantic Ocean</w:t>
      </w:r>
      <w:r w:rsidR="000970A3">
        <w:rPr>
          <w:color w:val="000000" w:themeColor="text1"/>
          <w:sz w:val="28"/>
          <w:szCs w:val="28"/>
          <w:lang w:val="en-US"/>
        </w:rPr>
        <w:t xml:space="preserve">, </w:t>
      </w:r>
      <w:r w:rsidR="000970A3" w:rsidRPr="00625A76">
        <w:rPr>
          <w:color w:val="000000" w:themeColor="text1"/>
          <w:sz w:val="28"/>
          <w:szCs w:val="28"/>
          <w:lang w:val="en-US"/>
        </w:rPr>
        <w:t>COMPASS and DECRESCENDO</w:t>
      </w:r>
      <w:r w:rsidRPr="00625A76">
        <w:rPr>
          <w:color w:val="000000" w:themeColor="text1"/>
          <w:sz w:val="28"/>
          <w:szCs w:val="28"/>
          <w:lang w:val="en-US"/>
        </w:rPr>
        <w:t xml:space="preserve">. </w:t>
      </w:r>
      <w:r w:rsidR="000970A3">
        <w:rPr>
          <w:color w:val="000000" w:themeColor="text1"/>
          <w:sz w:val="28"/>
          <w:szCs w:val="28"/>
          <w:lang w:val="en-US"/>
        </w:rPr>
        <w:t>Both</w:t>
      </w:r>
      <w:r w:rsidR="000970A3" w:rsidRPr="00625A76">
        <w:rPr>
          <w:color w:val="000000" w:themeColor="text1"/>
          <w:sz w:val="28"/>
          <w:szCs w:val="28"/>
          <w:lang w:val="en-US"/>
        </w:rPr>
        <w:t xml:space="preserve"> </w:t>
      </w:r>
      <w:r w:rsidRPr="00625A76">
        <w:rPr>
          <w:color w:val="000000" w:themeColor="text1"/>
          <w:sz w:val="28"/>
          <w:szCs w:val="28"/>
          <w:lang w:val="en-US"/>
        </w:rPr>
        <w:t>will use the endpoint of pathological complete response</w:t>
      </w:r>
      <w:r w:rsidR="00025707" w:rsidRPr="00625A76">
        <w:rPr>
          <w:color w:val="000000" w:themeColor="text1"/>
          <w:sz w:val="28"/>
          <w:szCs w:val="28"/>
          <w:lang w:val="en-US"/>
        </w:rPr>
        <w:t xml:space="preserve"> (pCR)</w:t>
      </w:r>
      <w:r w:rsidRPr="00625A76">
        <w:rPr>
          <w:color w:val="000000" w:themeColor="text1"/>
          <w:sz w:val="28"/>
          <w:szCs w:val="28"/>
          <w:lang w:val="en-US"/>
        </w:rPr>
        <w:t>, which has demonstrated individual-level surrogacy</w:t>
      </w:r>
      <w:r w:rsidR="006A3821" w:rsidRPr="00625A76">
        <w:rPr>
          <w:color w:val="000000" w:themeColor="text1"/>
          <w:sz w:val="28"/>
          <w:szCs w:val="28"/>
          <w:lang w:val="en-US"/>
        </w:rPr>
        <w:t>, to</w:t>
      </w:r>
      <w:r w:rsidRPr="00625A76">
        <w:rPr>
          <w:color w:val="000000" w:themeColor="text1"/>
          <w:sz w:val="28"/>
          <w:szCs w:val="28"/>
          <w:lang w:val="en-US"/>
        </w:rPr>
        <w:t xml:space="preserve"> remove anthracyclines from the treatment scheme in case the tumor has </w:t>
      </w:r>
      <w:r w:rsidR="006A3821" w:rsidRPr="00625A76">
        <w:rPr>
          <w:color w:val="000000" w:themeColor="text1"/>
          <w:sz w:val="28"/>
          <w:szCs w:val="28"/>
          <w:lang w:val="en-US"/>
        </w:rPr>
        <w:t xml:space="preserve">pCR </w:t>
      </w:r>
      <w:r w:rsidRPr="00625A76">
        <w:rPr>
          <w:color w:val="000000" w:themeColor="text1"/>
          <w:sz w:val="28"/>
          <w:szCs w:val="28"/>
          <w:lang w:val="en-US"/>
        </w:rPr>
        <w:t xml:space="preserve">after 3 months of exposure to </w:t>
      </w:r>
      <w:r w:rsidR="005219E1">
        <w:rPr>
          <w:color w:val="000000" w:themeColor="text1"/>
          <w:sz w:val="28"/>
          <w:szCs w:val="28"/>
          <w:lang w:val="en-US"/>
        </w:rPr>
        <w:t>a taxane</w:t>
      </w:r>
      <w:r w:rsidRPr="00625A76">
        <w:rPr>
          <w:color w:val="000000" w:themeColor="text1"/>
          <w:sz w:val="28"/>
          <w:szCs w:val="28"/>
          <w:lang w:val="en-US"/>
        </w:rPr>
        <w:t xml:space="preserve"> </w:t>
      </w:r>
      <w:r w:rsidR="005219E1">
        <w:rPr>
          <w:color w:val="000000" w:themeColor="text1"/>
          <w:sz w:val="28"/>
          <w:szCs w:val="28"/>
          <w:lang w:val="en-US"/>
        </w:rPr>
        <w:t>combined</w:t>
      </w:r>
      <w:r w:rsidRPr="00625A76">
        <w:rPr>
          <w:color w:val="000000" w:themeColor="text1"/>
          <w:sz w:val="28"/>
          <w:szCs w:val="28"/>
          <w:lang w:val="en-US"/>
        </w:rPr>
        <w:t xml:space="preserve"> with dual HER2</w:t>
      </w:r>
      <w:r w:rsidR="005219E1">
        <w:rPr>
          <w:color w:val="000000" w:themeColor="text1"/>
          <w:sz w:val="28"/>
          <w:szCs w:val="28"/>
          <w:lang w:val="en-US"/>
        </w:rPr>
        <w:t>-</w:t>
      </w:r>
      <w:r w:rsidRPr="00625A76">
        <w:rPr>
          <w:color w:val="000000" w:themeColor="text1"/>
          <w:sz w:val="28"/>
          <w:szCs w:val="28"/>
          <w:lang w:val="en-US"/>
        </w:rPr>
        <w:t xml:space="preserve">blockade using trastuzumab and pertuzumab. </w:t>
      </w:r>
      <w:r w:rsidR="000970A3">
        <w:rPr>
          <w:color w:val="000000" w:themeColor="text1"/>
          <w:sz w:val="28"/>
          <w:szCs w:val="28"/>
          <w:lang w:val="en-US"/>
        </w:rPr>
        <w:t>Although t</w:t>
      </w:r>
      <w:r w:rsidRPr="00625A76">
        <w:rPr>
          <w:color w:val="000000" w:themeColor="text1"/>
          <w:sz w:val="28"/>
          <w:szCs w:val="28"/>
          <w:lang w:val="en-US"/>
        </w:rPr>
        <w:t xml:space="preserve">he </w:t>
      </w:r>
      <w:r w:rsidR="000970A3">
        <w:rPr>
          <w:color w:val="000000" w:themeColor="text1"/>
          <w:sz w:val="28"/>
          <w:szCs w:val="28"/>
          <w:lang w:val="en-US"/>
        </w:rPr>
        <w:t>two</w:t>
      </w:r>
      <w:r w:rsidRPr="00625A76">
        <w:rPr>
          <w:color w:val="000000" w:themeColor="text1"/>
          <w:sz w:val="28"/>
          <w:szCs w:val="28"/>
          <w:lang w:val="en-US"/>
        </w:rPr>
        <w:t xml:space="preserve"> trials, differ in terms of patient populations and salvage regimens for non</w:t>
      </w:r>
      <w:r w:rsidR="006A3821" w:rsidRPr="00625A76">
        <w:rPr>
          <w:color w:val="000000" w:themeColor="text1"/>
          <w:sz w:val="28"/>
          <w:szCs w:val="28"/>
          <w:lang w:val="en-US"/>
        </w:rPr>
        <w:t>-</w:t>
      </w:r>
      <w:r w:rsidRPr="00625A76">
        <w:rPr>
          <w:color w:val="000000" w:themeColor="text1"/>
          <w:sz w:val="28"/>
          <w:szCs w:val="28"/>
          <w:lang w:val="en-US"/>
        </w:rPr>
        <w:t>pCR patients (table 3)</w:t>
      </w:r>
      <w:r w:rsidR="000970A3">
        <w:rPr>
          <w:color w:val="000000" w:themeColor="text1"/>
          <w:sz w:val="28"/>
          <w:szCs w:val="28"/>
          <w:lang w:val="en-US"/>
        </w:rPr>
        <w:t>,</w:t>
      </w:r>
      <w:r w:rsidRPr="00625A76">
        <w:rPr>
          <w:color w:val="000000" w:themeColor="text1"/>
          <w:sz w:val="28"/>
          <w:szCs w:val="28"/>
          <w:lang w:val="en-US"/>
        </w:rPr>
        <w:t xml:space="preserve"> both defin</w:t>
      </w:r>
      <w:r w:rsidR="000970A3">
        <w:rPr>
          <w:color w:val="000000" w:themeColor="text1"/>
          <w:sz w:val="28"/>
          <w:szCs w:val="28"/>
          <w:lang w:val="en-US"/>
        </w:rPr>
        <w:t>e</w:t>
      </w:r>
      <w:r w:rsidRPr="00625A76">
        <w:rPr>
          <w:color w:val="000000" w:themeColor="text1"/>
          <w:sz w:val="28"/>
          <w:szCs w:val="28"/>
          <w:lang w:val="en-US"/>
        </w:rPr>
        <w:t xml:space="preserve"> “non-inferiority” as no less than 94% </w:t>
      </w:r>
      <w:r w:rsidR="006A3821" w:rsidRPr="00625A76">
        <w:rPr>
          <w:color w:val="000000" w:themeColor="text1"/>
          <w:sz w:val="28"/>
          <w:szCs w:val="28"/>
          <w:lang w:val="en-US"/>
        </w:rPr>
        <w:t>RFS</w:t>
      </w:r>
      <w:r w:rsidRPr="00625A76">
        <w:rPr>
          <w:color w:val="000000" w:themeColor="text1"/>
          <w:sz w:val="28"/>
          <w:szCs w:val="28"/>
          <w:lang w:val="en-US"/>
        </w:rPr>
        <w:t xml:space="preserve"> at 3 years</w:t>
      </w:r>
      <w:r w:rsidR="000970A3">
        <w:rPr>
          <w:color w:val="000000" w:themeColor="text1"/>
          <w:sz w:val="28"/>
          <w:szCs w:val="28"/>
          <w:lang w:val="en-US"/>
        </w:rPr>
        <w:t xml:space="preserve">, </w:t>
      </w:r>
      <w:r w:rsidRPr="00625A76">
        <w:rPr>
          <w:color w:val="000000" w:themeColor="text1"/>
          <w:sz w:val="28"/>
          <w:szCs w:val="28"/>
          <w:lang w:val="en-US"/>
        </w:rPr>
        <w:t>an ambitious threshold that is needed if these trials are going to be practice changing.</w:t>
      </w:r>
    </w:p>
    <w:p w14:paraId="1885E240" w14:textId="1644861B" w:rsidR="008E52E5" w:rsidRPr="00625A76" w:rsidRDefault="008E52E5" w:rsidP="009B4B71">
      <w:pPr>
        <w:jc w:val="both"/>
        <w:rPr>
          <w:color w:val="000000" w:themeColor="text1"/>
          <w:sz w:val="28"/>
          <w:szCs w:val="28"/>
          <w:u w:val="single"/>
          <w:lang w:val="en-US"/>
        </w:rPr>
      </w:pPr>
    </w:p>
    <w:p w14:paraId="79BC7A5E" w14:textId="77777777" w:rsidR="00003056" w:rsidRPr="00625A76" w:rsidRDefault="00003056" w:rsidP="002F3AF2">
      <w:pPr>
        <w:jc w:val="both"/>
        <w:rPr>
          <w:color w:val="000000" w:themeColor="text1"/>
          <w:sz w:val="28"/>
          <w:szCs w:val="28"/>
          <w:lang w:val="en-US"/>
        </w:rPr>
      </w:pPr>
    </w:p>
    <w:p w14:paraId="0D41E9CD" w14:textId="77777777" w:rsidR="00BB3CA1" w:rsidRPr="00625A76" w:rsidRDefault="00BB3CA1" w:rsidP="002F3AF2">
      <w:pPr>
        <w:pBdr>
          <w:top w:val="single" w:sz="4" w:space="1" w:color="auto"/>
          <w:left w:val="single" w:sz="4" w:space="4" w:color="auto"/>
          <w:bottom w:val="single" w:sz="4" w:space="1" w:color="auto"/>
          <w:right w:val="single" w:sz="4" w:space="4" w:color="auto"/>
        </w:pBdr>
        <w:jc w:val="both"/>
        <w:rPr>
          <w:b/>
          <w:color w:val="000000" w:themeColor="text1"/>
          <w:sz w:val="32"/>
          <w:szCs w:val="32"/>
          <w:lang w:val="en-US"/>
        </w:rPr>
      </w:pPr>
      <w:r w:rsidRPr="00625A76">
        <w:rPr>
          <w:b/>
          <w:color w:val="000000" w:themeColor="text1"/>
          <w:sz w:val="32"/>
          <w:szCs w:val="32"/>
          <w:lang w:val="en-US"/>
        </w:rPr>
        <w:t>Conclusions</w:t>
      </w:r>
    </w:p>
    <w:p w14:paraId="34B30842" w14:textId="64D9D31C" w:rsidR="00BB3CA1" w:rsidRPr="00625A76" w:rsidRDefault="006A3821" w:rsidP="002F3AF2">
      <w:pPr>
        <w:jc w:val="both"/>
        <w:rPr>
          <w:color w:val="000000" w:themeColor="text1"/>
          <w:sz w:val="28"/>
          <w:szCs w:val="28"/>
          <w:lang w:val="en-US"/>
        </w:rPr>
      </w:pPr>
      <w:r w:rsidRPr="00625A76">
        <w:rPr>
          <w:color w:val="000000" w:themeColor="text1"/>
          <w:sz w:val="28"/>
          <w:szCs w:val="28"/>
          <w:lang w:val="en-US"/>
        </w:rPr>
        <w:t xml:space="preserve">While the scientific community and society at large welcome de-escalation of systemic adjuvant therapy in selected cancer patients in view of quality of life and health economics benefits, more attention should be paid to </w:t>
      </w:r>
      <w:r w:rsidR="001004A2" w:rsidRPr="00625A76">
        <w:rPr>
          <w:color w:val="000000" w:themeColor="text1"/>
          <w:sz w:val="28"/>
          <w:szCs w:val="28"/>
          <w:lang w:val="en-US"/>
        </w:rPr>
        <w:t xml:space="preserve">rigorous </w:t>
      </w:r>
      <w:r w:rsidR="00003056" w:rsidRPr="00625A76">
        <w:rPr>
          <w:color w:val="000000" w:themeColor="text1"/>
          <w:sz w:val="28"/>
          <w:szCs w:val="28"/>
          <w:lang w:val="en-US"/>
        </w:rPr>
        <w:t>de-escalation</w:t>
      </w:r>
      <w:r w:rsidRPr="00625A76">
        <w:rPr>
          <w:color w:val="000000" w:themeColor="text1"/>
          <w:sz w:val="28"/>
          <w:szCs w:val="28"/>
          <w:lang w:val="en-US"/>
        </w:rPr>
        <w:t xml:space="preserve"> trial design if robust, practice-changing</w:t>
      </w:r>
      <w:r w:rsidR="00644C34" w:rsidRPr="00625A76">
        <w:rPr>
          <w:color w:val="000000" w:themeColor="text1"/>
          <w:sz w:val="28"/>
          <w:szCs w:val="28"/>
          <w:lang w:val="en-US"/>
        </w:rPr>
        <w:t xml:space="preserve">, and truly patient-centered results are expected. A review of de-escalation trials in the last few years highlighted a number of weaknesses which can effectively be addressed in the future. The BIG-NABCG Collaboration </w:t>
      </w:r>
      <w:r w:rsidR="00F17E39" w:rsidRPr="00625A76">
        <w:rPr>
          <w:color w:val="000000" w:themeColor="text1"/>
          <w:sz w:val="28"/>
          <w:szCs w:val="28"/>
          <w:lang w:val="en-US"/>
        </w:rPr>
        <w:t>developed</w:t>
      </w:r>
      <w:r w:rsidR="00644C34" w:rsidRPr="00625A76">
        <w:rPr>
          <w:color w:val="000000" w:themeColor="text1"/>
          <w:sz w:val="28"/>
          <w:szCs w:val="28"/>
          <w:lang w:val="en-US"/>
        </w:rPr>
        <w:t xml:space="preserve"> a roadmap for improving the design and </w:t>
      </w:r>
      <w:r w:rsidR="00F17E39" w:rsidRPr="00625A76">
        <w:rPr>
          <w:color w:val="000000" w:themeColor="text1"/>
          <w:sz w:val="28"/>
          <w:szCs w:val="28"/>
          <w:lang w:val="en-US"/>
        </w:rPr>
        <w:t>implementation</w:t>
      </w:r>
      <w:r w:rsidR="00644C34" w:rsidRPr="00625A76">
        <w:rPr>
          <w:color w:val="000000" w:themeColor="text1"/>
          <w:sz w:val="28"/>
          <w:szCs w:val="28"/>
          <w:lang w:val="en-US"/>
        </w:rPr>
        <w:t xml:space="preserve"> of</w:t>
      </w:r>
      <w:r w:rsidR="00F17E39" w:rsidRPr="00625A76">
        <w:rPr>
          <w:color w:val="000000" w:themeColor="text1"/>
          <w:sz w:val="28"/>
          <w:szCs w:val="28"/>
          <w:lang w:val="en-US"/>
        </w:rPr>
        <w:t xml:space="preserve"> de-escalation </w:t>
      </w:r>
      <w:r w:rsidR="00644C34" w:rsidRPr="00625A76">
        <w:rPr>
          <w:color w:val="000000" w:themeColor="text1"/>
          <w:sz w:val="28"/>
          <w:szCs w:val="28"/>
          <w:lang w:val="en-US"/>
        </w:rPr>
        <w:t>trials</w:t>
      </w:r>
      <w:r w:rsidR="00F17E39" w:rsidRPr="00625A76">
        <w:rPr>
          <w:color w:val="000000" w:themeColor="text1"/>
          <w:sz w:val="28"/>
          <w:szCs w:val="28"/>
          <w:lang w:val="en-US"/>
        </w:rPr>
        <w:t xml:space="preserve"> </w:t>
      </w:r>
      <w:r w:rsidR="00644C34" w:rsidRPr="00625A76">
        <w:rPr>
          <w:color w:val="000000" w:themeColor="text1"/>
          <w:sz w:val="28"/>
          <w:szCs w:val="28"/>
          <w:lang w:val="en-US"/>
        </w:rPr>
        <w:t>guided by patients</w:t>
      </w:r>
      <w:r w:rsidR="000970A3">
        <w:rPr>
          <w:color w:val="000000" w:themeColor="text1"/>
          <w:sz w:val="28"/>
          <w:szCs w:val="28"/>
          <w:lang w:val="en-US"/>
        </w:rPr>
        <w:t>’</w:t>
      </w:r>
      <w:r w:rsidR="00644C34" w:rsidRPr="00625A76">
        <w:rPr>
          <w:color w:val="000000" w:themeColor="text1"/>
          <w:sz w:val="28"/>
          <w:szCs w:val="28"/>
          <w:lang w:val="en-US"/>
        </w:rPr>
        <w:t xml:space="preserve"> insights</w:t>
      </w:r>
      <w:r w:rsidR="00F17E39" w:rsidRPr="00625A76">
        <w:rPr>
          <w:color w:val="000000" w:themeColor="text1"/>
          <w:sz w:val="28"/>
          <w:szCs w:val="28"/>
          <w:lang w:val="en-US"/>
        </w:rPr>
        <w:t>,</w:t>
      </w:r>
      <w:r w:rsidR="00644C34" w:rsidRPr="00625A76">
        <w:rPr>
          <w:color w:val="000000" w:themeColor="text1"/>
          <w:sz w:val="28"/>
          <w:szCs w:val="28"/>
          <w:lang w:val="en-US"/>
        </w:rPr>
        <w:t xml:space="preserve"> </w:t>
      </w:r>
      <w:r w:rsidR="00F17E39" w:rsidRPr="00625A76">
        <w:rPr>
          <w:color w:val="000000" w:themeColor="text1"/>
          <w:sz w:val="28"/>
          <w:szCs w:val="28"/>
          <w:lang w:val="en-US"/>
        </w:rPr>
        <w:t xml:space="preserve">with recommendations on how to </w:t>
      </w:r>
      <w:r w:rsidR="00644C34" w:rsidRPr="00625A76">
        <w:rPr>
          <w:color w:val="000000" w:themeColor="text1"/>
          <w:sz w:val="28"/>
          <w:szCs w:val="28"/>
          <w:lang w:val="en-US"/>
        </w:rPr>
        <w:t>minimize treatment</w:t>
      </w:r>
      <w:r w:rsidR="00F17E39" w:rsidRPr="00625A76">
        <w:rPr>
          <w:color w:val="000000" w:themeColor="text1"/>
          <w:sz w:val="28"/>
          <w:szCs w:val="28"/>
          <w:lang w:val="en-US"/>
        </w:rPr>
        <w:t xml:space="preserve"> non-adherence</w:t>
      </w:r>
      <w:r w:rsidR="00644C34" w:rsidRPr="00625A76">
        <w:rPr>
          <w:color w:val="000000" w:themeColor="text1"/>
          <w:sz w:val="28"/>
          <w:szCs w:val="28"/>
          <w:lang w:val="en-US"/>
        </w:rPr>
        <w:t>, heterogeneity of results and risks of undertreatment, and</w:t>
      </w:r>
      <w:r w:rsidR="00A23DD5" w:rsidRPr="00625A76">
        <w:rPr>
          <w:color w:val="000000" w:themeColor="text1"/>
          <w:sz w:val="28"/>
          <w:szCs w:val="28"/>
          <w:lang w:val="en-US"/>
        </w:rPr>
        <w:t xml:space="preserve"> support</w:t>
      </w:r>
      <w:r w:rsidR="00644C34" w:rsidRPr="00625A76">
        <w:rPr>
          <w:color w:val="000000" w:themeColor="text1"/>
          <w:sz w:val="28"/>
          <w:szCs w:val="28"/>
          <w:lang w:val="en-US"/>
        </w:rPr>
        <w:t xml:space="preserve"> the selection of RFI</w:t>
      </w:r>
      <w:r w:rsidR="000970A3">
        <w:rPr>
          <w:color w:val="000000" w:themeColor="text1"/>
          <w:sz w:val="28"/>
          <w:szCs w:val="28"/>
          <w:lang w:val="en-US"/>
        </w:rPr>
        <w:t>,</w:t>
      </w:r>
      <w:r w:rsidR="00644C34" w:rsidRPr="00625A76">
        <w:rPr>
          <w:color w:val="000000" w:themeColor="text1"/>
          <w:sz w:val="28"/>
          <w:szCs w:val="28"/>
          <w:lang w:val="en-US"/>
        </w:rPr>
        <w:t xml:space="preserve"> RFS and </w:t>
      </w:r>
      <w:r w:rsidR="000970A3">
        <w:rPr>
          <w:color w:val="000000" w:themeColor="text1"/>
          <w:sz w:val="28"/>
          <w:szCs w:val="28"/>
          <w:lang w:val="en-US"/>
        </w:rPr>
        <w:t>DMFS</w:t>
      </w:r>
      <w:r w:rsidR="00644C34" w:rsidRPr="00625A76">
        <w:rPr>
          <w:color w:val="000000" w:themeColor="text1"/>
          <w:sz w:val="28"/>
          <w:szCs w:val="28"/>
          <w:lang w:val="en-US"/>
        </w:rPr>
        <w:t xml:space="preserve"> as </w:t>
      </w:r>
      <w:r w:rsidR="00A23DD5" w:rsidRPr="00625A76">
        <w:rPr>
          <w:color w:val="000000" w:themeColor="text1"/>
          <w:sz w:val="28"/>
          <w:szCs w:val="28"/>
          <w:lang w:val="en-US"/>
        </w:rPr>
        <w:t xml:space="preserve">meaningful </w:t>
      </w:r>
      <w:r w:rsidR="00644C34" w:rsidRPr="00625A76">
        <w:rPr>
          <w:color w:val="000000" w:themeColor="text1"/>
          <w:sz w:val="28"/>
          <w:szCs w:val="28"/>
          <w:lang w:val="en-US"/>
        </w:rPr>
        <w:t>endpoints.</w:t>
      </w:r>
    </w:p>
    <w:p w14:paraId="53509AF3" w14:textId="680C5A80" w:rsidR="004A66E2" w:rsidRPr="00625A76" w:rsidRDefault="004A66E2" w:rsidP="002F3AF2">
      <w:pPr>
        <w:jc w:val="both"/>
        <w:rPr>
          <w:color w:val="000000" w:themeColor="text1"/>
          <w:sz w:val="28"/>
          <w:szCs w:val="28"/>
          <w:lang w:val="en-US"/>
        </w:rPr>
      </w:pPr>
    </w:p>
    <w:p w14:paraId="3CF8C834" w14:textId="77777777" w:rsidR="00A478CA" w:rsidRPr="00625A76" w:rsidRDefault="00A478CA" w:rsidP="002F3AF2">
      <w:pPr>
        <w:jc w:val="both"/>
        <w:rPr>
          <w:color w:val="000000" w:themeColor="text1"/>
          <w:sz w:val="28"/>
          <w:szCs w:val="28"/>
          <w:lang w:val="en-US"/>
        </w:rPr>
      </w:pPr>
    </w:p>
    <w:p w14:paraId="58C4B6C1" w14:textId="32C58713" w:rsidR="00A478CA" w:rsidRPr="00625A76" w:rsidRDefault="00520DC6" w:rsidP="002F3AF2">
      <w:pPr>
        <w:jc w:val="both"/>
        <w:rPr>
          <w:b/>
          <w:bCs/>
          <w:color w:val="000000" w:themeColor="text1"/>
          <w:sz w:val="32"/>
          <w:szCs w:val="32"/>
          <w:lang w:val="en-US"/>
        </w:rPr>
      </w:pPr>
      <w:r w:rsidRPr="00625A76">
        <w:rPr>
          <w:b/>
          <w:bCs/>
          <w:color w:val="000000" w:themeColor="text1"/>
          <w:sz w:val="32"/>
          <w:szCs w:val="32"/>
          <w:lang w:val="en-US"/>
        </w:rPr>
        <w:t>Acknowledgments</w:t>
      </w:r>
    </w:p>
    <w:p w14:paraId="11882C45" w14:textId="7AA799F5" w:rsidR="00A478CA" w:rsidRPr="00625A76" w:rsidRDefault="00A478CA" w:rsidP="002F3AF2">
      <w:pPr>
        <w:jc w:val="both"/>
        <w:rPr>
          <w:bCs/>
          <w:color w:val="000000" w:themeColor="text1"/>
          <w:sz w:val="28"/>
          <w:szCs w:val="28"/>
          <w:lang w:val="en-US"/>
        </w:rPr>
      </w:pPr>
      <w:r w:rsidRPr="00625A76">
        <w:rPr>
          <w:bCs/>
          <w:color w:val="000000" w:themeColor="text1"/>
          <w:sz w:val="28"/>
          <w:szCs w:val="28"/>
          <w:lang w:val="en-US"/>
        </w:rPr>
        <w:t xml:space="preserve">The BIG-NABCG annual meeting </w:t>
      </w:r>
      <w:r w:rsidR="00F31805" w:rsidRPr="00625A76">
        <w:rPr>
          <w:bCs/>
          <w:color w:val="000000" w:themeColor="text1"/>
          <w:sz w:val="28"/>
          <w:szCs w:val="28"/>
          <w:lang w:val="en-US"/>
        </w:rPr>
        <w:t xml:space="preserve">2019 </w:t>
      </w:r>
      <w:r w:rsidRPr="00625A76">
        <w:rPr>
          <w:bCs/>
          <w:color w:val="000000" w:themeColor="text1"/>
          <w:sz w:val="28"/>
          <w:szCs w:val="28"/>
          <w:lang w:val="en-US"/>
        </w:rPr>
        <w:t>and associated patient workshops were funded by the Breast Cancer Research Foundation (BCRF). We want to thank the patients advocates and all participants of the BIG-NABCG annual meeting for their valuable input.</w:t>
      </w:r>
    </w:p>
    <w:p w14:paraId="087471A3" w14:textId="6C9AEC83" w:rsidR="000D5E34" w:rsidRPr="00625A76" w:rsidRDefault="003348EB" w:rsidP="00083C5D">
      <w:pPr>
        <w:rPr>
          <w:b/>
          <w:bCs/>
          <w:color w:val="000000" w:themeColor="text1"/>
          <w:sz w:val="32"/>
          <w:szCs w:val="32"/>
          <w:lang w:val="en-US"/>
        </w:rPr>
      </w:pPr>
      <w:r w:rsidRPr="00625A76">
        <w:rPr>
          <w:b/>
          <w:bCs/>
          <w:color w:val="000000" w:themeColor="text1"/>
          <w:sz w:val="32"/>
          <w:szCs w:val="32"/>
          <w:lang w:val="en-US"/>
        </w:rPr>
        <w:br w:type="page"/>
      </w:r>
      <w:r w:rsidR="000D5E34" w:rsidRPr="00625A76">
        <w:rPr>
          <w:b/>
          <w:bCs/>
          <w:color w:val="000000" w:themeColor="text1"/>
          <w:sz w:val="32"/>
          <w:szCs w:val="32"/>
          <w:lang w:val="en-US"/>
        </w:rPr>
        <w:lastRenderedPageBreak/>
        <w:t>References</w:t>
      </w:r>
    </w:p>
    <w:p w14:paraId="24E10F9B" w14:textId="72AD5D4C" w:rsidR="001A1C1C" w:rsidRPr="001A1C1C" w:rsidRDefault="000D5E34" w:rsidP="001A1C1C">
      <w:pPr>
        <w:widowControl w:val="0"/>
        <w:autoSpaceDE w:val="0"/>
        <w:autoSpaceDN w:val="0"/>
        <w:adjustRightInd w:val="0"/>
        <w:ind w:left="640" w:hanging="640"/>
        <w:rPr>
          <w:rFonts w:ascii="Calibri" w:hAnsi="Calibri" w:cs="Calibri"/>
          <w:noProof/>
          <w:sz w:val="28"/>
          <w:szCs w:val="24"/>
        </w:rPr>
      </w:pPr>
      <w:r w:rsidRPr="00625A76">
        <w:rPr>
          <w:color w:val="000000" w:themeColor="text1"/>
          <w:sz w:val="28"/>
          <w:szCs w:val="28"/>
          <w:lang w:val="en-US"/>
        </w:rPr>
        <w:fldChar w:fldCharType="begin" w:fldLock="1"/>
      </w:r>
      <w:r w:rsidRPr="00625A76">
        <w:rPr>
          <w:color w:val="000000" w:themeColor="text1"/>
          <w:sz w:val="28"/>
          <w:szCs w:val="28"/>
          <w:lang w:val="en-US"/>
        </w:rPr>
        <w:instrText xml:space="preserve">ADDIN Mendeley Bibliography CSL_BIBLIOGRAPHY </w:instrText>
      </w:r>
      <w:r w:rsidRPr="00625A76">
        <w:rPr>
          <w:color w:val="000000" w:themeColor="text1"/>
          <w:sz w:val="28"/>
          <w:szCs w:val="28"/>
          <w:lang w:val="en-US"/>
        </w:rPr>
        <w:fldChar w:fldCharType="separate"/>
      </w:r>
      <w:r w:rsidR="001A1C1C" w:rsidRPr="001A1C1C">
        <w:rPr>
          <w:rFonts w:ascii="Calibri" w:hAnsi="Calibri" w:cs="Calibri"/>
          <w:noProof/>
          <w:sz w:val="28"/>
          <w:szCs w:val="24"/>
        </w:rPr>
        <w:t xml:space="preserve">1. </w:t>
      </w:r>
      <w:r w:rsidR="001A1C1C" w:rsidRPr="001A1C1C">
        <w:rPr>
          <w:rFonts w:ascii="Calibri" w:hAnsi="Calibri" w:cs="Calibri"/>
          <w:noProof/>
          <w:sz w:val="28"/>
          <w:szCs w:val="24"/>
        </w:rPr>
        <w:tab/>
        <w:t xml:space="preserve">Twist CJ, Schmidt M Lou, Naranjo A, et al. Maintaining Outstanding Outcomes Using Response- and Biology-Based Therapy for Intermediate-Risk Neuroblastoma: A Report From the Children’s Oncology Group Study ANBL0531. </w:t>
      </w:r>
      <w:r w:rsidR="001A1C1C" w:rsidRPr="001A1C1C">
        <w:rPr>
          <w:rFonts w:ascii="Calibri" w:hAnsi="Calibri" w:cs="Calibri"/>
          <w:i/>
          <w:iCs/>
          <w:noProof/>
          <w:sz w:val="28"/>
          <w:szCs w:val="24"/>
        </w:rPr>
        <w:t>J Clin Oncol</w:t>
      </w:r>
      <w:r w:rsidR="001A1C1C" w:rsidRPr="001A1C1C">
        <w:rPr>
          <w:rFonts w:ascii="Calibri" w:hAnsi="Calibri" w:cs="Calibri"/>
          <w:noProof/>
          <w:sz w:val="28"/>
          <w:szCs w:val="24"/>
        </w:rPr>
        <w:t>. 2019;37(34):3243-3255. doi:10.1200/JCO.19.00919</w:t>
      </w:r>
    </w:p>
    <w:p w14:paraId="69207F21" w14:textId="77777777" w:rsidR="001A1C1C" w:rsidRPr="001A1C1C" w:rsidRDefault="001A1C1C" w:rsidP="001A1C1C">
      <w:pPr>
        <w:widowControl w:val="0"/>
        <w:autoSpaceDE w:val="0"/>
        <w:autoSpaceDN w:val="0"/>
        <w:adjustRightInd w:val="0"/>
        <w:ind w:left="640" w:hanging="640"/>
        <w:rPr>
          <w:rFonts w:ascii="Calibri" w:hAnsi="Calibri" w:cs="Calibri"/>
          <w:noProof/>
          <w:sz w:val="28"/>
          <w:szCs w:val="24"/>
        </w:rPr>
      </w:pPr>
      <w:r w:rsidRPr="001A1C1C">
        <w:rPr>
          <w:rFonts w:ascii="Calibri" w:hAnsi="Calibri" w:cs="Calibri"/>
          <w:noProof/>
          <w:sz w:val="28"/>
          <w:szCs w:val="24"/>
        </w:rPr>
        <w:t xml:space="preserve">2. </w:t>
      </w:r>
      <w:r w:rsidRPr="001A1C1C">
        <w:rPr>
          <w:rFonts w:ascii="Calibri" w:hAnsi="Calibri" w:cs="Calibri"/>
          <w:noProof/>
          <w:sz w:val="28"/>
          <w:szCs w:val="24"/>
        </w:rPr>
        <w:tab/>
        <w:t xml:space="preserve">Tolbert VP, Matthay KK. Neuroblastoma: clinical and biological approach to risk stratification and treatment. </w:t>
      </w:r>
      <w:r w:rsidRPr="001A1C1C">
        <w:rPr>
          <w:rFonts w:ascii="Calibri" w:hAnsi="Calibri" w:cs="Calibri"/>
          <w:i/>
          <w:iCs/>
          <w:noProof/>
          <w:sz w:val="28"/>
          <w:szCs w:val="24"/>
        </w:rPr>
        <w:t>Cell Tissue Res</w:t>
      </w:r>
      <w:r w:rsidRPr="001A1C1C">
        <w:rPr>
          <w:rFonts w:ascii="Calibri" w:hAnsi="Calibri" w:cs="Calibri"/>
          <w:noProof/>
          <w:sz w:val="28"/>
          <w:szCs w:val="24"/>
        </w:rPr>
        <w:t>. 2018;372(2):195-209. doi:10.1007/s00441-018-2821-2</w:t>
      </w:r>
    </w:p>
    <w:p w14:paraId="1EB9FC51" w14:textId="77777777" w:rsidR="001A1C1C" w:rsidRPr="001A1C1C" w:rsidRDefault="001A1C1C" w:rsidP="001A1C1C">
      <w:pPr>
        <w:widowControl w:val="0"/>
        <w:autoSpaceDE w:val="0"/>
        <w:autoSpaceDN w:val="0"/>
        <w:adjustRightInd w:val="0"/>
        <w:ind w:left="640" w:hanging="640"/>
        <w:rPr>
          <w:rFonts w:ascii="Calibri" w:hAnsi="Calibri" w:cs="Calibri"/>
          <w:noProof/>
          <w:sz w:val="28"/>
          <w:szCs w:val="24"/>
        </w:rPr>
      </w:pPr>
      <w:r w:rsidRPr="001A1C1C">
        <w:rPr>
          <w:rFonts w:ascii="Calibri" w:hAnsi="Calibri" w:cs="Calibri"/>
          <w:noProof/>
          <w:sz w:val="28"/>
          <w:szCs w:val="24"/>
        </w:rPr>
        <w:t xml:space="preserve">3. </w:t>
      </w:r>
      <w:r w:rsidRPr="001A1C1C">
        <w:rPr>
          <w:rFonts w:ascii="Calibri" w:hAnsi="Calibri" w:cs="Calibri"/>
          <w:noProof/>
          <w:sz w:val="28"/>
          <w:szCs w:val="24"/>
        </w:rPr>
        <w:tab/>
        <w:t xml:space="preserve">André T, Boni C, Navarro M, et al. Improved overall survival with oxaliplatin, fluorouracil, and leucovorin as adjuvant treatment in stage II or III colon cancer in the MOSAIC trial. </w:t>
      </w:r>
      <w:r w:rsidRPr="001A1C1C">
        <w:rPr>
          <w:rFonts w:ascii="Calibri" w:hAnsi="Calibri" w:cs="Calibri"/>
          <w:i/>
          <w:iCs/>
          <w:noProof/>
          <w:sz w:val="28"/>
          <w:szCs w:val="24"/>
        </w:rPr>
        <w:t>J Clin Oncol</w:t>
      </w:r>
      <w:r w:rsidRPr="001A1C1C">
        <w:rPr>
          <w:rFonts w:ascii="Calibri" w:hAnsi="Calibri" w:cs="Calibri"/>
          <w:noProof/>
          <w:sz w:val="28"/>
          <w:szCs w:val="24"/>
        </w:rPr>
        <w:t>. 2009;27(19):3109-3116. doi:10.1200/JCO.2008.20.6771</w:t>
      </w:r>
    </w:p>
    <w:p w14:paraId="60117568" w14:textId="77777777" w:rsidR="001A1C1C" w:rsidRPr="001A1C1C" w:rsidRDefault="001A1C1C" w:rsidP="001A1C1C">
      <w:pPr>
        <w:widowControl w:val="0"/>
        <w:autoSpaceDE w:val="0"/>
        <w:autoSpaceDN w:val="0"/>
        <w:adjustRightInd w:val="0"/>
        <w:ind w:left="640" w:hanging="640"/>
        <w:rPr>
          <w:rFonts w:ascii="Calibri" w:hAnsi="Calibri" w:cs="Calibri"/>
          <w:noProof/>
          <w:sz w:val="28"/>
          <w:szCs w:val="24"/>
        </w:rPr>
      </w:pPr>
      <w:r w:rsidRPr="001A1C1C">
        <w:rPr>
          <w:rFonts w:ascii="Calibri" w:hAnsi="Calibri" w:cs="Calibri"/>
          <w:noProof/>
          <w:sz w:val="28"/>
          <w:szCs w:val="24"/>
        </w:rPr>
        <w:t xml:space="preserve">4. </w:t>
      </w:r>
      <w:r w:rsidRPr="001A1C1C">
        <w:rPr>
          <w:rFonts w:ascii="Calibri" w:hAnsi="Calibri" w:cs="Calibri"/>
          <w:noProof/>
          <w:sz w:val="28"/>
          <w:szCs w:val="24"/>
        </w:rPr>
        <w:tab/>
        <w:t xml:space="preserve">Schmoll H-J, Tabernero J, Maroun J, et al. Capecitabine Plus Oxaliplatin Compared With Fluorouracil/Folinic Acid As Adjuvant Therapy for Stage III Colon Cancer: Final Results of the NO16968 Randomized Controlled Phase III Trial. </w:t>
      </w:r>
      <w:r w:rsidRPr="001A1C1C">
        <w:rPr>
          <w:rFonts w:ascii="Calibri" w:hAnsi="Calibri" w:cs="Calibri"/>
          <w:i/>
          <w:iCs/>
          <w:noProof/>
          <w:sz w:val="28"/>
          <w:szCs w:val="24"/>
        </w:rPr>
        <w:t>J Clin Oncol</w:t>
      </w:r>
      <w:r w:rsidRPr="001A1C1C">
        <w:rPr>
          <w:rFonts w:ascii="Calibri" w:hAnsi="Calibri" w:cs="Calibri"/>
          <w:noProof/>
          <w:sz w:val="28"/>
          <w:szCs w:val="24"/>
        </w:rPr>
        <w:t>. 2015;33(32):3733-3740. doi:10.1200/JCO.2015.60.9107</w:t>
      </w:r>
    </w:p>
    <w:p w14:paraId="18D209A6" w14:textId="77777777" w:rsidR="001A1C1C" w:rsidRPr="001A1C1C" w:rsidRDefault="001A1C1C" w:rsidP="001A1C1C">
      <w:pPr>
        <w:widowControl w:val="0"/>
        <w:autoSpaceDE w:val="0"/>
        <w:autoSpaceDN w:val="0"/>
        <w:adjustRightInd w:val="0"/>
        <w:ind w:left="640" w:hanging="640"/>
        <w:rPr>
          <w:rFonts w:ascii="Calibri" w:hAnsi="Calibri" w:cs="Calibri"/>
          <w:noProof/>
          <w:sz w:val="28"/>
          <w:szCs w:val="24"/>
        </w:rPr>
      </w:pPr>
      <w:r w:rsidRPr="001A1C1C">
        <w:rPr>
          <w:rFonts w:ascii="Calibri" w:hAnsi="Calibri" w:cs="Calibri"/>
          <w:noProof/>
          <w:sz w:val="28"/>
          <w:szCs w:val="24"/>
        </w:rPr>
        <w:t xml:space="preserve">5. </w:t>
      </w:r>
      <w:r w:rsidRPr="001A1C1C">
        <w:rPr>
          <w:rFonts w:ascii="Calibri" w:hAnsi="Calibri" w:cs="Calibri"/>
          <w:noProof/>
          <w:sz w:val="28"/>
          <w:szCs w:val="24"/>
        </w:rPr>
        <w:tab/>
        <w:t xml:space="preserve">Kuebler JP, Wieand HS, O’Connell MJ, et al. Oxaliplatin Combined With Weekly Bolus Fluorouracil and Leucovorin As Surgical Adjuvant Chemotherapy for Stage II and III Colon Cancer: Results From NSABP C-07. </w:t>
      </w:r>
      <w:r w:rsidRPr="001A1C1C">
        <w:rPr>
          <w:rFonts w:ascii="Calibri" w:hAnsi="Calibri" w:cs="Calibri"/>
          <w:i/>
          <w:iCs/>
          <w:noProof/>
          <w:sz w:val="28"/>
          <w:szCs w:val="24"/>
        </w:rPr>
        <w:t>J Clin Oncol</w:t>
      </w:r>
      <w:r w:rsidRPr="001A1C1C">
        <w:rPr>
          <w:rFonts w:ascii="Calibri" w:hAnsi="Calibri" w:cs="Calibri"/>
          <w:noProof/>
          <w:sz w:val="28"/>
          <w:szCs w:val="24"/>
        </w:rPr>
        <w:t>. 2007;25(16):2198-2204. doi:10.1200/JCO.2006.08.2974</w:t>
      </w:r>
    </w:p>
    <w:p w14:paraId="4CC8EA3D" w14:textId="77777777" w:rsidR="001A1C1C" w:rsidRPr="001A1C1C" w:rsidRDefault="001A1C1C" w:rsidP="001A1C1C">
      <w:pPr>
        <w:widowControl w:val="0"/>
        <w:autoSpaceDE w:val="0"/>
        <w:autoSpaceDN w:val="0"/>
        <w:adjustRightInd w:val="0"/>
        <w:ind w:left="640" w:hanging="640"/>
        <w:rPr>
          <w:rFonts w:ascii="Calibri" w:hAnsi="Calibri" w:cs="Calibri"/>
          <w:noProof/>
          <w:sz w:val="28"/>
          <w:szCs w:val="24"/>
        </w:rPr>
      </w:pPr>
      <w:r w:rsidRPr="001A1C1C">
        <w:rPr>
          <w:rFonts w:ascii="Calibri" w:hAnsi="Calibri" w:cs="Calibri"/>
          <w:noProof/>
          <w:sz w:val="28"/>
          <w:szCs w:val="24"/>
        </w:rPr>
        <w:t xml:space="preserve">6. </w:t>
      </w:r>
      <w:r w:rsidRPr="001A1C1C">
        <w:rPr>
          <w:rFonts w:ascii="Calibri" w:hAnsi="Calibri" w:cs="Calibri"/>
          <w:noProof/>
          <w:sz w:val="28"/>
          <w:szCs w:val="24"/>
        </w:rPr>
        <w:tab/>
        <w:t xml:space="preserve">Land SR, Kopec JA, Cecchini RS, et al. Neurotoxicity From Oxaliplatin Combined With Weekly Bolus Fluorouracil and Leucovorin As Surgical Adjuvant Chemotherapy for Stage II and III Colon Cancer: NSABP C-07. </w:t>
      </w:r>
      <w:r w:rsidRPr="001A1C1C">
        <w:rPr>
          <w:rFonts w:ascii="Calibri" w:hAnsi="Calibri" w:cs="Calibri"/>
          <w:i/>
          <w:iCs/>
          <w:noProof/>
          <w:sz w:val="28"/>
          <w:szCs w:val="24"/>
        </w:rPr>
        <w:t>J Clin Oncol</w:t>
      </w:r>
      <w:r w:rsidRPr="001A1C1C">
        <w:rPr>
          <w:rFonts w:ascii="Calibri" w:hAnsi="Calibri" w:cs="Calibri"/>
          <w:noProof/>
          <w:sz w:val="28"/>
          <w:szCs w:val="24"/>
        </w:rPr>
        <w:t>. 2007;25(16):2205-2211. doi:10.1200/JCO.2006.08.6652</w:t>
      </w:r>
    </w:p>
    <w:p w14:paraId="52CF0432" w14:textId="77777777" w:rsidR="001A1C1C" w:rsidRPr="001A1C1C" w:rsidRDefault="001A1C1C" w:rsidP="001A1C1C">
      <w:pPr>
        <w:widowControl w:val="0"/>
        <w:autoSpaceDE w:val="0"/>
        <w:autoSpaceDN w:val="0"/>
        <w:adjustRightInd w:val="0"/>
        <w:ind w:left="640" w:hanging="640"/>
        <w:rPr>
          <w:rFonts w:ascii="Calibri" w:hAnsi="Calibri" w:cs="Calibri"/>
          <w:noProof/>
          <w:sz w:val="28"/>
          <w:szCs w:val="24"/>
        </w:rPr>
      </w:pPr>
      <w:r w:rsidRPr="001A1C1C">
        <w:rPr>
          <w:rFonts w:ascii="Calibri" w:hAnsi="Calibri" w:cs="Calibri"/>
          <w:noProof/>
          <w:sz w:val="28"/>
          <w:szCs w:val="24"/>
        </w:rPr>
        <w:t xml:space="preserve">7. </w:t>
      </w:r>
      <w:r w:rsidRPr="001A1C1C">
        <w:rPr>
          <w:rFonts w:ascii="Calibri" w:hAnsi="Calibri" w:cs="Calibri"/>
          <w:noProof/>
          <w:sz w:val="28"/>
          <w:szCs w:val="24"/>
        </w:rPr>
        <w:tab/>
        <w:t xml:space="preserve">André T, Iveson T, Labianca R, et al. The IDEA (international duration evaluation of adjuvant chemotherapy) collaboration: Prospective combined analysis of phase III trials investigating duration of adjuvant therapy with the FOLFOX (FOLFOX4 or modified FOLFOX6) or XELOX (3 versus 6 months) re. </w:t>
      </w:r>
      <w:r w:rsidRPr="001A1C1C">
        <w:rPr>
          <w:rFonts w:ascii="Calibri" w:hAnsi="Calibri" w:cs="Calibri"/>
          <w:i/>
          <w:iCs/>
          <w:noProof/>
          <w:sz w:val="28"/>
          <w:szCs w:val="24"/>
        </w:rPr>
        <w:t>Curr Colorectal Cancer Rep</w:t>
      </w:r>
      <w:r w:rsidRPr="001A1C1C">
        <w:rPr>
          <w:rFonts w:ascii="Calibri" w:hAnsi="Calibri" w:cs="Calibri"/>
          <w:noProof/>
          <w:sz w:val="28"/>
          <w:szCs w:val="24"/>
        </w:rPr>
        <w:t>. 2013;9(3):261-269. doi:10.1007/s11888-013-0181-6</w:t>
      </w:r>
    </w:p>
    <w:p w14:paraId="6AE0CA6D" w14:textId="77777777" w:rsidR="001A1C1C" w:rsidRPr="001A1C1C" w:rsidRDefault="001A1C1C" w:rsidP="001A1C1C">
      <w:pPr>
        <w:widowControl w:val="0"/>
        <w:autoSpaceDE w:val="0"/>
        <w:autoSpaceDN w:val="0"/>
        <w:adjustRightInd w:val="0"/>
        <w:ind w:left="640" w:hanging="640"/>
        <w:rPr>
          <w:rFonts w:ascii="Calibri" w:hAnsi="Calibri" w:cs="Calibri"/>
          <w:noProof/>
          <w:sz w:val="28"/>
          <w:szCs w:val="24"/>
        </w:rPr>
      </w:pPr>
      <w:r w:rsidRPr="001A1C1C">
        <w:rPr>
          <w:rFonts w:ascii="Calibri" w:hAnsi="Calibri" w:cs="Calibri"/>
          <w:noProof/>
          <w:sz w:val="28"/>
          <w:szCs w:val="24"/>
        </w:rPr>
        <w:t xml:space="preserve">8. </w:t>
      </w:r>
      <w:r w:rsidRPr="001A1C1C">
        <w:rPr>
          <w:rFonts w:ascii="Calibri" w:hAnsi="Calibri" w:cs="Calibri"/>
          <w:noProof/>
          <w:sz w:val="28"/>
          <w:szCs w:val="24"/>
        </w:rPr>
        <w:tab/>
        <w:t xml:space="preserve">Grothey A, Sobrero AF, Shields AF, et al. Duration of Adjuvant Chemotherapy for Stage III Colon Cancer. </w:t>
      </w:r>
      <w:r w:rsidRPr="001A1C1C">
        <w:rPr>
          <w:rFonts w:ascii="Calibri" w:hAnsi="Calibri" w:cs="Calibri"/>
          <w:i/>
          <w:iCs/>
          <w:noProof/>
          <w:sz w:val="28"/>
          <w:szCs w:val="24"/>
        </w:rPr>
        <w:t>N Engl J Med</w:t>
      </w:r>
      <w:r w:rsidRPr="001A1C1C">
        <w:rPr>
          <w:rFonts w:ascii="Calibri" w:hAnsi="Calibri" w:cs="Calibri"/>
          <w:noProof/>
          <w:sz w:val="28"/>
          <w:szCs w:val="24"/>
        </w:rPr>
        <w:t>. 2018;378(13):1177-1188. doi:10.1056/NEJMoa1713709</w:t>
      </w:r>
    </w:p>
    <w:p w14:paraId="4CC2B6C0" w14:textId="77777777" w:rsidR="001A1C1C" w:rsidRPr="001A1C1C" w:rsidRDefault="001A1C1C" w:rsidP="001A1C1C">
      <w:pPr>
        <w:widowControl w:val="0"/>
        <w:autoSpaceDE w:val="0"/>
        <w:autoSpaceDN w:val="0"/>
        <w:adjustRightInd w:val="0"/>
        <w:ind w:left="640" w:hanging="640"/>
        <w:rPr>
          <w:rFonts w:ascii="Calibri" w:hAnsi="Calibri" w:cs="Calibri"/>
          <w:noProof/>
          <w:sz w:val="28"/>
          <w:szCs w:val="24"/>
        </w:rPr>
      </w:pPr>
      <w:r w:rsidRPr="001A1C1C">
        <w:rPr>
          <w:rFonts w:ascii="Calibri" w:hAnsi="Calibri" w:cs="Calibri"/>
          <w:noProof/>
          <w:sz w:val="28"/>
          <w:szCs w:val="24"/>
        </w:rPr>
        <w:t xml:space="preserve">9. </w:t>
      </w:r>
      <w:r w:rsidRPr="001A1C1C">
        <w:rPr>
          <w:rFonts w:ascii="Calibri" w:hAnsi="Calibri" w:cs="Calibri"/>
          <w:noProof/>
          <w:sz w:val="28"/>
          <w:szCs w:val="24"/>
        </w:rPr>
        <w:tab/>
        <w:t xml:space="preserve">Niraula S, Gyawali B. Optimal duration of adjuvant trastuzumab in treatment of early breast cancer: a meta-analysis of randomized controlled trials. </w:t>
      </w:r>
      <w:r w:rsidRPr="001A1C1C">
        <w:rPr>
          <w:rFonts w:ascii="Calibri" w:hAnsi="Calibri" w:cs="Calibri"/>
          <w:i/>
          <w:iCs/>
          <w:noProof/>
          <w:sz w:val="28"/>
          <w:szCs w:val="24"/>
        </w:rPr>
        <w:t>Breast Cancer Res Treat</w:t>
      </w:r>
      <w:r w:rsidRPr="001A1C1C">
        <w:rPr>
          <w:rFonts w:ascii="Calibri" w:hAnsi="Calibri" w:cs="Calibri"/>
          <w:noProof/>
          <w:sz w:val="28"/>
          <w:szCs w:val="24"/>
        </w:rPr>
        <w:t>. 2019;173(1):103-109. doi:10.1007/s10549-018-4967-8</w:t>
      </w:r>
    </w:p>
    <w:p w14:paraId="64E9C707" w14:textId="77777777" w:rsidR="001A1C1C" w:rsidRPr="001A1C1C" w:rsidRDefault="001A1C1C" w:rsidP="001A1C1C">
      <w:pPr>
        <w:widowControl w:val="0"/>
        <w:autoSpaceDE w:val="0"/>
        <w:autoSpaceDN w:val="0"/>
        <w:adjustRightInd w:val="0"/>
        <w:ind w:left="640" w:hanging="640"/>
        <w:rPr>
          <w:rFonts w:ascii="Calibri" w:hAnsi="Calibri" w:cs="Calibri"/>
          <w:noProof/>
          <w:sz w:val="28"/>
          <w:szCs w:val="24"/>
        </w:rPr>
      </w:pPr>
      <w:r w:rsidRPr="001A1C1C">
        <w:rPr>
          <w:rFonts w:ascii="Calibri" w:hAnsi="Calibri" w:cs="Calibri"/>
          <w:noProof/>
          <w:sz w:val="28"/>
          <w:szCs w:val="24"/>
        </w:rPr>
        <w:t xml:space="preserve">10. </w:t>
      </w:r>
      <w:r w:rsidRPr="001A1C1C">
        <w:rPr>
          <w:rFonts w:ascii="Calibri" w:hAnsi="Calibri" w:cs="Calibri"/>
          <w:noProof/>
          <w:sz w:val="28"/>
          <w:szCs w:val="24"/>
        </w:rPr>
        <w:tab/>
        <w:t xml:space="preserve">Pondé N, Gelber RD, Piccart M. PERSEPHONE: are we ready to de-escalate </w:t>
      </w:r>
      <w:r w:rsidRPr="001A1C1C">
        <w:rPr>
          <w:rFonts w:ascii="Calibri" w:hAnsi="Calibri" w:cs="Calibri"/>
          <w:noProof/>
          <w:sz w:val="28"/>
          <w:szCs w:val="24"/>
        </w:rPr>
        <w:lastRenderedPageBreak/>
        <w:t xml:space="preserve">adjuvant trastuzumab for HER2-positive breast cancer? </w:t>
      </w:r>
      <w:r w:rsidRPr="001A1C1C">
        <w:rPr>
          <w:rFonts w:ascii="Calibri" w:hAnsi="Calibri" w:cs="Calibri"/>
          <w:i/>
          <w:iCs/>
          <w:noProof/>
          <w:sz w:val="28"/>
          <w:szCs w:val="24"/>
        </w:rPr>
        <w:t>npj Breast Cancer</w:t>
      </w:r>
      <w:r w:rsidRPr="001A1C1C">
        <w:rPr>
          <w:rFonts w:ascii="Calibri" w:hAnsi="Calibri" w:cs="Calibri"/>
          <w:noProof/>
          <w:sz w:val="28"/>
          <w:szCs w:val="24"/>
        </w:rPr>
        <w:t>. 2019;5(1):1. doi:10.1038/s41523-018-0098-y</w:t>
      </w:r>
    </w:p>
    <w:p w14:paraId="77854B3B" w14:textId="77777777" w:rsidR="001A1C1C" w:rsidRPr="001A1C1C" w:rsidRDefault="001A1C1C" w:rsidP="001A1C1C">
      <w:pPr>
        <w:widowControl w:val="0"/>
        <w:autoSpaceDE w:val="0"/>
        <w:autoSpaceDN w:val="0"/>
        <w:adjustRightInd w:val="0"/>
        <w:ind w:left="640" w:hanging="640"/>
        <w:rPr>
          <w:rFonts w:ascii="Calibri" w:hAnsi="Calibri" w:cs="Calibri"/>
          <w:noProof/>
          <w:sz w:val="28"/>
          <w:szCs w:val="24"/>
        </w:rPr>
      </w:pPr>
      <w:r w:rsidRPr="001A1C1C">
        <w:rPr>
          <w:rFonts w:ascii="Calibri" w:hAnsi="Calibri" w:cs="Calibri"/>
          <w:noProof/>
          <w:sz w:val="28"/>
          <w:szCs w:val="24"/>
        </w:rPr>
        <w:t xml:space="preserve">11. </w:t>
      </w:r>
      <w:r w:rsidRPr="001A1C1C">
        <w:rPr>
          <w:rFonts w:ascii="Calibri" w:hAnsi="Calibri" w:cs="Calibri"/>
          <w:noProof/>
          <w:sz w:val="28"/>
          <w:szCs w:val="24"/>
        </w:rPr>
        <w:tab/>
        <w:t xml:space="preserve">Earl H, Cameron D, Miles D, al.  et. PERSEPHONE: duration of trastuzumab with chemotherapy in women with HER2-positive early breast cancer—six versus twelve months. </w:t>
      </w:r>
      <w:r w:rsidRPr="001A1C1C">
        <w:rPr>
          <w:rFonts w:ascii="Calibri" w:hAnsi="Calibri" w:cs="Calibri"/>
          <w:i/>
          <w:iCs/>
          <w:noProof/>
          <w:sz w:val="28"/>
          <w:szCs w:val="24"/>
        </w:rPr>
        <w:t>J Clin Oncol</w:t>
      </w:r>
      <w:r w:rsidRPr="001A1C1C">
        <w:rPr>
          <w:rFonts w:ascii="Calibri" w:hAnsi="Calibri" w:cs="Calibri"/>
          <w:noProof/>
          <w:sz w:val="28"/>
          <w:szCs w:val="24"/>
        </w:rPr>
        <w:t>. 2014;32.</w:t>
      </w:r>
    </w:p>
    <w:p w14:paraId="4FA401A8" w14:textId="77777777" w:rsidR="001A1C1C" w:rsidRPr="001A1C1C" w:rsidRDefault="001A1C1C" w:rsidP="001A1C1C">
      <w:pPr>
        <w:widowControl w:val="0"/>
        <w:autoSpaceDE w:val="0"/>
        <w:autoSpaceDN w:val="0"/>
        <w:adjustRightInd w:val="0"/>
        <w:ind w:left="640" w:hanging="640"/>
        <w:rPr>
          <w:rFonts w:ascii="Calibri" w:hAnsi="Calibri" w:cs="Calibri"/>
          <w:noProof/>
          <w:sz w:val="28"/>
          <w:szCs w:val="24"/>
        </w:rPr>
      </w:pPr>
      <w:r w:rsidRPr="001A1C1C">
        <w:rPr>
          <w:rFonts w:ascii="Calibri" w:hAnsi="Calibri" w:cs="Calibri"/>
          <w:noProof/>
          <w:sz w:val="28"/>
          <w:szCs w:val="24"/>
        </w:rPr>
        <w:t xml:space="preserve">12. </w:t>
      </w:r>
      <w:r w:rsidRPr="001A1C1C">
        <w:rPr>
          <w:rFonts w:ascii="Calibri" w:hAnsi="Calibri" w:cs="Calibri"/>
          <w:noProof/>
          <w:sz w:val="28"/>
          <w:szCs w:val="24"/>
        </w:rPr>
        <w:tab/>
        <w:t xml:space="preserve">Earl HM, Hiller L, Vallier AL, et al. 6 versus 12 months of adjuvant trastuzumab for HER2-positive early breast cancer (PERSEPHONE): 4-year disease-free survival results of a randomised phase 3 non-inferiority trial. </w:t>
      </w:r>
      <w:r w:rsidRPr="001A1C1C">
        <w:rPr>
          <w:rFonts w:ascii="Calibri" w:hAnsi="Calibri" w:cs="Calibri"/>
          <w:i/>
          <w:iCs/>
          <w:noProof/>
          <w:sz w:val="28"/>
          <w:szCs w:val="24"/>
        </w:rPr>
        <w:t>Lancet</w:t>
      </w:r>
      <w:r w:rsidRPr="001A1C1C">
        <w:rPr>
          <w:rFonts w:ascii="Calibri" w:hAnsi="Calibri" w:cs="Calibri"/>
          <w:noProof/>
          <w:sz w:val="28"/>
          <w:szCs w:val="24"/>
        </w:rPr>
        <w:t>. 2019;393(10191):2599-2612. doi:10.1016/S0140-6736(19)30650-6</w:t>
      </w:r>
    </w:p>
    <w:p w14:paraId="61E0612C" w14:textId="77777777" w:rsidR="001A1C1C" w:rsidRPr="001A1C1C" w:rsidRDefault="001A1C1C" w:rsidP="001A1C1C">
      <w:pPr>
        <w:widowControl w:val="0"/>
        <w:autoSpaceDE w:val="0"/>
        <w:autoSpaceDN w:val="0"/>
        <w:adjustRightInd w:val="0"/>
        <w:ind w:left="640" w:hanging="640"/>
        <w:rPr>
          <w:rFonts w:ascii="Calibri" w:hAnsi="Calibri" w:cs="Calibri"/>
          <w:noProof/>
          <w:sz w:val="28"/>
          <w:szCs w:val="24"/>
        </w:rPr>
      </w:pPr>
      <w:r w:rsidRPr="001A1C1C">
        <w:rPr>
          <w:rFonts w:ascii="Calibri" w:hAnsi="Calibri" w:cs="Calibri"/>
          <w:noProof/>
          <w:sz w:val="28"/>
          <w:szCs w:val="24"/>
        </w:rPr>
        <w:t xml:space="preserve">13. </w:t>
      </w:r>
      <w:r w:rsidRPr="001A1C1C">
        <w:rPr>
          <w:rFonts w:ascii="Calibri" w:hAnsi="Calibri" w:cs="Calibri"/>
          <w:noProof/>
          <w:sz w:val="28"/>
          <w:szCs w:val="24"/>
        </w:rPr>
        <w:tab/>
        <w:t xml:space="preserve">Pivot X, Romieu G, Debled M, al.  et. 6 months versus 12 months of adjuvant trastuzumab for patients with HER2-positive early breast cancer (PHARE): a randomised phase 3 trial. </w:t>
      </w:r>
      <w:r w:rsidRPr="001A1C1C">
        <w:rPr>
          <w:rFonts w:ascii="Calibri" w:hAnsi="Calibri" w:cs="Calibri"/>
          <w:i/>
          <w:iCs/>
          <w:noProof/>
          <w:sz w:val="28"/>
          <w:szCs w:val="24"/>
        </w:rPr>
        <w:t>Lancet Oncol</w:t>
      </w:r>
      <w:r w:rsidRPr="001A1C1C">
        <w:rPr>
          <w:rFonts w:ascii="Calibri" w:hAnsi="Calibri" w:cs="Calibri"/>
          <w:noProof/>
          <w:sz w:val="28"/>
          <w:szCs w:val="24"/>
        </w:rPr>
        <w:t>. 2013;14:741-748.</w:t>
      </w:r>
    </w:p>
    <w:p w14:paraId="77FCB856" w14:textId="77777777" w:rsidR="001A1C1C" w:rsidRPr="001A1C1C" w:rsidRDefault="001A1C1C" w:rsidP="001A1C1C">
      <w:pPr>
        <w:widowControl w:val="0"/>
        <w:autoSpaceDE w:val="0"/>
        <w:autoSpaceDN w:val="0"/>
        <w:adjustRightInd w:val="0"/>
        <w:ind w:left="640" w:hanging="640"/>
        <w:rPr>
          <w:rFonts w:ascii="Calibri" w:hAnsi="Calibri" w:cs="Calibri"/>
          <w:noProof/>
          <w:sz w:val="28"/>
          <w:szCs w:val="24"/>
        </w:rPr>
      </w:pPr>
      <w:r w:rsidRPr="001A1C1C">
        <w:rPr>
          <w:rFonts w:ascii="Calibri" w:hAnsi="Calibri" w:cs="Calibri"/>
          <w:noProof/>
          <w:sz w:val="28"/>
          <w:szCs w:val="24"/>
        </w:rPr>
        <w:t xml:space="preserve">14. </w:t>
      </w:r>
      <w:r w:rsidRPr="001A1C1C">
        <w:rPr>
          <w:rFonts w:ascii="Calibri" w:hAnsi="Calibri" w:cs="Calibri"/>
          <w:noProof/>
          <w:sz w:val="28"/>
          <w:szCs w:val="24"/>
        </w:rPr>
        <w:tab/>
        <w:t xml:space="preserve">Pivot X, Romieu G, Debled M, et al. 6 months versus 12 months of adjuvant trastuzumab in early breast cancer (PHARE): final analysis of a multicentre, open-label, phase 3 randomised trial. </w:t>
      </w:r>
      <w:r w:rsidRPr="001A1C1C">
        <w:rPr>
          <w:rFonts w:ascii="Calibri" w:hAnsi="Calibri" w:cs="Calibri"/>
          <w:i/>
          <w:iCs/>
          <w:noProof/>
          <w:sz w:val="28"/>
          <w:szCs w:val="24"/>
        </w:rPr>
        <w:t>Lancet</w:t>
      </w:r>
      <w:r w:rsidRPr="001A1C1C">
        <w:rPr>
          <w:rFonts w:ascii="Calibri" w:hAnsi="Calibri" w:cs="Calibri"/>
          <w:noProof/>
          <w:sz w:val="28"/>
          <w:szCs w:val="24"/>
        </w:rPr>
        <w:t>. 2019;393(10191):2591-2598. doi:10.1016/S0140-6736(19)30653-1</w:t>
      </w:r>
    </w:p>
    <w:p w14:paraId="3538B5E7" w14:textId="77777777" w:rsidR="001A1C1C" w:rsidRPr="001A1C1C" w:rsidRDefault="001A1C1C" w:rsidP="001A1C1C">
      <w:pPr>
        <w:widowControl w:val="0"/>
        <w:autoSpaceDE w:val="0"/>
        <w:autoSpaceDN w:val="0"/>
        <w:adjustRightInd w:val="0"/>
        <w:ind w:left="640" w:hanging="640"/>
        <w:rPr>
          <w:rFonts w:ascii="Calibri" w:hAnsi="Calibri" w:cs="Calibri"/>
          <w:noProof/>
          <w:sz w:val="28"/>
          <w:szCs w:val="24"/>
        </w:rPr>
      </w:pPr>
      <w:r w:rsidRPr="001A1C1C">
        <w:rPr>
          <w:rFonts w:ascii="Calibri" w:hAnsi="Calibri" w:cs="Calibri"/>
          <w:noProof/>
          <w:sz w:val="28"/>
          <w:szCs w:val="24"/>
        </w:rPr>
        <w:t xml:space="preserve">15. </w:t>
      </w:r>
      <w:r w:rsidRPr="001A1C1C">
        <w:rPr>
          <w:rFonts w:ascii="Calibri" w:hAnsi="Calibri" w:cs="Calibri"/>
          <w:noProof/>
          <w:sz w:val="28"/>
          <w:szCs w:val="24"/>
        </w:rPr>
        <w:tab/>
        <w:t xml:space="preserve">Borchmann P, Goergen H, Kobe C, et al. PET-guided treatment in patients with advanced-stage Hodgkin’s lymphoma (HD18): final results of an open-label, international, randomised phase 3 trial by the German Hodgkin Study Group. </w:t>
      </w:r>
      <w:r w:rsidRPr="001A1C1C">
        <w:rPr>
          <w:rFonts w:ascii="Calibri" w:hAnsi="Calibri" w:cs="Calibri"/>
          <w:i/>
          <w:iCs/>
          <w:noProof/>
          <w:sz w:val="28"/>
          <w:szCs w:val="24"/>
        </w:rPr>
        <w:t>Lancet</w:t>
      </w:r>
      <w:r w:rsidRPr="001A1C1C">
        <w:rPr>
          <w:rFonts w:ascii="Calibri" w:hAnsi="Calibri" w:cs="Calibri"/>
          <w:noProof/>
          <w:sz w:val="28"/>
          <w:szCs w:val="24"/>
        </w:rPr>
        <w:t>. 2017;390(10114):2790-2802. doi:10.1016/S0140-6736(17)32134-7</w:t>
      </w:r>
    </w:p>
    <w:p w14:paraId="5BA71FBB" w14:textId="77777777" w:rsidR="001A1C1C" w:rsidRPr="001A1C1C" w:rsidRDefault="001A1C1C" w:rsidP="001A1C1C">
      <w:pPr>
        <w:widowControl w:val="0"/>
        <w:autoSpaceDE w:val="0"/>
        <w:autoSpaceDN w:val="0"/>
        <w:adjustRightInd w:val="0"/>
        <w:ind w:left="640" w:hanging="640"/>
        <w:rPr>
          <w:rFonts w:ascii="Calibri" w:hAnsi="Calibri" w:cs="Calibri"/>
          <w:noProof/>
          <w:sz w:val="28"/>
          <w:szCs w:val="24"/>
        </w:rPr>
      </w:pPr>
      <w:r w:rsidRPr="001A1C1C">
        <w:rPr>
          <w:rFonts w:ascii="Calibri" w:hAnsi="Calibri" w:cs="Calibri"/>
          <w:noProof/>
          <w:sz w:val="28"/>
          <w:szCs w:val="24"/>
        </w:rPr>
        <w:t xml:space="preserve">16. </w:t>
      </w:r>
      <w:r w:rsidRPr="001A1C1C">
        <w:rPr>
          <w:rFonts w:ascii="Calibri" w:hAnsi="Calibri" w:cs="Calibri"/>
          <w:noProof/>
          <w:sz w:val="28"/>
          <w:szCs w:val="24"/>
        </w:rPr>
        <w:tab/>
        <w:t xml:space="preserve">Mehanna H, Robinson M, Hartley A, et al. Radiotherapy plus cisplatin or cetuximab in low-risk human papillomavirus-positive oropharyngeal cancer (De-ESCALaTE HPV): an open-label randomised controlled phase 3 trial. </w:t>
      </w:r>
      <w:r w:rsidRPr="001A1C1C">
        <w:rPr>
          <w:rFonts w:ascii="Calibri" w:hAnsi="Calibri" w:cs="Calibri"/>
          <w:i/>
          <w:iCs/>
          <w:noProof/>
          <w:sz w:val="28"/>
          <w:szCs w:val="24"/>
        </w:rPr>
        <w:t>Lancet (London, England)</w:t>
      </w:r>
      <w:r w:rsidRPr="001A1C1C">
        <w:rPr>
          <w:rFonts w:ascii="Calibri" w:hAnsi="Calibri" w:cs="Calibri"/>
          <w:noProof/>
          <w:sz w:val="28"/>
          <w:szCs w:val="24"/>
        </w:rPr>
        <w:t>. 2019;393(10166):51-60. doi:10.1016/S0140-6736(18)32752-1</w:t>
      </w:r>
    </w:p>
    <w:p w14:paraId="35792758" w14:textId="77777777" w:rsidR="001A1C1C" w:rsidRPr="001A1C1C" w:rsidRDefault="001A1C1C" w:rsidP="001A1C1C">
      <w:pPr>
        <w:widowControl w:val="0"/>
        <w:autoSpaceDE w:val="0"/>
        <w:autoSpaceDN w:val="0"/>
        <w:adjustRightInd w:val="0"/>
        <w:ind w:left="640" w:hanging="640"/>
        <w:rPr>
          <w:rFonts w:ascii="Calibri" w:hAnsi="Calibri" w:cs="Calibri"/>
          <w:noProof/>
          <w:sz w:val="28"/>
          <w:szCs w:val="24"/>
        </w:rPr>
      </w:pPr>
      <w:r w:rsidRPr="001A1C1C">
        <w:rPr>
          <w:rFonts w:ascii="Calibri" w:hAnsi="Calibri" w:cs="Calibri"/>
          <w:noProof/>
          <w:sz w:val="28"/>
          <w:szCs w:val="24"/>
        </w:rPr>
        <w:t xml:space="preserve">17. </w:t>
      </w:r>
      <w:r w:rsidRPr="001A1C1C">
        <w:rPr>
          <w:rFonts w:ascii="Calibri" w:hAnsi="Calibri" w:cs="Calibri"/>
          <w:noProof/>
          <w:sz w:val="28"/>
          <w:szCs w:val="24"/>
        </w:rPr>
        <w:tab/>
        <w:t xml:space="preserve">Gillison ML, Trotti AM, Harris J, et al. Radiotherapy plus cetuximab or cisplatin in human papillomavirus-positive oropharyngeal cancer (NRG Oncology RTOG 1016): a randomised, multicentre, non-inferiority trial. </w:t>
      </w:r>
      <w:r w:rsidRPr="001A1C1C">
        <w:rPr>
          <w:rFonts w:ascii="Calibri" w:hAnsi="Calibri" w:cs="Calibri"/>
          <w:i/>
          <w:iCs/>
          <w:noProof/>
          <w:sz w:val="28"/>
          <w:szCs w:val="24"/>
        </w:rPr>
        <w:t>Lancet</w:t>
      </w:r>
      <w:r w:rsidRPr="001A1C1C">
        <w:rPr>
          <w:rFonts w:ascii="Calibri" w:hAnsi="Calibri" w:cs="Calibri"/>
          <w:noProof/>
          <w:sz w:val="28"/>
          <w:szCs w:val="24"/>
        </w:rPr>
        <w:t>. 2019;393(10166):40-50. doi:10.1016/S0140-6736(18)32779-X</w:t>
      </w:r>
    </w:p>
    <w:p w14:paraId="03E72FB7" w14:textId="77777777" w:rsidR="001A1C1C" w:rsidRPr="001A1C1C" w:rsidRDefault="001A1C1C" w:rsidP="001A1C1C">
      <w:pPr>
        <w:widowControl w:val="0"/>
        <w:autoSpaceDE w:val="0"/>
        <w:autoSpaceDN w:val="0"/>
        <w:adjustRightInd w:val="0"/>
        <w:ind w:left="640" w:hanging="640"/>
        <w:rPr>
          <w:rFonts w:ascii="Calibri" w:hAnsi="Calibri" w:cs="Calibri"/>
          <w:noProof/>
          <w:sz w:val="28"/>
          <w:szCs w:val="24"/>
        </w:rPr>
      </w:pPr>
      <w:r w:rsidRPr="001A1C1C">
        <w:rPr>
          <w:rFonts w:ascii="Calibri" w:hAnsi="Calibri" w:cs="Calibri"/>
          <w:noProof/>
          <w:sz w:val="28"/>
          <w:szCs w:val="24"/>
        </w:rPr>
        <w:t xml:space="preserve">18. </w:t>
      </w:r>
      <w:r w:rsidRPr="001A1C1C">
        <w:rPr>
          <w:rFonts w:ascii="Calibri" w:hAnsi="Calibri" w:cs="Calibri"/>
          <w:noProof/>
          <w:sz w:val="28"/>
          <w:szCs w:val="24"/>
        </w:rPr>
        <w:tab/>
        <w:t xml:space="preserve">Tolaney S, Barry W, Dang C, al.  et. Adjuvant paclitaxel and trastuzumab for node-negative, HER2-positive breast cancer. </w:t>
      </w:r>
      <w:r w:rsidRPr="001A1C1C">
        <w:rPr>
          <w:rFonts w:ascii="Calibri" w:hAnsi="Calibri" w:cs="Calibri"/>
          <w:i/>
          <w:iCs/>
          <w:noProof/>
          <w:sz w:val="28"/>
          <w:szCs w:val="24"/>
        </w:rPr>
        <w:t>N Engl J Med</w:t>
      </w:r>
      <w:r w:rsidRPr="001A1C1C">
        <w:rPr>
          <w:rFonts w:ascii="Calibri" w:hAnsi="Calibri" w:cs="Calibri"/>
          <w:noProof/>
          <w:sz w:val="28"/>
          <w:szCs w:val="24"/>
        </w:rPr>
        <w:t>. 2015;372:134-141.</w:t>
      </w:r>
    </w:p>
    <w:p w14:paraId="571E43AA" w14:textId="77777777" w:rsidR="001A1C1C" w:rsidRPr="001A1C1C" w:rsidRDefault="001A1C1C" w:rsidP="001A1C1C">
      <w:pPr>
        <w:widowControl w:val="0"/>
        <w:autoSpaceDE w:val="0"/>
        <w:autoSpaceDN w:val="0"/>
        <w:adjustRightInd w:val="0"/>
        <w:ind w:left="640" w:hanging="640"/>
        <w:rPr>
          <w:rFonts w:ascii="Calibri" w:hAnsi="Calibri" w:cs="Calibri"/>
          <w:noProof/>
          <w:sz w:val="28"/>
          <w:szCs w:val="24"/>
        </w:rPr>
      </w:pPr>
      <w:r w:rsidRPr="001A1C1C">
        <w:rPr>
          <w:rFonts w:ascii="Calibri" w:hAnsi="Calibri" w:cs="Calibri"/>
          <w:noProof/>
          <w:sz w:val="28"/>
          <w:szCs w:val="24"/>
        </w:rPr>
        <w:t xml:space="preserve">19. </w:t>
      </w:r>
      <w:r w:rsidRPr="001A1C1C">
        <w:rPr>
          <w:rFonts w:ascii="Calibri" w:hAnsi="Calibri" w:cs="Calibri"/>
          <w:noProof/>
          <w:sz w:val="28"/>
          <w:szCs w:val="24"/>
        </w:rPr>
        <w:tab/>
        <w:t xml:space="preserve">Tolaney SM, Guo H, Pernas S, et al. Seven-year follow-up analysis of adjuvant paclitaxel and trastuzumab trial for node-negative, human epidermal growth factor receptor 2–positive breast cancer. In: </w:t>
      </w:r>
      <w:r w:rsidRPr="001A1C1C">
        <w:rPr>
          <w:rFonts w:ascii="Calibri" w:hAnsi="Calibri" w:cs="Calibri"/>
          <w:i/>
          <w:iCs/>
          <w:noProof/>
          <w:sz w:val="28"/>
          <w:szCs w:val="24"/>
        </w:rPr>
        <w:t>Journal of Clinical Oncology</w:t>
      </w:r>
      <w:r w:rsidRPr="001A1C1C">
        <w:rPr>
          <w:rFonts w:ascii="Calibri" w:hAnsi="Calibri" w:cs="Calibri"/>
          <w:noProof/>
          <w:sz w:val="28"/>
          <w:szCs w:val="24"/>
        </w:rPr>
        <w:t>. Vol 37. American Society of Clinical Oncology; 2019:1868-1875. doi:10.1200/JCO.19.00066</w:t>
      </w:r>
    </w:p>
    <w:p w14:paraId="3F16B5D6" w14:textId="77777777" w:rsidR="001A1C1C" w:rsidRPr="001A1C1C" w:rsidRDefault="001A1C1C" w:rsidP="001A1C1C">
      <w:pPr>
        <w:widowControl w:val="0"/>
        <w:autoSpaceDE w:val="0"/>
        <w:autoSpaceDN w:val="0"/>
        <w:adjustRightInd w:val="0"/>
        <w:ind w:left="640" w:hanging="640"/>
        <w:rPr>
          <w:rFonts w:ascii="Calibri" w:hAnsi="Calibri" w:cs="Calibri"/>
          <w:noProof/>
          <w:sz w:val="28"/>
          <w:szCs w:val="24"/>
        </w:rPr>
      </w:pPr>
      <w:r w:rsidRPr="001A1C1C">
        <w:rPr>
          <w:rFonts w:ascii="Calibri" w:hAnsi="Calibri" w:cs="Calibri"/>
          <w:noProof/>
          <w:sz w:val="28"/>
          <w:szCs w:val="24"/>
        </w:rPr>
        <w:t xml:space="preserve">20. </w:t>
      </w:r>
      <w:r w:rsidRPr="001A1C1C">
        <w:rPr>
          <w:rFonts w:ascii="Calibri" w:hAnsi="Calibri" w:cs="Calibri"/>
          <w:noProof/>
          <w:sz w:val="28"/>
          <w:szCs w:val="24"/>
        </w:rPr>
        <w:tab/>
        <w:t xml:space="preserve">Ras-dependent MDA, Veer LJ Van, Dai H, et al. Gene expression pro ® ling </w:t>
      </w:r>
      <w:r w:rsidRPr="001A1C1C">
        <w:rPr>
          <w:rFonts w:ascii="Calibri" w:hAnsi="Calibri" w:cs="Calibri"/>
          <w:noProof/>
          <w:sz w:val="28"/>
          <w:szCs w:val="24"/>
        </w:rPr>
        <w:lastRenderedPageBreak/>
        <w:t>predicts clinical outcome of breast cancer. 2002;415(345).</w:t>
      </w:r>
    </w:p>
    <w:p w14:paraId="654AADDA" w14:textId="77777777" w:rsidR="001A1C1C" w:rsidRPr="001A1C1C" w:rsidRDefault="001A1C1C" w:rsidP="001A1C1C">
      <w:pPr>
        <w:widowControl w:val="0"/>
        <w:autoSpaceDE w:val="0"/>
        <w:autoSpaceDN w:val="0"/>
        <w:adjustRightInd w:val="0"/>
        <w:ind w:left="640" w:hanging="640"/>
        <w:rPr>
          <w:rFonts w:ascii="Calibri" w:hAnsi="Calibri" w:cs="Calibri"/>
          <w:noProof/>
          <w:sz w:val="28"/>
          <w:szCs w:val="24"/>
        </w:rPr>
      </w:pPr>
      <w:r w:rsidRPr="001A1C1C">
        <w:rPr>
          <w:rFonts w:ascii="Calibri" w:hAnsi="Calibri" w:cs="Calibri"/>
          <w:noProof/>
          <w:sz w:val="28"/>
          <w:szCs w:val="24"/>
        </w:rPr>
        <w:t xml:space="preserve">21. </w:t>
      </w:r>
      <w:r w:rsidRPr="001A1C1C">
        <w:rPr>
          <w:rFonts w:ascii="Calibri" w:hAnsi="Calibri" w:cs="Calibri"/>
          <w:noProof/>
          <w:sz w:val="28"/>
          <w:szCs w:val="24"/>
        </w:rPr>
        <w:tab/>
        <w:t xml:space="preserve">Paik S, Shak S, Tang G, et al. A Multigene Assay to Predict Recurrence of Tamoxifen-Treated, Node-Negative Breast Cancer. </w:t>
      </w:r>
      <w:r w:rsidRPr="001A1C1C">
        <w:rPr>
          <w:rFonts w:ascii="Calibri" w:hAnsi="Calibri" w:cs="Calibri"/>
          <w:i/>
          <w:iCs/>
          <w:noProof/>
          <w:sz w:val="28"/>
          <w:szCs w:val="24"/>
        </w:rPr>
        <w:t>N Engl J Med</w:t>
      </w:r>
      <w:r w:rsidRPr="001A1C1C">
        <w:rPr>
          <w:rFonts w:ascii="Calibri" w:hAnsi="Calibri" w:cs="Calibri"/>
          <w:noProof/>
          <w:sz w:val="28"/>
          <w:szCs w:val="24"/>
        </w:rPr>
        <w:t>. 2004;351(27):2817-2826. doi:10.1056/NEJMoa041588</w:t>
      </w:r>
    </w:p>
    <w:p w14:paraId="7CFC7F99" w14:textId="77777777" w:rsidR="001A1C1C" w:rsidRPr="001A1C1C" w:rsidRDefault="001A1C1C" w:rsidP="001A1C1C">
      <w:pPr>
        <w:widowControl w:val="0"/>
        <w:autoSpaceDE w:val="0"/>
        <w:autoSpaceDN w:val="0"/>
        <w:adjustRightInd w:val="0"/>
        <w:ind w:left="640" w:hanging="640"/>
        <w:rPr>
          <w:rFonts w:ascii="Calibri" w:hAnsi="Calibri" w:cs="Calibri"/>
          <w:noProof/>
          <w:sz w:val="28"/>
          <w:szCs w:val="24"/>
        </w:rPr>
      </w:pPr>
      <w:r w:rsidRPr="001A1C1C">
        <w:rPr>
          <w:rFonts w:ascii="Calibri" w:hAnsi="Calibri" w:cs="Calibri"/>
          <w:noProof/>
          <w:sz w:val="28"/>
          <w:szCs w:val="24"/>
        </w:rPr>
        <w:t xml:space="preserve">22. </w:t>
      </w:r>
      <w:r w:rsidRPr="001A1C1C">
        <w:rPr>
          <w:rFonts w:ascii="Calibri" w:hAnsi="Calibri" w:cs="Calibri"/>
          <w:noProof/>
          <w:sz w:val="28"/>
          <w:szCs w:val="24"/>
        </w:rPr>
        <w:tab/>
        <w:t xml:space="preserve">Cardoso F, Van’t Veer LJ, Bogaerts J, et al. 70-Gene signature as an aid to treatment decisions in early-stage breast cancer. </w:t>
      </w:r>
      <w:r w:rsidRPr="001A1C1C">
        <w:rPr>
          <w:rFonts w:ascii="Calibri" w:hAnsi="Calibri" w:cs="Calibri"/>
          <w:i/>
          <w:iCs/>
          <w:noProof/>
          <w:sz w:val="28"/>
          <w:szCs w:val="24"/>
        </w:rPr>
        <w:t>N Engl J Med</w:t>
      </w:r>
      <w:r w:rsidRPr="001A1C1C">
        <w:rPr>
          <w:rFonts w:ascii="Calibri" w:hAnsi="Calibri" w:cs="Calibri"/>
          <w:noProof/>
          <w:sz w:val="28"/>
          <w:szCs w:val="24"/>
        </w:rPr>
        <w:t>. 2016;375(8):717-729. doi:10.1056/NEJMoa1602253</w:t>
      </w:r>
    </w:p>
    <w:p w14:paraId="7DB81700" w14:textId="77777777" w:rsidR="001A1C1C" w:rsidRPr="001A1C1C" w:rsidRDefault="001A1C1C" w:rsidP="001A1C1C">
      <w:pPr>
        <w:widowControl w:val="0"/>
        <w:autoSpaceDE w:val="0"/>
        <w:autoSpaceDN w:val="0"/>
        <w:adjustRightInd w:val="0"/>
        <w:ind w:left="640" w:hanging="640"/>
        <w:rPr>
          <w:rFonts w:ascii="Calibri" w:hAnsi="Calibri" w:cs="Calibri"/>
          <w:noProof/>
          <w:sz w:val="28"/>
          <w:szCs w:val="24"/>
        </w:rPr>
      </w:pPr>
      <w:r w:rsidRPr="001A1C1C">
        <w:rPr>
          <w:rFonts w:ascii="Calibri" w:hAnsi="Calibri" w:cs="Calibri"/>
          <w:noProof/>
          <w:sz w:val="28"/>
          <w:szCs w:val="24"/>
        </w:rPr>
        <w:t xml:space="preserve">23. </w:t>
      </w:r>
      <w:r w:rsidRPr="001A1C1C">
        <w:rPr>
          <w:rFonts w:ascii="Calibri" w:hAnsi="Calibri" w:cs="Calibri"/>
          <w:noProof/>
          <w:sz w:val="28"/>
          <w:szCs w:val="24"/>
        </w:rPr>
        <w:tab/>
        <w:t xml:space="preserve">Sparano JA, Gray RJ, Makower DF, et al. Adjuvant chemotherapy guided by a 21-gene expression assay in breast cancer. </w:t>
      </w:r>
      <w:r w:rsidRPr="001A1C1C">
        <w:rPr>
          <w:rFonts w:ascii="Calibri" w:hAnsi="Calibri" w:cs="Calibri"/>
          <w:i/>
          <w:iCs/>
          <w:noProof/>
          <w:sz w:val="28"/>
          <w:szCs w:val="24"/>
        </w:rPr>
        <w:t>N Engl J Med</w:t>
      </w:r>
      <w:r w:rsidRPr="001A1C1C">
        <w:rPr>
          <w:rFonts w:ascii="Calibri" w:hAnsi="Calibri" w:cs="Calibri"/>
          <w:noProof/>
          <w:sz w:val="28"/>
          <w:szCs w:val="24"/>
        </w:rPr>
        <w:t>. 2018;379(2):111-121. doi:10.1056/NEJMoa1804710</w:t>
      </w:r>
    </w:p>
    <w:p w14:paraId="1A57561C" w14:textId="77777777" w:rsidR="001A1C1C" w:rsidRPr="001A1C1C" w:rsidRDefault="001A1C1C" w:rsidP="001A1C1C">
      <w:pPr>
        <w:widowControl w:val="0"/>
        <w:autoSpaceDE w:val="0"/>
        <w:autoSpaceDN w:val="0"/>
        <w:adjustRightInd w:val="0"/>
        <w:ind w:left="640" w:hanging="640"/>
        <w:rPr>
          <w:rFonts w:ascii="Calibri" w:hAnsi="Calibri" w:cs="Calibri"/>
          <w:noProof/>
          <w:sz w:val="28"/>
          <w:szCs w:val="24"/>
        </w:rPr>
      </w:pPr>
      <w:r w:rsidRPr="001A1C1C">
        <w:rPr>
          <w:rFonts w:ascii="Calibri" w:hAnsi="Calibri" w:cs="Calibri"/>
          <w:noProof/>
          <w:sz w:val="28"/>
          <w:szCs w:val="24"/>
        </w:rPr>
        <w:t xml:space="preserve">24. </w:t>
      </w:r>
      <w:r w:rsidRPr="001A1C1C">
        <w:rPr>
          <w:rFonts w:ascii="Calibri" w:hAnsi="Calibri" w:cs="Calibri"/>
          <w:noProof/>
          <w:sz w:val="28"/>
          <w:szCs w:val="24"/>
        </w:rPr>
        <w:tab/>
        <w:t xml:space="preserve">Petkov VI, Kurian AW, Jakubowski DM, Shak S. Abstract P3-07-01: Breast cancer-specific mortality (BCSM) in patients age 50 years or younger with node-positive (N+) breast cancer (BC) treated based on the 21-gene assay in clinical practice. </w:t>
      </w:r>
      <w:r w:rsidRPr="001A1C1C">
        <w:rPr>
          <w:rFonts w:ascii="Calibri" w:hAnsi="Calibri" w:cs="Calibri"/>
          <w:i/>
          <w:iCs/>
          <w:noProof/>
          <w:sz w:val="28"/>
          <w:szCs w:val="24"/>
        </w:rPr>
        <w:t>Cancer Res</w:t>
      </w:r>
      <w:r w:rsidRPr="001A1C1C">
        <w:rPr>
          <w:rFonts w:ascii="Calibri" w:hAnsi="Calibri" w:cs="Calibri"/>
          <w:noProof/>
          <w:sz w:val="28"/>
          <w:szCs w:val="24"/>
        </w:rPr>
        <w:t>. 2020;80(4 Supplement):P3-07-01 LP-P3-07-01. doi:10.1158/1538-7445.SABCS19-P3-07-01</w:t>
      </w:r>
    </w:p>
    <w:p w14:paraId="238F346F" w14:textId="77777777" w:rsidR="001A1C1C" w:rsidRPr="001A1C1C" w:rsidRDefault="001A1C1C" w:rsidP="001A1C1C">
      <w:pPr>
        <w:widowControl w:val="0"/>
        <w:autoSpaceDE w:val="0"/>
        <w:autoSpaceDN w:val="0"/>
        <w:adjustRightInd w:val="0"/>
        <w:ind w:left="640" w:hanging="640"/>
        <w:rPr>
          <w:rFonts w:ascii="Calibri" w:hAnsi="Calibri" w:cs="Calibri"/>
          <w:noProof/>
          <w:sz w:val="28"/>
          <w:szCs w:val="24"/>
        </w:rPr>
      </w:pPr>
      <w:r w:rsidRPr="001A1C1C">
        <w:rPr>
          <w:rFonts w:ascii="Calibri" w:hAnsi="Calibri" w:cs="Calibri"/>
          <w:noProof/>
          <w:sz w:val="28"/>
          <w:szCs w:val="24"/>
        </w:rPr>
        <w:t xml:space="preserve">25. </w:t>
      </w:r>
      <w:r w:rsidRPr="001A1C1C">
        <w:rPr>
          <w:rFonts w:ascii="Calibri" w:hAnsi="Calibri" w:cs="Calibri"/>
          <w:noProof/>
          <w:sz w:val="28"/>
          <w:szCs w:val="24"/>
        </w:rPr>
        <w:tab/>
        <w:t xml:space="preserve">Cardoso F, van ’t Veer L, Poncet C, et al. MINDACT: Long-term results of the large prospective trial testing the 70-gene signature MammaPrint as guidance for adjuvant chemotherapy in breast cancer patients. </w:t>
      </w:r>
      <w:r w:rsidRPr="001A1C1C">
        <w:rPr>
          <w:rFonts w:ascii="Calibri" w:hAnsi="Calibri" w:cs="Calibri"/>
          <w:i/>
          <w:iCs/>
          <w:noProof/>
          <w:sz w:val="28"/>
          <w:szCs w:val="24"/>
        </w:rPr>
        <w:t>J Clin Oncol</w:t>
      </w:r>
      <w:r w:rsidRPr="001A1C1C">
        <w:rPr>
          <w:rFonts w:ascii="Calibri" w:hAnsi="Calibri" w:cs="Calibri"/>
          <w:noProof/>
          <w:sz w:val="28"/>
          <w:szCs w:val="24"/>
        </w:rPr>
        <w:t>. 2020;38(15_suppl):506-506. doi:10.1200/jco.2020.38.15_suppl.506</w:t>
      </w:r>
    </w:p>
    <w:p w14:paraId="47DB4C02" w14:textId="77777777" w:rsidR="001A1C1C" w:rsidRPr="001A1C1C" w:rsidRDefault="001A1C1C" w:rsidP="001A1C1C">
      <w:pPr>
        <w:widowControl w:val="0"/>
        <w:autoSpaceDE w:val="0"/>
        <w:autoSpaceDN w:val="0"/>
        <w:adjustRightInd w:val="0"/>
        <w:ind w:left="640" w:hanging="640"/>
        <w:rPr>
          <w:rFonts w:ascii="Calibri" w:hAnsi="Calibri" w:cs="Calibri"/>
          <w:noProof/>
          <w:sz w:val="28"/>
          <w:szCs w:val="24"/>
        </w:rPr>
      </w:pPr>
      <w:r w:rsidRPr="001A1C1C">
        <w:rPr>
          <w:rFonts w:ascii="Calibri" w:hAnsi="Calibri" w:cs="Calibri"/>
          <w:noProof/>
          <w:sz w:val="28"/>
          <w:szCs w:val="24"/>
        </w:rPr>
        <w:t xml:space="preserve">26. </w:t>
      </w:r>
      <w:r w:rsidRPr="001A1C1C">
        <w:rPr>
          <w:rFonts w:ascii="Calibri" w:hAnsi="Calibri" w:cs="Calibri"/>
          <w:noProof/>
          <w:sz w:val="28"/>
          <w:szCs w:val="24"/>
        </w:rPr>
        <w:tab/>
        <w:t xml:space="preserve">Bhattacharya IS, Kirby AM, Bliss JM, Coles CE. Can Interrogation of Tumour Characteristics Lead us to Safely Omit Adjuvant Radiotherapy in Patients with Early Breast Cancer ? Statement of Search Strategies Used and Sources of Information What are the Factors Contributing to the What are the Bene fi ts. </w:t>
      </w:r>
      <w:r w:rsidRPr="001A1C1C">
        <w:rPr>
          <w:rFonts w:ascii="Calibri" w:hAnsi="Calibri" w:cs="Calibri"/>
          <w:i/>
          <w:iCs/>
          <w:noProof/>
          <w:sz w:val="28"/>
          <w:szCs w:val="24"/>
        </w:rPr>
        <w:t>Clin Oncol</w:t>
      </w:r>
      <w:r w:rsidRPr="001A1C1C">
        <w:rPr>
          <w:rFonts w:ascii="Calibri" w:hAnsi="Calibri" w:cs="Calibri"/>
          <w:noProof/>
          <w:sz w:val="28"/>
          <w:szCs w:val="24"/>
        </w:rPr>
        <w:t>. 2018;30(3):158-165. doi:10.1016/j.clon.2017.12.022</w:t>
      </w:r>
    </w:p>
    <w:p w14:paraId="42FFBFB8" w14:textId="77777777" w:rsidR="001A1C1C" w:rsidRPr="001A1C1C" w:rsidRDefault="001A1C1C" w:rsidP="001A1C1C">
      <w:pPr>
        <w:widowControl w:val="0"/>
        <w:autoSpaceDE w:val="0"/>
        <w:autoSpaceDN w:val="0"/>
        <w:adjustRightInd w:val="0"/>
        <w:ind w:left="640" w:hanging="640"/>
        <w:rPr>
          <w:rFonts w:ascii="Calibri" w:hAnsi="Calibri" w:cs="Calibri"/>
          <w:noProof/>
          <w:sz w:val="28"/>
          <w:szCs w:val="24"/>
        </w:rPr>
      </w:pPr>
      <w:r w:rsidRPr="001A1C1C">
        <w:rPr>
          <w:rFonts w:ascii="Calibri" w:hAnsi="Calibri" w:cs="Calibri"/>
          <w:noProof/>
          <w:sz w:val="28"/>
          <w:szCs w:val="24"/>
        </w:rPr>
        <w:t xml:space="preserve">27. </w:t>
      </w:r>
      <w:r w:rsidRPr="001A1C1C">
        <w:rPr>
          <w:rFonts w:ascii="Calibri" w:hAnsi="Calibri" w:cs="Calibri"/>
          <w:noProof/>
          <w:sz w:val="28"/>
          <w:szCs w:val="24"/>
        </w:rPr>
        <w:tab/>
        <w:t xml:space="preserve">D’Agostino RB, Massaro JM, Sullivan LM. Non-inferiority trials: Design concepts and issues - The encounters of academic consultants in statistics. </w:t>
      </w:r>
      <w:r w:rsidRPr="001A1C1C">
        <w:rPr>
          <w:rFonts w:ascii="Calibri" w:hAnsi="Calibri" w:cs="Calibri"/>
          <w:i/>
          <w:iCs/>
          <w:noProof/>
          <w:sz w:val="28"/>
          <w:szCs w:val="24"/>
        </w:rPr>
        <w:t>Stat Med</w:t>
      </w:r>
      <w:r w:rsidRPr="001A1C1C">
        <w:rPr>
          <w:rFonts w:ascii="Calibri" w:hAnsi="Calibri" w:cs="Calibri"/>
          <w:noProof/>
          <w:sz w:val="28"/>
          <w:szCs w:val="24"/>
        </w:rPr>
        <w:t>. 2003;22(2):169-186. doi:10.1002/sim.1425</w:t>
      </w:r>
    </w:p>
    <w:p w14:paraId="686ACB43" w14:textId="77777777" w:rsidR="001A1C1C" w:rsidRPr="001A1C1C" w:rsidRDefault="001A1C1C" w:rsidP="001A1C1C">
      <w:pPr>
        <w:widowControl w:val="0"/>
        <w:autoSpaceDE w:val="0"/>
        <w:autoSpaceDN w:val="0"/>
        <w:adjustRightInd w:val="0"/>
        <w:ind w:left="640" w:hanging="640"/>
        <w:rPr>
          <w:rFonts w:ascii="Calibri" w:hAnsi="Calibri" w:cs="Calibri"/>
          <w:noProof/>
          <w:sz w:val="28"/>
          <w:szCs w:val="24"/>
        </w:rPr>
      </w:pPr>
      <w:r w:rsidRPr="001A1C1C">
        <w:rPr>
          <w:rFonts w:ascii="Calibri" w:hAnsi="Calibri" w:cs="Calibri"/>
          <w:noProof/>
          <w:sz w:val="28"/>
          <w:szCs w:val="24"/>
        </w:rPr>
        <w:t xml:space="preserve">28. </w:t>
      </w:r>
      <w:r w:rsidRPr="001A1C1C">
        <w:rPr>
          <w:rFonts w:ascii="Calibri" w:hAnsi="Calibri" w:cs="Calibri"/>
          <w:noProof/>
          <w:sz w:val="28"/>
          <w:szCs w:val="24"/>
        </w:rPr>
        <w:tab/>
        <w:t xml:space="preserve">Hudis C, Barlow W, Costantino J, al.  et. Proposal for standardized definitions for efficacy end points in adjuvant breast cancer trials: the STEEP system. </w:t>
      </w:r>
      <w:r w:rsidRPr="001A1C1C">
        <w:rPr>
          <w:rFonts w:ascii="Calibri" w:hAnsi="Calibri" w:cs="Calibri"/>
          <w:i/>
          <w:iCs/>
          <w:noProof/>
          <w:sz w:val="28"/>
          <w:szCs w:val="24"/>
        </w:rPr>
        <w:t>J Clin Oncol</w:t>
      </w:r>
      <w:r w:rsidRPr="001A1C1C">
        <w:rPr>
          <w:rFonts w:ascii="Calibri" w:hAnsi="Calibri" w:cs="Calibri"/>
          <w:noProof/>
          <w:sz w:val="28"/>
          <w:szCs w:val="24"/>
        </w:rPr>
        <w:t>. 2007;25:2127-2132.</w:t>
      </w:r>
    </w:p>
    <w:p w14:paraId="6404A5E0" w14:textId="77777777" w:rsidR="001A1C1C" w:rsidRPr="001A1C1C" w:rsidRDefault="001A1C1C" w:rsidP="001A1C1C">
      <w:pPr>
        <w:widowControl w:val="0"/>
        <w:autoSpaceDE w:val="0"/>
        <w:autoSpaceDN w:val="0"/>
        <w:adjustRightInd w:val="0"/>
        <w:ind w:left="640" w:hanging="640"/>
        <w:rPr>
          <w:rFonts w:ascii="Calibri" w:hAnsi="Calibri" w:cs="Calibri"/>
          <w:noProof/>
          <w:sz w:val="28"/>
          <w:szCs w:val="24"/>
        </w:rPr>
      </w:pPr>
      <w:r w:rsidRPr="001A1C1C">
        <w:rPr>
          <w:rFonts w:ascii="Calibri" w:hAnsi="Calibri" w:cs="Calibri"/>
          <w:noProof/>
          <w:sz w:val="28"/>
          <w:szCs w:val="24"/>
        </w:rPr>
        <w:t xml:space="preserve">29. </w:t>
      </w:r>
      <w:r w:rsidRPr="001A1C1C">
        <w:rPr>
          <w:rFonts w:ascii="Calibri" w:hAnsi="Calibri" w:cs="Calibri"/>
          <w:noProof/>
          <w:sz w:val="28"/>
          <w:szCs w:val="24"/>
        </w:rPr>
        <w:tab/>
        <w:t xml:space="preserve">Gourgou-Bourgade S, Cameron D, Poortmans P, et al. Guidelines for time-to-event end point definitions in breast cancer trials: Results of the DATECAN initiative (Definition for the Assessment of Time-to-event Endpoints in CANcer trials). </w:t>
      </w:r>
      <w:r w:rsidRPr="001A1C1C">
        <w:rPr>
          <w:rFonts w:ascii="Calibri" w:hAnsi="Calibri" w:cs="Calibri"/>
          <w:i/>
          <w:iCs/>
          <w:noProof/>
          <w:sz w:val="28"/>
          <w:szCs w:val="24"/>
        </w:rPr>
        <w:t>Ann Oncol</w:t>
      </w:r>
      <w:r w:rsidRPr="001A1C1C">
        <w:rPr>
          <w:rFonts w:ascii="Calibri" w:hAnsi="Calibri" w:cs="Calibri"/>
          <w:noProof/>
          <w:sz w:val="28"/>
          <w:szCs w:val="24"/>
        </w:rPr>
        <w:t>. 2015;26(5):873-879. doi:10.1093/annonc/mdv106</w:t>
      </w:r>
    </w:p>
    <w:p w14:paraId="215C68BB" w14:textId="77777777" w:rsidR="001A1C1C" w:rsidRPr="001A1C1C" w:rsidRDefault="001A1C1C" w:rsidP="001A1C1C">
      <w:pPr>
        <w:widowControl w:val="0"/>
        <w:autoSpaceDE w:val="0"/>
        <w:autoSpaceDN w:val="0"/>
        <w:adjustRightInd w:val="0"/>
        <w:ind w:left="640" w:hanging="640"/>
        <w:rPr>
          <w:rFonts w:ascii="Calibri" w:hAnsi="Calibri" w:cs="Calibri"/>
          <w:noProof/>
          <w:sz w:val="28"/>
          <w:szCs w:val="24"/>
        </w:rPr>
      </w:pPr>
      <w:r w:rsidRPr="001A1C1C">
        <w:rPr>
          <w:rFonts w:ascii="Calibri" w:hAnsi="Calibri" w:cs="Calibri"/>
          <w:noProof/>
          <w:sz w:val="28"/>
          <w:szCs w:val="24"/>
        </w:rPr>
        <w:t xml:space="preserve">30. </w:t>
      </w:r>
      <w:r w:rsidRPr="001A1C1C">
        <w:rPr>
          <w:rFonts w:ascii="Calibri" w:hAnsi="Calibri" w:cs="Calibri"/>
          <w:noProof/>
          <w:sz w:val="28"/>
          <w:szCs w:val="24"/>
        </w:rPr>
        <w:tab/>
        <w:t xml:space="preserve">Calvert M, Blazeby J, Altman DG, Revicki DA, Moher D, Brundage MD. Reporting of patient-reported outcomes in randomized trials: The CONSORT PRO extension. </w:t>
      </w:r>
      <w:r w:rsidRPr="001A1C1C">
        <w:rPr>
          <w:rFonts w:ascii="Calibri" w:hAnsi="Calibri" w:cs="Calibri"/>
          <w:i/>
          <w:iCs/>
          <w:noProof/>
          <w:sz w:val="28"/>
          <w:szCs w:val="24"/>
        </w:rPr>
        <w:t>JAMA - J Am Med Assoc</w:t>
      </w:r>
      <w:r w:rsidRPr="001A1C1C">
        <w:rPr>
          <w:rFonts w:ascii="Calibri" w:hAnsi="Calibri" w:cs="Calibri"/>
          <w:noProof/>
          <w:sz w:val="28"/>
          <w:szCs w:val="24"/>
        </w:rPr>
        <w:t xml:space="preserve">. 2013;309(8):814-822. </w:t>
      </w:r>
      <w:r w:rsidRPr="001A1C1C">
        <w:rPr>
          <w:rFonts w:ascii="Calibri" w:hAnsi="Calibri" w:cs="Calibri"/>
          <w:noProof/>
          <w:sz w:val="28"/>
          <w:szCs w:val="24"/>
        </w:rPr>
        <w:lastRenderedPageBreak/>
        <w:t>doi:10.1001/jama.2013.879</w:t>
      </w:r>
    </w:p>
    <w:p w14:paraId="712A860D" w14:textId="77777777" w:rsidR="001A1C1C" w:rsidRPr="001A1C1C" w:rsidRDefault="001A1C1C" w:rsidP="001A1C1C">
      <w:pPr>
        <w:widowControl w:val="0"/>
        <w:autoSpaceDE w:val="0"/>
        <w:autoSpaceDN w:val="0"/>
        <w:adjustRightInd w:val="0"/>
        <w:ind w:left="640" w:hanging="640"/>
        <w:rPr>
          <w:rFonts w:ascii="Calibri" w:hAnsi="Calibri" w:cs="Calibri"/>
          <w:noProof/>
          <w:sz w:val="28"/>
          <w:szCs w:val="24"/>
        </w:rPr>
      </w:pPr>
      <w:r w:rsidRPr="001A1C1C">
        <w:rPr>
          <w:rFonts w:ascii="Calibri" w:hAnsi="Calibri" w:cs="Calibri"/>
          <w:noProof/>
          <w:sz w:val="28"/>
          <w:szCs w:val="24"/>
        </w:rPr>
        <w:t xml:space="preserve">31. </w:t>
      </w:r>
      <w:r w:rsidRPr="001A1C1C">
        <w:rPr>
          <w:rFonts w:ascii="Calibri" w:hAnsi="Calibri" w:cs="Calibri"/>
          <w:noProof/>
          <w:sz w:val="28"/>
          <w:szCs w:val="24"/>
        </w:rPr>
        <w:tab/>
        <w:t xml:space="preserve">Calvert M, Kyte D, Mercieca-Bebber R, Slade A, Chan AW, King MT. Guidelines for inclusion of patient-reported outcomes in clinical trial protocols the spirit-pro extension. </w:t>
      </w:r>
      <w:r w:rsidRPr="001A1C1C">
        <w:rPr>
          <w:rFonts w:ascii="Calibri" w:hAnsi="Calibri" w:cs="Calibri"/>
          <w:i/>
          <w:iCs/>
          <w:noProof/>
          <w:sz w:val="28"/>
          <w:szCs w:val="24"/>
        </w:rPr>
        <w:t>JAMA - J Am Med Assoc</w:t>
      </w:r>
      <w:r w:rsidRPr="001A1C1C">
        <w:rPr>
          <w:rFonts w:ascii="Calibri" w:hAnsi="Calibri" w:cs="Calibri"/>
          <w:noProof/>
          <w:sz w:val="28"/>
          <w:szCs w:val="24"/>
        </w:rPr>
        <w:t>. 2018;319(5):483-494. doi:10.1001/jama.2017.21903</w:t>
      </w:r>
    </w:p>
    <w:p w14:paraId="0765A2CD" w14:textId="77777777" w:rsidR="001A1C1C" w:rsidRPr="001A1C1C" w:rsidRDefault="001A1C1C" w:rsidP="001A1C1C">
      <w:pPr>
        <w:widowControl w:val="0"/>
        <w:autoSpaceDE w:val="0"/>
        <w:autoSpaceDN w:val="0"/>
        <w:adjustRightInd w:val="0"/>
        <w:ind w:left="640" w:hanging="640"/>
        <w:rPr>
          <w:rFonts w:ascii="Calibri" w:hAnsi="Calibri" w:cs="Calibri"/>
          <w:noProof/>
          <w:sz w:val="28"/>
        </w:rPr>
      </w:pPr>
      <w:r w:rsidRPr="001A1C1C">
        <w:rPr>
          <w:rFonts w:ascii="Calibri" w:hAnsi="Calibri" w:cs="Calibri"/>
          <w:noProof/>
          <w:sz w:val="28"/>
          <w:szCs w:val="24"/>
        </w:rPr>
        <w:t xml:space="preserve">32. </w:t>
      </w:r>
      <w:r w:rsidRPr="001A1C1C">
        <w:rPr>
          <w:rFonts w:ascii="Calibri" w:hAnsi="Calibri" w:cs="Calibri"/>
          <w:noProof/>
          <w:sz w:val="28"/>
          <w:szCs w:val="24"/>
        </w:rPr>
        <w:tab/>
        <w:t xml:space="preserve">Coens C, Pe M, Dueck AC, et al. International standards for the analysis of quality-of-life and patient-reported outcome endpoints in cancer randomised controlled trials: recommendations of the SISAQOL Consortium. </w:t>
      </w:r>
      <w:r w:rsidRPr="001A1C1C">
        <w:rPr>
          <w:rFonts w:ascii="Calibri" w:hAnsi="Calibri" w:cs="Calibri"/>
          <w:i/>
          <w:iCs/>
          <w:noProof/>
          <w:sz w:val="28"/>
          <w:szCs w:val="24"/>
        </w:rPr>
        <w:t>Lancet Oncol</w:t>
      </w:r>
      <w:r w:rsidRPr="001A1C1C">
        <w:rPr>
          <w:rFonts w:ascii="Calibri" w:hAnsi="Calibri" w:cs="Calibri"/>
          <w:noProof/>
          <w:sz w:val="28"/>
          <w:szCs w:val="24"/>
        </w:rPr>
        <w:t>. 2020;21(2):e83-e96. doi:10.1016/S1470-2045(19)30790-9</w:t>
      </w:r>
    </w:p>
    <w:p w14:paraId="7D6E5217" w14:textId="10CB007E" w:rsidR="00A478CA" w:rsidRPr="00625A76" w:rsidRDefault="000D5E34" w:rsidP="00083C5D">
      <w:pPr>
        <w:rPr>
          <w:color w:val="000000" w:themeColor="text1"/>
          <w:sz w:val="28"/>
          <w:szCs w:val="28"/>
          <w:lang w:val="en-US"/>
        </w:rPr>
      </w:pPr>
      <w:r w:rsidRPr="00625A76">
        <w:rPr>
          <w:color w:val="000000" w:themeColor="text1"/>
          <w:sz w:val="28"/>
          <w:szCs w:val="28"/>
          <w:lang w:val="en-US"/>
        </w:rPr>
        <w:fldChar w:fldCharType="end"/>
      </w:r>
    </w:p>
    <w:p w14:paraId="56DEA00A" w14:textId="77777777" w:rsidR="00A478CA" w:rsidRPr="00625A76" w:rsidRDefault="00A478CA">
      <w:pPr>
        <w:rPr>
          <w:color w:val="000000" w:themeColor="text1"/>
          <w:sz w:val="28"/>
          <w:szCs w:val="28"/>
          <w:lang w:val="en-US"/>
        </w:rPr>
      </w:pPr>
      <w:r w:rsidRPr="00625A76">
        <w:rPr>
          <w:color w:val="000000" w:themeColor="text1"/>
          <w:sz w:val="28"/>
          <w:szCs w:val="28"/>
          <w:lang w:val="en-US"/>
        </w:rPr>
        <w:br w:type="page"/>
      </w:r>
    </w:p>
    <w:p w14:paraId="6C59174B" w14:textId="77777777" w:rsidR="00A478CA" w:rsidRPr="00625A76" w:rsidRDefault="00A478CA" w:rsidP="00A478CA">
      <w:pPr>
        <w:rPr>
          <w:color w:val="000000" w:themeColor="text1"/>
          <w:sz w:val="28"/>
          <w:szCs w:val="28"/>
          <w:lang w:val="en-US"/>
        </w:rPr>
      </w:pPr>
      <w:r w:rsidRPr="00625A76">
        <w:rPr>
          <w:color w:val="000000" w:themeColor="text1"/>
          <w:sz w:val="28"/>
          <w:szCs w:val="28"/>
          <w:lang w:val="en-US"/>
        </w:rPr>
        <w:lastRenderedPageBreak/>
        <w:t>Table 1</w:t>
      </w:r>
    </w:p>
    <w:tbl>
      <w:tblPr>
        <w:tblStyle w:val="TableGrid"/>
        <w:tblW w:w="9351" w:type="dxa"/>
        <w:tblLook w:val="04A0" w:firstRow="1" w:lastRow="0" w:firstColumn="1" w:lastColumn="0" w:noHBand="0" w:noVBand="1"/>
      </w:tblPr>
      <w:tblGrid>
        <w:gridCol w:w="2405"/>
        <w:gridCol w:w="3601"/>
        <w:gridCol w:w="3345"/>
      </w:tblGrid>
      <w:tr w:rsidR="00625A76" w:rsidRPr="00625A76" w14:paraId="17C75A8B" w14:textId="77777777" w:rsidTr="00612EB4">
        <w:tc>
          <w:tcPr>
            <w:tcW w:w="2405" w:type="dxa"/>
          </w:tcPr>
          <w:p w14:paraId="30DF8DA9" w14:textId="77777777" w:rsidR="00A478CA" w:rsidRPr="00625A76" w:rsidRDefault="00A478CA" w:rsidP="00AE0A6C">
            <w:pPr>
              <w:rPr>
                <w:color w:val="000000" w:themeColor="text1"/>
              </w:rPr>
            </w:pPr>
          </w:p>
        </w:tc>
        <w:tc>
          <w:tcPr>
            <w:tcW w:w="3601" w:type="dxa"/>
          </w:tcPr>
          <w:p w14:paraId="0B4A5827" w14:textId="77777777" w:rsidR="00A478CA" w:rsidRPr="00625A76" w:rsidRDefault="00A478CA" w:rsidP="00AE0A6C">
            <w:pPr>
              <w:rPr>
                <w:b/>
                <w:bCs/>
                <w:color w:val="000000" w:themeColor="text1"/>
              </w:rPr>
            </w:pPr>
            <w:r w:rsidRPr="00625A76">
              <w:rPr>
                <w:b/>
                <w:bCs/>
                <w:color w:val="000000" w:themeColor="text1"/>
              </w:rPr>
              <w:t>IDEA</w:t>
            </w:r>
          </w:p>
        </w:tc>
        <w:tc>
          <w:tcPr>
            <w:tcW w:w="3345" w:type="dxa"/>
          </w:tcPr>
          <w:p w14:paraId="3E2475C8" w14:textId="77777777" w:rsidR="00A478CA" w:rsidRPr="00625A76" w:rsidRDefault="00A478CA" w:rsidP="00AE0A6C">
            <w:pPr>
              <w:rPr>
                <w:b/>
                <w:bCs/>
                <w:color w:val="000000" w:themeColor="text1"/>
              </w:rPr>
            </w:pPr>
            <w:r w:rsidRPr="00625A76">
              <w:rPr>
                <w:b/>
                <w:bCs/>
                <w:color w:val="000000" w:themeColor="text1"/>
              </w:rPr>
              <w:t>PERSEPHONE</w:t>
            </w:r>
          </w:p>
        </w:tc>
      </w:tr>
      <w:tr w:rsidR="00625A76" w:rsidRPr="00B21CA2" w14:paraId="5719D687" w14:textId="77777777" w:rsidTr="00612EB4">
        <w:tc>
          <w:tcPr>
            <w:tcW w:w="2405" w:type="dxa"/>
          </w:tcPr>
          <w:p w14:paraId="55E934A7" w14:textId="77777777" w:rsidR="00A478CA" w:rsidRPr="00625A76" w:rsidRDefault="00A478CA" w:rsidP="00AE0A6C">
            <w:pPr>
              <w:rPr>
                <w:b/>
                <w:bCs/>
                <w:color w:val="000000" w:themeColor="text1"/>
              </w:rPr>
            </w:pPr>
            <w:r w:rsidRPr="00625A76">
              <w:rPr>
                <w:b/>
                <w:bCs/>
                <w:color w:val="000000" w:themeColor="text1"/>
                <w:sz w:val="22"/>
                <w:szCs w:val="22"/>
              </w:rPr>
              <w:t>Population</w:t>
            </w:r>
          </w:p>
        </w:tc>
        <w:tc>
          <w:tcPr>
            <w:tcW w:w="3601" w:type="dxa"/>
          </w:tcPr>
          <w:p w14:paraId="6E95C04F" w14:textId="77777777" w:rsidR="00A478CA" w:rsidRPr="00625A76" w:rsidRDefault="00A478CA" w:rsidP="00AE0A6C">
            <w:pPr>
              <w:rPr>
                <w:color w:val="000000" w:themeColor="text1"/>
                <w:sz w:val="22"/>
                <w:szCs w:val="22"/>
              </w:rPr>
            </w:pPr>
            <w:r w:rsidRPr="00625A76">
              <w:rPr>
                <w:color w:val="000000" w:themeColor="text1"/>
                <w:sz w:val="22"/>
                <w:szCs w:val="22"/>
              </w:rPr>
              <w:t>Patients with stage III colon cancer were enrolled in six concurrently conducted phase 3 trials (n = 12, 834)</w:t>
            </w:r>
          </w:p>
          <w:p w14:paraId="01FF8825" w14:textId="77777777" w:rsidR="00A478CA" w:rsidRPr="00625A76" w:rsidRDefault="00A478CA" w:rsidP="00AE0A6C">
            <w:pPr>
              <w:rPr>
                <w:color w:val="000000" w:themeColor="text1"/>
                <w:sz w:val="22"/>
                <w:szCs w:val="22"/>
              </w:rPr>
            </w:pPr>
          </w:p>
        </w:tc>
        <w:tc>
          <w:tcPr>
            <w:tcW w:w="3345" w:type="dxa"/>
          </w:tcPr>
          <w:p w14:paraId="4316A738" w14:textId="77777777" w:rsidR="00A478CA" w:rsidRPr="00625A76" w:rsidRDefault="00A478CA" w:rsidP="00AE0A6C">
            <w:pPr>
              <w:rPr>
                <w:color w:val="000000" w:themeColor="text1"/>
                <w:sz w:val="22"/>
                <w:szCs w:val="22"/>
              </w:rPr>
            </w:pPr>
            <w:r w:rsidRPr="00625A76">
              <w:rPr>
                <w:color w:val="000000" w:themeColor="text1"/>
                <w:sz w:val="22"/>
                <w:szCs w:val="22"/>
              </w:rPr>
              <w:t>HER2-positive early breast cancer with indication for chemotherapy (n= 4088)</w:t>
            </w:r>
          </w:p>
        </w:tc>
      </w:tr>
      <w:tr w:rsidR="00625A76" w:rsidRPr="00B21CA2" w14:paraId="7BF49A7A" w14:textId="77777777" w:rsidTr="00612EB4">
        <w:tc>
          <w:tcPr>
            <w:tcW w:w="2405" w:type="dxa"/>
          </w:tcPr>
          <w:p w14:paraId="1547D8F4" w14:textId="77777777" w:rsidR="00A478CA" w:rsidRPr="00625A76" w:rsidRDefault="00A478CA" w:rsidP="00AE0A6C">
            <w:pPr>
              <w:rPr>
                <w:b/>
                <w:bCs/>
                <w:color w:val="000000" w:themeColor="text1"/>
              </w:rPr>
            </w:pPr>
            <w:r w:rsidRPr="00625A76">
              <w:rPr>
                <w:b/>
                <w:bCs/>
                <w:color w:val="000000" w:themeColor="text1"/>
                <w:sz w:val="22"/>
                <w:szCs w:val="22"/>
              </w:rPr>
              <w:t>Treatment</w:t>
            </w:r>
          </w:p>
        </w:tc>
        <w:tc>
          <w:tcPr>
            <w:tcW w:w="3601" w:type="dxa"/>
          </w:tcPr>
          <w:p w14:paraId="005ACF4D" w14:textId="77777777" w:rsidR="00A478CA" w:rsidRPr="00625A76" w:rsidRDefault="00A478CA" w:rsidP="00AE0A6C">
            <w:pPr>
              <w:rPr>
                <w:color w:val="000000" w:themeColor="text1"/>
              </w:rPr>
            </w:pPr>
            <w:r w:rsidRPr="00625A76">
              <w:rPr>
                <w:color w:val="000000" w:themeColor="text1"/>
              </w:rPr>
              <w:t>3 months vs 6 months of adjuvant therapy with either FOLFOX (fluorouracil, leucovorin, and oxaliplatin) or CAPOX (capecitabine and oxaliplatin).</w:t>
            </w:r>
          </w:p>
          <w:p w14:paraId="36CF7B77" w14:textId="77777777" w:rsidR="00A478CA" w:rsidRPr="00625A76" w:rsidRDefault="00A478CA" w:rsidP="00AE0A6C">
            <w:pPr>
              <w:rPr>
                <w:color w:val="000000" w:themeColor="text1"/>
                <w:sz w:val="22"/>
                <w:szCs w:val="22"/>
              </w:rPr>
            </w:pPr>
          </w:p>
        </w:tc>
        <w:tc>
          <w:tcPr>
            <w:tcW w:w="3345" w:type="dxa"/>
          </w:tcPr>
          <w:p w14:paraId="50C04A70" w14:textId="77777777" w:rsidR="00A478CA" w:rsidRPr="00625A76" w:rsidRDefault="00A478CA" w:rsidP="00AE0A6C">
            <w:pPr>
              <w:rPr>
                <w:color w:val="000000" w:themeColor="text1"/>
                <w:sz w:val="22"/>
                <w:szCs w:val="22"/>
              </w:rPr>
            </w:pPr>
            <w:r w:rsidRPr="00625A76">
              <w:rPr>
                <w:color w:val="000000" w:themeColor="text1"/>
                <w:sz w:val="22"/>
                <w:szCs w:val="22"/>
              </w:rPr>
              <w:t>6 vs 12 months of trastuzumab, given concurrently or sequentially with neoadjuvant or adjuvant chemotherapy.</w:t>
            </w:r>
          </w:p>
        </w:tc>
      </w:tr>
      <w:tr w:rsidR="00625A76" w:rsidRPr="00B21CA2" w14:paraId="596D17AA" w14:textId="77777777" w:rsidTr="00612EB4">
        <w:tc>
          <w:tcPr>
            <w:tcW w:w="2405" w:type="dxa"/>
          </w:tcPr>
          <w:p w14:paraId="71D73AD2" w14:textId="77777777" w:rsidR="00A478CA" w:rsidRPr="00625A76" w:rsidRDefault="00A478CA" w:rsidP="00AE0A6C">
            <w:pPr>
              <w:rPr>
                <w:b/>
                <w:bCs/>
                <w:color w:val="000000" w:themeColor="text1"/>
              </w:rPr>
            </w:pPr>
            <w:r w:rsidRPr="00625A76">
              <w:rPr>
                <w:b/>
                <w:bCs/>
                <w:color w:val="000000" w:themeColor="text1"/>
              </w:rPr>
              <w:t>Moment of randomization</w:t>
            </w:r>
          </w:p>
        </w:tc>
        <w:tc>
          <w:tcPr>
            <w:tcW w:w="3601" w:type="dxa"/>
          </w:tcPr>
          <w:p w14:paraId="68F877E8" w14:textId="77777777" w:rsidR="00A478CA" w:rsidRPr="00625A76" w:rsidRDefault="00A478CA" w:rsidP="00AE0A6C">
            <w:pPr>
              <w:rPr>
                <w:color w:val="000000" w:themeColor="text1"/>
              </w:rPr>
            </w:pPr>
            <w:r w:rsidRPr="00625A76">
              <w:rPr>
                <w:color w:val="000000" w:themeColor="text1"/>
              </w:rPr>
              <w:t>The six trials were conducted in heterogeneous settings. The study design did not call for patients to undergo a secondary randomization to CAPOX or FOLFOX.</w:t>
            </w:r>
          </w:p>
          <w:p w14:paraId="1F1CF598" w14:textId="77777777" w:rsidR="00A478CA" w:rsidRPr="00625A76" w:rsidRDefault="00A478CA" w:rsidP="00AE0A6C">
            <w:pPr>
              <w:rPr>
                <w:color w:val="000000" w:themeColor="text1"/>
              </w:rPr>
            </w:pPr>
            <w:r w:rsidRPr="00625A76">
              <w:rPr>
                <w:color w:val="000000" w:themeColor="text1"/>
              </w:rPr>
              <w:t xml:space="preserve"> </w:t>
            </w:r>
          </w:p>
        </w:tc>
        <w:tc>
          <w:tcPr>
            <w:tcW w:w="3345" w:type="dxa"/>
          </w:tcPr>
          <w:p w14:paraId="35069ACA" w14:textId="77777777" w:rsidR="00A478CA" w:rsidRPr="00625A76" w:rsidRDefault="00A478CA" w:rsidP="00AE0A6C">
            <w:pPr>
              <w:rPr>
                <w:color w:val="000000" w:themeColor="text1"/>
                <w:sz w:val="22"/>
                <w:szCs w:val="22"/>
              </w:rPr>
            </w:pPr>
            <w:r w:rsidRPr="00625A76">
              <w:rPr>
                <w:color w:val="000000" w:themeColor="text1"/>
                <w:sz w:val="22"/>
                <w:szCs w:val="22"/>
              </w:rPr>
              <w:t>Initially randomized before start of trastuzumab treatment, after protocol amendment any time up to and including the ninth cycle of trastuzumab.</w:t>
            </w:r>
          </w:p>
        </w:tc>
      </w:tr>
      <w:tr w:rsidR="00625A76" w:rsidRPr="00B21CA2" w14:paraId="40133CBA" w14:textId="77777777" w:rsidTr="00612EB4">
        <w:tc>
          <w:tcPr>
            <w:tcW w:w="2405" w:type="dxa"/>
          </w:tcPr>
          <w:p w14:paraId="4931BE42" w14:textId="77777777" w:rsidR="00A478CA" w:rsidRPr="00625A76" w:rsidRDefault="00A478CA" w:rsidP="00AE0A6C">
            <w:pPr>
              <w:rPr>
                <w:b/>
                <w:bCs/>
                <w:color w:val="000000" w:themeColor="text1"/>
              </w:rPr>
            </w:pPr>
            <w:r w:rsidRPr="00625A76">
              <w:rPr>
                <w:b/>
                <w:bCs/>
                <w:color w:val="000000" w:themeColor="text1"/>
              </w:rPr>
              <w:t>Non-inferiority margin</w:t>
            </w:r>
          </w:p>
        </w:tc>
        <w:tc>
          <w:tcPr>
            <w:tcW w:w="3601" w:type="dxa"/>
          </w:tcPr>
          <w:p w14:paraId="145CBA3A" w14:textId="77777777" w:rsidR="00A478CA" w:rsidRPr="00625A76" w:rsidRDefault="00A478CA" w:rsidP="00AE0A6C">
            <w:pPr>
              <w:rPr>
                <w:color w:val="000000" w:themeColor="text1"/>
              </w:rPr>
            </w:pPr>
            <w:r w:rsidRPr="00625A76">
              <w:rPr>
                <w:color w:val="000000" w:themeColor="text1"/>
              </w:rPr>
              <w:t>Noninferiority of 3 months vs 6 months could be claimed if the upper limit of the two-sided 95% confidence interval of the hazard ratio did not exceed 1.12. The predefined noninferiority margin at a one-sided type I error rate of 0.025 assumes a 3-year disease-free survival rate of 72% in the 6-month therapy group.</w:t>
            </w:r>
          </w:p>
          <w:p w14:paraId="44610B27" w14:textId="77777777" w:rsidR="00A478CA" w:rsidRPr="00625A76" w:rsidRDefault="00A478CA" w:rsidP="00AE0A6C">
            <w:pPr>
              <w:rPr>
                <w:color w:val="000000" w:themeColor="text1"/>
                <w:sz w:val="22"/>
                <w:szCs w:val="22"/>
              </w:rPr>
            </w:pPr>
          </w:p>
        </w:tc>
        <w:tc>
          <w:tcPr>
            <w:tcW w:w="3345" w:type="dxa"/>
          </w:tcPr>
          <w:p w14:paraId="59F5A6F7" w14:textId="77777777" w:rsidR="00A478CA" w:rsidRPr="00625A76" w:rsidRDefault="00A478CA" w:rsidP="00AE0A6C">
            <w:pPr>
              <w:rPr>
                <w:color w:val="000000" w:themeColor="text1"/>
                <w:sz w:val="22"/>
                <w:szCs w:val="22"/>
              </w:rPr>
            </w:pPr>
            <w:r w:rsidRPr="00625A76">
              <w:rPr>
                <w:color w:val="000000" w:themeColor="text1"/>
                <w:sz w:val="22"/>
                <w:szCs w:val="22"/>
              </w:rPr>
              <w:t xml:space="preserve">3% below the 4-year </w:t>
            </w:r>
            <w:proofErr w:type="spellStart"/>
            <w:r w:rsidRPr="00625A76">
              <w:rPr>
                <w:color w:val="000000" w:themeColor="text1"/>
                <w:sz w:val="22"/>
                <w:szCs w:val="22"/>
              </w:rPr>
              <w:t>DFSl</w:t>
            </w:r>
            <w:proofErr w:type="spellEnd"/>
            <w:r w:rsidRPr="00625A76">
              <w:rPr>
                <w:color w:val="000000" w:themeColor="text1"/>
                <w:sz w:val="22"/>
                <w:szCs w:val="22"/>
              </w:rPr>
              <w:t xml:space="preserve"> of the 12 months group.</w:t>
            </w:r>
          </w:p>
        </w:tc>
      </w:tr>
      <w:tr w:rsidR="00625A76" w:rsidRPr="00B21CA2" w14:paraId="35D05CBF" w14:textId="77777777" w:rsidTr="00612EB4">
        <w:tc>
          <w:tcPr>
            <w:tcW w:w="2405" w:type="dxa"/>
          </w:tcPr>
          <w:p w14:paraId="3D0D9419" w14:textId="77777777" w:rsidR="00A478CA" w:rsidRPr="00625A76" w:rsidRDefault="00A478CA" w:rsidP="00AE0A6C">
            <w:pPr>
              <w:rPr>
                <w:b/>
                <w:bCs/>
                <w:color w:val="000000" w:themeColor="text1"/>
              </w:rPr>
            </w:pPr>
            <w:r w:rsidRPr="00625A76">
              <w:rPr>
                <w:b/>
                <w:bCs/>
                <w:color w:val="000000" w:themeColor="text1"/>
              </w:rPr>
              <w:t>Analysis population</w:t>
            </w:r>
          </w:p>
        </w:tc>
        <w:tc>
          <w:tcPr>
            <w:tcW w:w="3601" w:type="dxa"/>
          </w:tcPr>
          <w:p w14:paraId="4CF74578" w14:textId="77777777" w:rsidR="00A478CA" w:rsidRPr="00625A76" w:rsidRDefault="00A478CA" w:rsidP="00AE0A6C">
            <w:pPr>
              <w:rPr>
                <w:color w:val="000000" w:themeColor="text1"/>
              </w:rPr>
            </w:pPr>
            <w:r w:rsidRPr="00625A76">
              <w:rPr>
                <w:color w:val="000000" w:themeColor="text1"/>
              </w:rPr>
              <w:t>Modified ITT for the primary analysis that includes all patients who had undergone randomization and had received at least one dose of a trial drug</w:t>
            </w:r>
          </w:p>
          <w:p w14:paraId="4530E3E3" w14:textId="77777777" w:rsidR="00A478CA" w:rsidRPr="00625A76" w:rsidRDefault="00A478CA" w:rsidP="00AE0A6C">
            <w:pPr>
              <w:rPr>
                <w:color w:val="000000" w:themeColor="text1"/>
                <w:sz w:val="22"/>
                <w:szCs w:val="22"/>
              </w:rPr>
            </w:pPr>
          </w:p>
        </w:tc>
        <w:tc>
          <w:tcPr>
            <w:tcW w:w="3345" w:type="dxa"/>
          </w:tcPr>
          <w:p w14:paraId="7FA34664" w14:textId="77777777" w:rsidR="00A478CA" w:rsidRPr="00625A76" w:rsidRDefault="00A478CA" w:rsidP="00AE0A6C">
            <w:pPr>
              <w:rPr>
                <w:color w:val="000000" w:themeColor="text1"/>
                <w:sz w:val="22"/>
                <w:szCs w:val="22"/>
              </w:rPr>
            </w:pPr>
            <w:r w:rsidRPr="00625A76">
              <w:rPr>
                <w:color w:val="000000" w:themeColor="text1"/>
                <w:sz w:val="22"/>
                <w:szCs w:val="22"/>
              </w:rPr>
              <w:t>ITT for the efficacy analysis; modified ITT, patients who received at least one dose of trastuzumab, for the safety analysis</w:t>
            </w:r>
          </w:p>
        </w:tc>
      </w:tr>
      <w:tr w:rsidR="00625A76" w:rsidRPr="00B21CA2" w14:paraId="4DE01616" w14:textId="77777777" w:rsidTr="00612EB4">
        <w:tc>
          <w:tcPr>
            <w:tcW w:w="2405" w:type="dxa"/>
          </w:tcPr>
          <w:p w14:paraId="1582CCF4" w14:textId="77777777" w:rsidR="00A478CA" w:rsidRPr="00625A76" w:rsidRDefault="00A478CA" w:rsidP="00AE0A6C">
            <w:pPr>
              <w:rPr>
                <w:b/>
                <w:bCs/>
                <w:color w:val="000000" w:themeColor="text1"/>
              </w:rPr>
            </w:pPr>
            <w:r w:rsidRPr="00625A76">
              <w:rPr>
                <w:b/>
                <w:bCs/>
                <w:color w:val="000000" w:themeColor="text1"/>
              </w:rPr>
              <w:t>Efficacy results</w:t>
            </w:r>
          </w:p>
        </w:tc>
        <w:tc>
          <w:tcPr>
            <w:tcW w:w="3601" w:type="dxa"/>
          </w:tcPr>
          <w:p w14:paraId="55FD5DA5" w14:textId="77777777" w:rsidR="00A478CA" w:rsidRPr="00625A76" w:rsidRDefault="00A478CA" w:rsidP="00AE0A6C">
            <w:pPr>
              <w:rPr>
                <w:color w:val="000000" w:themeColor="text1"/>
              </w:rPr>
            </w:pPr>
            <w:r w:rsidRPr="00625A76">
              <w:rPr>
                <w:color w:val="000000" w:themeColor="text1"/>
              </w:rPr>
              <w:t xml:space="preserve">Noninferiority of 3 months of treatment vs 6 months was not confirmed in the ITT population (hazard ratio, 1.07; 95% confidence interval [CI], 1.00 to 1.15). </w:t>
            </w:r>
          </w:p>
          <w:p w14:paraId="73FE54D6" w14:textId="77777777" w:rsidR="00A478CA" w:rsidRPr="00625A76" w:rsidRDefault="00A478CA" w:rsidP="00AE0A6C">
            <w:pPr>
              <w:rPr>
                <w:color w:val="000000" w:themeColor="text1"/>
              </w:rPr>
            </w:pPr>
            <w:r w:rsidRPr="00625A76">
              <w:rPr>
                <w:color w:val="000000" w:themeColor="text1"/>
              </w:rPr>
              <w:t>Noninferiority of the shorter regimen was seen for CAPOX (hazard ratio, 0.95; 95% CI, 0.85 to 1.06) but not for FOLFOX (hazard ratio, 1.16; 95% CI, 1.06 to 1.26). </w:t>
            </w:r>
          </w:p>
          <w:p w14:paraId="7F098408" w14:textId="77777777" w:rsidR="00A478CA" w:rsidRPr="00625A76" w:rsidRDefault="00A478CA" w:rsidP="00AE0A6C">
            <w:pPr>
              <w:rPr>
                <w:color w:val="000000" w:themeColor="text1"/>
                <w:sz w:val="22"/>
                <w:szCs w:val="22"/>
              </w:rPr>
            </w:pPr>
          </w:p>
        </w:tc>
        <w:tc>
          <w:tcPr>
            <w:tcW w:w="3345" w:type="dxa"/>
          </w:tcPr>
          <w:p w14:paraId="2B1B357F" w14:textId="77777777" w:rsidR="00A478CA" w:rsidRPr="00625A76" w:rsidRDefault="00A478CA" w:rsidP="00AE0A6C">
            <w:pPr>
              <w:rPr>
                <w:color w:val="000000" w:themeColor="text1"/>
                <w:sz w:val="22"/>
                <w:szCs w:val="22"/>
              </w:rPr>
            </w:pPr>
            <w:r w:rsidRPr="00625A76">
              <w:rPr>
                <w:color w:val="000000" w:themeColor="text1"/>
                <w:sz w:val="22"/>
                <w:szCs w:val="22"/>
              </w:rPr>
              <w:t xml:space="preserve">4-year disease-free survival was 89·4% (95% CI 87·9–90·7) in the </w:t>
            </w:r>
            <w:proofErr w:type="gramStart"/>
            <w:r w:rsidRPr="00625A76">
              <w:rPr>
                <w:color w:val="000000" w:themeColor="text1"/>
                <w:sz w:val="22"/>
                <w:szCs w:val="22"/>
              </w:rPr>
              <w:t>6 month</w:t>
            </w:r>
            <w:proofErr w:type="gramEnd"/>
            <w:r w:rsidRPr="00625A76">
              <w:rPr>
                <w:color w:val="000000" w:themeColor="text1"/>
                <w:sz w:val="22"/>
                <w:szCs w:val="22"/>
              </w:rPr>
              <w:t xml:space="preserve"> group and 89·8% (95% CI 88·3–91·1) in the 12 month group (HR 1·07 (90% CI 0·93–1·24)</w:t>
            </w:r>
          </w:p>
        </w:tc>
      </w:tr>
      <w:tr w:rsidR="00625A76" w:rsidRPr="00B21CA2" w14:paraId="32B52FD2" w14:textId="77777777" w:rsidTr="00612EB4">
        <w:tc>
          <w:tcPr>
            <w:tcW w:w="2405" w:type="dxa"/>
          </w:tcPr>
          <w:p w14:paraId="28BC38BD" w14:textId="77777777" w:rsidR="00A478CA" w:rsidRPr="00625A76" w:rsidRDefault="00A478CA" w:rsidP="00AE0A6C">
            <w:pPr>
              <w:rPr>
                <w:b/>
                <w:bCs/>
                <w:color w:val="000000" w:themeColor="text1"/>
              </w:rPr>
            </w:pPr>
            <w:r w:rsidRPr="00625A76">
              <w:rPr>
                <w:b/>
                <w:bCs/>
                <w:color w:val="000000" w:themeColor="text1"/>
              </w:rPr>
              <w:lastRenderedPageBreak/>
              <w:t>Safety results</w:t>
            </w:r>
          </w:p>
        </w:tc>
        <w:tc>
          <w:tcPr>
            <w:tcW w:w="3601" w:type="dxa"/>
          </w:tcPr>
          <w:p w14:paraId="57D96FF8" w14:textId="77777777" w:rsidR="00A478CA" w:rsidRPr="00625A76" w:rsidRDefault="00A478CA" w:rsidP="00AE0A6C">
            <w:pPr>
              <w:rPr>
                <w:color w:val="000000" w:themeColor="text1"/>
              </w:rPr>
            </w:pPr>
            <w:proofErr w:type="gramStart"/>
            <w:r w:rsidRPr="00625A76">
              <w:rPr>
                <w:color w:val="000000" w:themeColor="text1"/>
              </w:rPr>
              <w:t>3 month</w:t>
            </w:r>
            <w:proofErr w:type="gramEnd"/>
            <w:r w:rsidRPr="00625A76">
              <w:rPr>
                <w:color w:val="000000" w:themeColor="text1"/>
              </w:rPr>
              <w:t xml:space="preserve"> group was associated with significantly lower rates of adverse events, independent of the chemotherapy regimen </w:t>
            </w:r>
          </w:p>
          <w:p w14:paraId="4BA9579B" w14:textId="77777777" w:rsidR="00A478CA" w:rsidRPr="00625A76" w:rsidRDefault="00A478CA" w:rsidP="00AE0A6C">
            <w:pPr>
              <w:rPr>
                <w:color w:val="000000" w:themeColor="text1"/>
              </w:rPr>
            </w:pPr>
          </w:p>
          <w:p w14:paraId="3A92BF55" w14:textId="77777777" w:rsidR="00A478CA" w:rsidRPr="00625A76" w:rsidRDefault="00A478CA" w:rsidP="00AE0A6C">
            <w:pPr>
              <w:rPr>
                <w:color w:val="000000" w:themeColor="text1"/>
              </w:rPr>
            </w:pPr>
            <w:r w:rsidRPr="00625A76">
              <w:rPr>
                <w:color w:val="000000" w:themeColor="text1"/>
              </w:rPr>
              <w:t>Neurotoxicity of grade 2 or higher during active therapy and in the month after cessation of treatment was substantially lower in the 3-month group (16.6% with FOLFOX and 14.2% with CAPOX) than in the 6-month therapy group (47.7% with FOLFOX and 44.9% with CAPOX). </w:t>
            </w:r>
          </w:p>
          <w:p w14:paraId="2AC2FA8B" w14:textId="77777777" w:rsidR="00A478CA" w:rsidRPr="00625A76" w:rsidRDefault="00A478CA" w:rsidP="00AE0A6C">
            <w:pPr>
              <w:rPr>
                <w:color w:val="000000" w:themeColor="text1"/>
                <w:sz w:val="22"/>
                <w:szCs w:val="22"/>
              </w:rPr>
            </w:pPr>
          </w:p>
        </w:tc>
        <w:tc>
          <w:tcPr>
            <w:tcW w:w="3345" w:type="dxa"/>
          </w:tcPr>
          <w:p w14:paraId="15127819" w14:textId="77777777" w:rsidR="00A478CA" w:rsidRPr="00625A76" w:rsidRDefault="00A478CA" w:rsidP="00AE0A6C">
            <w:pPr>
              <w:rPr>
                <w:color w:val="000000" w:themeColor="text1"/>
              </w:rPr>
            </w:pPr>
            <w:r w:rsidRPr="00625A76">
              <w:rPr>
                <w:color w:val="000000" w:themeColor="text1"/>
              </w:rPr>
              <w:t xml:space="preserve">6-month group reported SAEs in 373 patients (19%) vs 459 (24%) in the </w:t>
            </w:r>
            <w:proofErr w:type="gramStart"/>
            <w:r w:rsidRPr="00625A76">
              <w:rPr>
                <w:color w:val="000000" w:themeColor="text1"/>
              </w:rPr>
              <w:t>12 month</w:t>
            </w:r>
            <w:proofErr w:type="gramEnd"/>
            <w:r w:rsidRPr="00625A76">
              <w:rPr>
                <w:color w:val="000000" w:themeColor="text1"/>
              </w:rPr>
              <w:t xml:space="preserve"> group, p=0·0002;</w:t>
            </w:r>
          </w:p>
          <w:p w14:paraId="00960325" w14:textId="77777777" w:rsidR="00A478CA" w:rsidRPr="00625A76" w:rsidRDefault="00A478CA" w:rsidP="00AE0A6C">
            <w:pPr>
              <w:rPr>
                <w:color w:val="000000" w:themeColor="text1"/>
              </w:rPr>
            </w:pPr>
          </w:p>
          <w:p w14:paraId="16034E6D" w14:textId="77777777" w:rsidR="00A478CA" w:rsidRPr="00625A76" w:rsidRDefault="00A478CA" w:rsidP="00AE0A6C">
            <w:pPr>
              <w:rPr>
                <w:color w:val="000000" w:themeColor="text1"/>
              </w:rPr>
            </w:pPr>
            <w:r w:rsidRPr="00625A76">
              <w:rPr>
                <w:color w:val="000000" w:themeColor="text1"/>
              </w:rPr>
              <w:t xml:space="preserve">Number of patients in the 6-month group stopping early because of cardiotoxicity: 61 (3%) vs 146 (8%) in the </w:t>
            </w:r>
            <w:proofErr w:type="gramStart"/>
            <w:r w:rsidRPr="00625A76">
              <w:rPr>
                <w:color w:val="000000" w:themeColor="text1"/>
              </w:rPr>
              <w:t>12 month</w:t>
            </w:r>
            <w:proofErr w:type="gramEnd"/>
            <w:r w:rsidRPr="00625A76">
              <w:rPr>
                <w:color w:val="000000" w:themeColor="text1"/>
              </w:rPr>
              <w:t xml:space="preserve"> group, p&lt;0·0001.</w:t>
            </w:r>
          </w:p>
          <w:p w14:paraId="17E476FB" w14:textId="77777777" w:rsidR="00A478CA" w:rsidRPr="00625A76" w:rsidRDefault="00A478CA" w:rsidP="00AE0A6C">
            <w:pPr>
              <w:rPr>
                <w:color w:val="000000" w:themeColor="text1"/>
              </w:rPr>
            </w:pPr>
          </w:p>
        </w:tc>
      </w:tr>
      <w:tr w:rsidR="00A478CA" w:rsidRPr="00B21CA2" w14:paraId="77EF0172" w14:textId="77777777" w:rsidTr="00612EB4">
        <w:tc>
          <w:tcPr>
            <w:tcW w:w="2405" w:type="dxa"/>
          </w:tcPr>
          <w:p w14:paraId="6BF8690F" w14:textId="77777777" w:rsidR="00A478CA" w:rsidRPr="00625A76" w:rsidRDefault="00A478CA" w:rsidP="00AE0A6C">
            <w:pPr>
              <w:rPr>
                <w:b/>
                <w:bCs/>
                <w:color w:val="000000" w:themeColor="text1"/>
              </w:rPr>
            </w:pPr>
            <w:r w:rsidRPr="00625A76">
              <w:rPr>
                <w:b/>
                <w:bCs/>
                <w:color w:val="000000" w:themeColor="text1"/>
              </w:rPr>
              <w:t>Comparison with current SOC</w:t>
            </w:r>
          </w:p>
        </w:tc>
        <w:tc>
          <w:tcPr>
            <w:tcW w:w="3601" w:type="dxa"/>
          </w:tcPr>
          <w:p w14:paraId="33E35DDF" w14:textId="77777777" w:rsidR="00A478CA" w:rsidRPr="00625A76" w:rsidRDefault="00A478CA" w:rsidP="00AE0A6C">
            <w:pPr>
              <w:rPr>
                <w:color w:val="000000" w:themeColor="text1"/>
                <w:sz w:val="22"/>
                <w:szCs w:val="22"/>
              </w:rPr>
            </w:pPr>
          </w:p>
        </w:tc>
        <w:tc>
          <w:tcPr>
            <w:tcW w:w="3345" w:type="dxa"/>
          </w:tcPr>
          <w:p w14:paraId="34950828" w14:textId="77777777" w:rsidR="00A478CA" w:rsidRPr="00625A76" w:rsidRDefault="00A478CA" w:rsidP="00AE0A6C">
            <w:pPr>
              <w:rPr>
                <w:color w:val="000000" w:themeColor="text1"/>
              </w:rPr>
            </w:pPr>
            <w:r w:rsidRPr="00625A76">
              <w:rPr>
                <w:color w:val="000000" w:themeColor="text1"/>
              </w:rPr>
              <w:t>15% received neoadjuvant treatment</w:t>
            </w:r>
          </w:p>
          <w:p w14:paraId="5466BFB2" w14:textId="77777777" w:rsidR="00A478CA" w:rsidRPr="00625A76" w:rsidRDefault="00A478CA" w:rsidP="00AE0A6C">
            <w:pPr>
              <w:rPr>
                <w:color w:val="000000" w:themeColor="text1"/>
              </w:rPr>
            </w:pPr>
          </w:p>
          <w:p w14:paraId="04D4EF5A" w14:textId="77777777" w:rsidR="00A478CA" w:rsidRPr="00625A76" w:rsidRDefault="00A478CA" w:rsidP="00AE0A6C">
            <w:pPr>
              <w:rPr>
                <w:color w:val="000000" w:themeColor="text1"/>
                <w:sz w:val="22"/>
                <w:szCs w:val="22"/>
              </w:rPr>
            </w:pPr>
            <w:r w:rsidRPr="00625A76">
              <w:rPr>
                <w:color w:val="000000" w:themeColor="text1"/>
              </w:rPr>
              <w:t>47% received concurrent trastuzumab and chemotherapy treatment</w:t>
            </w:r>
          </w:p>
        </w:tc>
      </w:tr>
    </w:tbl>
    <w:p w14:paraId="271763A2" w14:textId="77777777" w:rsidR="00A478CA" w:rsidRPr="00625A76" w:rsidRDefault="00A478CA" w:rsidP="00A478CA">
      <w:pPr>
        <w:rPr>
          <w:color w:val="000000" w:themeColor="text1"/>
          <w:sz w:val="28"/>
          <w:szCs w:val="28"/>
          <w:lang w:val="en-US"/>
        </w:rPr>
      </w:pPr>
    </w:p>
    <w:p w14:paraId="47560303" w14:textId="77777777" w:rsidR="00A478CA" w:rsidRPr="00625A76" w:rsidRDefault="00A478CA" w:rsidP="00A478CA">
      <w:pPr>
        <w:rPr>
          <w:color w:val="000000" w:themeColor="text1"/>
          <w:sz w:val="28"/>
          <w:szCs w:val="28"/>
          <w:lang w:val="en-US"/>
        </w:rPr>
      </w:pPr>
      <w:r w:rsidRPr="00625A76">
        <w:rPr>
          <w:color w:val="000000" w:themeColor="text1"/>
          <w:sz w:val="28"/>
          <w:szCs w:val="28"/>
          <w:lang w:val="en-US"/>
        </w:rPr>
        <w:t>Table 2</w:t>
      </w:r>
    </w:p>
    <w:tbl>
      <w:tblPr>
        <w:tblStyle w:val="TableGrid"/>
        <w:tblW w:w="9351" w:type="dxa"/>
        <w:tblLook w:val="04A0" w:firstRow="1" w:lastRow="0" w:firstColumn="1" w:lastColumn="0" w:noHBand="0" w:noVBand="1"/>
      </w:tblPr>
      <w:tblGrid>
        <w:gridCol w:w="2405"/>
        <w:gridCol w:w="3544"/>
        <w:gridCol w:w="3402"/>
      </w:tblGrid>
      <w:tr w:rsidR="00625A76" w:rsidRPr="00625A76" w14:paraId="425DAB5C" w14:textId="77777777" w:rsidTr="00612EB4">
        <w:tc>
          <w:tcPr>
            <w:tcW w:w="2405" w:type="dxa"/>
          </w:tcPr>
          <w:p w14:paraId="49BE56AB" w14:textId="77777777" w:rsidR="00A478CA" w:rsidRPr="00625A76" w:rsidRDefault="00A478CA" w:rsidP="00AE0A6C">
            <w:pPr>
              <w:rPr>
                <w:color w:val="000000" w:themeColor="text1"/>
                <w:sz w:val="22"/>
                <w:szCs w:val="22"/>
              </w:rPr>
            </w:pPr>
          </w:p>
        </w:tc>
        <w:tc>
          <w:tcPr>
            <w:tcW w:w="3544" w:type="dxa"/>
          </w:tcPr>
          <w:p w14:paraId="260FAA06" w14:textId="77777777" w:rsidR="00A478CA" w:rsidRPr="00625A76" w:rsidRDefault="00A478CA" w:rsidP="00AE0A6C">
            <w:pPr>
              <w:rPr>
                <w:b/>
                <w:bCs/>
                <w:color w:val="000000" w:themeColor="text1"/>
                <w:sz w:val="22"/>
                <w:szCs w:val="22"/>
              </w:rPr>
            </w:pPr>
            <w:r w:rsidRPr="00625A76">
              <w:rPr>
                <w:b/>
                <w:bCs/>
                <w:color w:val="000000" w:themeColor="text1"/>
                <w:sz w:val="22"/>
                <w:szCs w:val="22"/>
              </w:rPr>
              <w:t>MINDACT</w:t>
            </w:r>
          </w:p>
        </w:tc>
        <w:tc>
          <w:tcPr>
            <w:tcW w:w="3402" w:type="dxa"/>
          </w:tcPr>
          <w:p w14:paraId="41FA8218" w14:textId="77777777" w:rsidR="00A478CA" w:rsidRPr="00625A76" w:rsidRDefault="00A478CA" w:rsidP="00AE0A6C">
            <w:pPr>
              <w:rPr>
                <w:b/>
                <w:bCs/>
                <w:color w:val="000000" w:themeColor="text1"/>
                <w:sz w:val="22"/>
                <w:szCs w:val="22"/>
              </w:rPr>
            </w:pPr>
            <w:r w:rsidRPr="00625A76">
              <w:rPr>
                <w:b/>
                <w:bCs/>
                <w:color w:val="000000" w:themeColor="text1"/>
                <w:sz w:val="22"/>
                <w:szCs w:val="22"/>
              </w:rPr>
              <w:t>TAILORX</w:t>
            </w:r>
          </w:p>
        </w:tc>
      </w:tr>
      <w:tr w:rsidR="00625A76" w:rsidRPr="00B21CA2" w14:paraId="568E428A" w14:textId="77777777" w:rsidTr="00612EB4">
        <w:tc>
          <w:tcPr>
            <w:tcW w:w="2405" w:type="dxa"/>
          </w:tcPr>
          <w:p w14:paraId="1E83BDB1" w14:textId="77777777" w:rsidR="00A478CA" w:rsidRPr="00625A76" w:rsidRDefault="00A478CA" w:rsidP="00AE0A6C">
            <w:pPr>
              <w:rPr>
                <w:b/>
                <w:bCs/>
                <w:color w:val="000000" w:themeColor="text1"/>
                <w:sz w:val="22"/>
                <w:szCs w:val="22"/>
              </w:rPr>
            </w:pPr>
            <w:r w:rsidRPr="00625A76">
              <w:rPr>
                <w:b/>
                <w:bCs/>
                <w:color w:val="000000" w:themeColor="text1"/>
                <w:sz w:val="22"/>
                <w:szCs w:val="22"/>
              </w:rPr>
              <w:t>Study population</w:t>
            </w:r>
          </w:p>
        </w:tc>
        <w:tc>
          <w:tcPr>
            <w:tcW w:w="3544" w:type="dxa"/>
          </w:tcPr>
          <w:p w14:paraId="3F10FDE7" w14:textId="77777777" w:rsidR="00A478CA" w:rsidRPr="00625A76" w:rsidRDefault="00A478CA" w:rsidP="00AE0A6C">
            <w:pPr>
              <w:rPr>
                <w:color w:val="000000" w:themeColor="text1"/>
                <w:sz w:val="22"/>
                <w:szCs w:val="22"/>
              </w:rPr>
            </w:pPr>
            <w:r w:rsidRPr="00625A76">
              <w:rPr>
                <w:color w:val="000000" w:themeColor="text1"/>
                <w:sz w:val="22"/>
                <w:szCs w:val="22"/>
              </w:rPr>
              <w:t>Overall population: histologically confirmed primary invasive breast cancer (stage T1 or T2 or operable T3) with up to three positive axillary nodes, n=6693</w:t>
            </w:r>
          </w:p>
        </w:tc>
        <w:tc>
          <w:tcPr>
            <w:tcW w:w="3402" w:type="dxa"/>
          </w:tcPr>
          <w:p w14:paraId="09E94F27" w14:textId="77777777" w:rsidR="00A478CA" w:rsidRPr="00625A76" w:rsidRDefault="00A478CA" w:rsidP="00AE0A6C">
            <w:pPr>
              <w:rPr>
                <w:color w:val="000000" w:themeColor="text1"/>
                <w:sz w:val="22"/>
                <w:szCs w:val="22"/>
              </w:rPr>
            </w:pPr>
            <w:r w:rsidRPr="00625A76">
              <w:rPr>
                <w:color w:val="000000" w:themeColor="text1"/>
                <w:sz w:val="22"/>
                <w:szCs w:val="22"/>
              </w:rPr>
              <w:t>Hormone-receptor-positive, HER2-negative, axillary node-negative breast cancer with recommendation or consideration of adjuvant chemotherapy based on the NCCN guidelines, n=10,273</w:t>
            </w:r>
          </w:p>
        </w:tc>
      </w:tr>
      <w:tr w:rsidR="00625A76" w:rsidRPr="00B21CA2" w14:paraId="7D759597" w14:textId="77777777" w:rsidTr="00612EB4">
        <w:tc>
          <w:tcPr>
            <w:tcW w:w="2405" w:type="dxa"/>
          </w:tcPr>
          <w:p w14:paraId="2A9B8AE4" w14:textId="77777777" w:rsidR="00A478CA" w:rsidRPr="00625A76" w:rsidRDefault="00A478CA" w:rsidP="00AE0A6C">
            <w:pPr>
              <w:rPr>
                <w:b/>
                <w:bCs/>
                <w:color w:val="000000" w:themeColor="text1"/>
                <w:sz w:val="22"/>
                <w:szCs w:val="22"/>
              </w:rPr>
            </w:pPr>
            <w:r w:rsidRPr="00625A76">
              <w:rPr>
                <w:b/>
                <w:bCs/>
                <w:color w:val="000000" w:themeColor="text1"/>
                <w:sz w:val="22"/>
                <w:szCs w:val="22"/>
              </w:rPr>
              <w:t>Genomic test</w:t>
            </w:r>
          </w:p>
        </w:tc>
        <w:tc>
          <w:tcPr>
            <w:tcW w:w="3544" w:type="dxa"/>
          </w:tcPr>
          <w:p w14:paraId="2C2C0FBE" w14:textId="77777777" w:rsidR="00A478CA" w:rsidRPr="00625A76" w:rsidRDefault="00A478CA" w:rsidP="00AE0A6C">
            <w:pPr>
              <w:rPr>
                <w:color w:val="000000" w:themeColor="text1"/>
                <w:sz w:val="22"/>
                <w:szCs w:val="22"/>
              </w:rPr>
            </w:pPr>
            <w:r w:rsidRPr="00625A76">
              <w:rPr>
                <w:color w:val="000000" w:themeColor="text1"/>
                <w:sz w:val="22"/>
                <w:szCs w:val="22"/>
              </w:rPr>
              <w:t>The “MammaPrint” 70-gene signature.</w:t>
            </w:r>
          </w:p>
        </w:tc>
        <w:tc>
          <w:tcPr>
            <w:tcW w:w="3402" w:type="dxa"/>
          </w:tcPr>
          <w:p w14:paraId="3164A75E" w14:textId="77777777" w:rsidR="00A478CA" w:rsidRPr="00625A76" w:rsidRDefault="00A478CA" w:rsidP="00AE0A6C">
            <w:pPr>
              <w:rPr>
                <w:color w:val="000000" w:themeColor="text1"/>
                <w:sz w:val="22"/>
                <w:szCs w:val="22"/>
              </w:rPr>
            </w:pPr>
            <w:r w:rsidRPr="00625A76">
              <w:rPr>
                <w:color w:val="000000" w:themeColor="text1"/>
                <w:sz w:val="22"/>
                <w:szCs w:val="22"/>
              </w:rPr>
              <w:t>The “Oncotype DX” 21-gene signature.</w:t>
            </w:r>
          </w:p>
        </w:tc>
      </w:tr>
      <w:tr w:rsidR="00625A76" w:rsidRPr="00B21CA2" w14:paraId="7423E376" w14:textId="77777777" w:rsidTr="00612EB4">
        <w:tc>
          <w:tcPr>
            <w:tcW w:w="2405" w:type="dxa"/>
          </w:tcPr>
          <w:p w14:paraId="22F8B6E5" w14:textId="77777777" w:rsidR="00A478CA" w:rsidRPr="00625A76" w:rsidRDefault="00A478CA" w:rsidP="00AE0A6C">
            <w:pPr>
              <w:rPr>
                <w:b/>
                <w:bCs/>
                <w:color w:val="000000" w:themeColor="text1"/>
                <w:sz w:val="22"/>
                <w:szCs w:val="22"/>
              </w:rPr>
            </w:pPr>
            <w:r w:rsidRPr="00625A76">
              <w:rPr>
                <w:b/>
                <w:bCs/>
                <w:color w:val="000000" w:themeColor="text1"/>
                <w:sz w:val="22"/>
                <w:szCs w:val="22"/>
              </w:rPr>
              <w:t>Clinical risk</w:t>
            </w:r>
          </w:p>
        </w:tc>
        <w:tc>
          <w:tcPr>
            <w:tcW w:w="3544" w:type="dxa"/>
          </w:tcPr>
          <w:p w14:paraId="3A8D3E8B" w14:textId="77777777" w:rsidR="00A478CA" w:rsidRPr="00625A76" w:rsidRDefault="00A478CA" w:rsidP="00AE0A6C">
            <w:pPr>
              <w:rPr>
                <w:color w:val="000000" w:themeColor="text1"/>
                <w:sz w:val="22"/>
                <w:szCs w:val="22"/>
              </w:rPr>
            </w:pPr>
            <w:r w:rsidRPr="00625A76">
              <w:rPr>
                <w:color w:val="000000" w:themeColor="text1"/>
                <w:sz w:val="22"/>
                <w:szCs w:val="22"/>
              </w:rPr>
              <w:t>Low risk was defined as a 10-year probability of breast-cancer–specific survival without systemic therapy &gt;88% for ER+ and &gt;92% for ER- breast cancer based on Adjuvant! Online.</w:t>
            </w:r>
          </w:p>
        </w:tc>
        <w:tc>
          <w:tcPr>
            <w:tcW w:w="3402" w:type="dxa"/>
          </w:tcPr>
          <w:p w14:paraId="57A51BAF" w14:textId="77777777" w:rsidR="00A478CA" w:rsidRPr="00625A76" w:rsidRDefault="00A478CA" w:rsidP="00AE0A6C">
            <w:pPr>
              <w:rPr>
                <w:color w:val="000000" w:themeColor="text1"/>
                <w:sz w:val="22"/>
                <w:szCs w:val="22"/>
              </w:rPr>
            </w:pPr>
            <w:r w:rsidRPr="00625A76">
              <w:rPr>
                <w:color w:val="000000" w:themeColor="text1"/>
                <w:sz w:val="22"/>
                <w:szCs w:val="22"/>
              </w:rPr>
              <w:t xml:space="preserve">No further classification based on clinical risk was made. </w:t>
            </w:r>
          </w:p>
        </w:tc>
      </w:tr>
      <w:tr w:rsidR="00625A76" w:rsidRPr="00B21CA2" w14:paraId="30C49467" w14:textId="77777777" w:rsidTr="00612EB4">
        <w:tc>
          <w:tcPr>
            <w:tcW w:w="2405" w:type="dxa"/>
          </w:tcPr>
          <w:p w14:paraId="1FDA0C5F" w14:textId="77777777" w:rsidR="00A478CA" w:rsidRPr="00625A76" w:rsidRDefault="00A478CA" w:rsidP="00AE0A6C">
            <w:pPr>
              <w:rPr>
                <w:b/>
                <w:bCs/>
                <w:color w:val="000000" w:themeColor="text1"/>
                <w:sz w:val="22"/>
                <w:szCs w:val="22"/>
              </w:rPr>
            </w:pPr>
            <w:r w:rsidRPr="00625A76">
              <w:rPr>
                <w:b/>
                <w:bCs/>
                <w:color w:val="000000" w:themeColor="text1"/>
                <w:sz w:val="22"/>
                <w:szCs w:val="22"/>
              </w:rPr>
              <w:t>Treatment</w:t>
            </w:r>
          </w:p>
        </w:tc>
        <w:tc>
          <w:tcPr>
            <w:tcW w:w="3544" w:type="dxa"/>
          </w:tcPr>
          <w:p w14:paraId="0B195E93" w14:textId="77777777" w:rsidR="00A478CA" w:rsidRPr="00625A76" w:rsidRDefault="00A478CA" w:rsidP="00AE0A6C">
            <w:pPr>
              <w:rPr>
                <w:color w:val="000000" w:themeColor="text1"/>
                <w:sz w:val="22"/>
                <w:szCs w:val="22"/>
              </w:rPr>
            </w:pPr>
            <w:r w:rsidRPr="00625A76">
              <w:rPr>
                <w:color w:val="000000" w:themeColor="text1"/>
                <w:sz w:val="22"/>
                <w:szCs w:val="22"/>
              </w:rPr>
              <w:t>Patients with discordant results were randomly assigned to the chemotherapy group or the no-chemotherapy group on the basis of either the clinical result or the genomic result.</w:t>
            </w:r>
          </w:p>
        </w:tc>
        <w:tc>
          <w:tcPr>
            <w:tcW w:w="3402" w:type="dxa"/>
          </w:tcPr>
          <w:p w14:paraId="674DDA82" w14:textId="77777777" w:rsidR="00A478CA" w:rsidRPr="00625A76" w:rsidRDefault="00A478CA" w:rsidP="00AE0A6C">
            <w:pPr>
              <w:rPr>
                <w:color w:val="000000" w:themeColor="text1"/>
                <w:sz w:val="22"/>
                <w:szCs w:val="22"/>
              </w:rPr>
            </w:pPr>
            <w:r w:rsidRPr="00625A76">
              <w:rPr>
                <w:color w:val="000000" w:themeColor="text1"/>
                <w:sz w:val="22"/>
                <w:szCs w:val="22"/>
              </w:rPr>
              <w:t>Women with a Oncotype DX score of 11 to 25 (mid-range) were randomized to receive endocrine therapy alone or endocrine therapy and chemotherapy.</w:t>
            </w:r>
          </w:p>
        </w:tc>
      </w:tr>
      <w:tr w:rsidR="00625A76" w:rsidRPr="00B21CA2" w14:paraId="219435CD" w14:textId="77777777" w:rsidTr="00612EB4">
        <w:tc>
          <w:tcPr>
            <w:tcW w:w="2405" w:type="dxa"/>
          </w:tcPr>
          <w:p w14:paraId="007E11D5" w14:textId="77777777" w:rsidR="00A478CA" w:rsidRPr="00625A76" w:rsidRDefault="00A478CA" w:rsidP="00AE0A6C">
            <w:pPr>
              <w:rPr>
                <w:b/>
                <w:bCs/>
                <w:color w:val="000000" w:themeColor="text1"/>
                <w:sz w:val="22"/>
                <w:szCs w:val="22"/>
              </w:rPr>
            </w:pPr>
            <w:r w:rsidRPr="00625A76">
              <w:rPr>
                <w:b/>
                <w:bCs/>
                <w:color w:val="000000" w:themeColor="text1"/>
                <w:sz w:val="22"/>
                <w:szCs w:val="22"/>
              </w:rPr>
              <w:t>Statistical test</w:t>
            </w:r>
          </w:p>
        </w:tc>
        <w:tc>
          <w:tcPr>
            <w:tcW w:w="3544" w:type="dxa"/>
          </w:tcPr>
          <w:p w14:paraId="7F7EC6C2" w14:textId="77777777" w:rsidR="00A478CA" w:rsidRPr="00625A76" w:rsidRDefault="00A478CA" w:rsidP="00AE0A6C">
            <w:pPr>
              <w:rPr>
                <w:color w:val="000000" w:themeColor="text1"/>
                <w:sz w:val="22"/>
                <w:szCs w:val="22"/>
              </w:rPr>
            </w:pPr>
            <w:r w:rsidRPr="00625A76">
              <w:rPr>
                <w:color w:val="000000" w:themeColor="text1"/>
                <w:sz w:val="22"/>
                <w:szCs w:val="22"/>
              </w:rPr>
              <w:t>Lower-boundary of the 95% confidence interval for the 5-year distant metastasis free survival 92% or higher.</w:t>
            </w:r>
          </w:p>
        </w:tc>
        <w:tc>
          <w:tcPr>
            <w:tcW w:w="3402" w:type="dxa"/>
          </w:tcPr>
          <w:p w14:paraId="3D9BEB07" w14:textId="77777777" w:rsidR="00A478CA" w:rsidRPr="00625A76" w:rsidRDefault="00A478CA" w:rsidP="00AE0A6C">
            <w:pPr>
              <w:rPr>
                <w:color w:val="000000" w:themeColor="text1"/>
                <w:sz w:val="22"/>
                <w:szCs w:val="22"/>
              </w:rPr>
            </w:pPr>
            <w:r w:rsidRPr="00625A76">
              <w:rPr>
                <w:color w:val="000000" w:themeColor="text1"/>
                <w:sz w:val="22"/>
                <w:szCs w:val="22"/>
              </w:rPr>
              <w:t xml:space="preserve">Null hypothesis of no difference in invasive disease-free survival (STEEP) between the arms with a one-sided type I error of 10% and a 5% type II error. </w:t>
            </w:r>
          </w:p>
        </w:tc>
      </w:tr>
      <w:tr w:rsidR="00625A76" w:rsidRPr="00B21CA2" w14:paraId="5CDC64F4" w14:textId="77777777" w:rsidTr="00612EB4">
        <w:tc>
          <w:tcPr>
            <w:tcW w:w="2405" w:type="dxa"/>
          </w:tcPr>
          <w:p w14:paraId="4DE0AD2C" w14:textId="77777777" w:rsidR="00A478CA" w:rsidRPr="00625A76" w:rsidRDefault="00A478CA" w:rsidP="00AE0A6C">
            <w:pPr>
              <w:rPr>
                <w:b/>
                <w:bCs/>
                <w:color w:val="000000" w:themeColor="text1"/>
                <w:sz w:val="22"/>
                <w:szCs w:val="22"/>
              </w:rPr>
            </w:pPr>
            <w:r w:rsidRPr="00625A76">
              <w:rPr>
                <w:b/>
                <w:bCs/>
                <w:color w:val="000000" w:themeColor="text1"/>
                <w:sz w:val="22"/>
                <w:szCs w:val="22"/>
              </w:rPr>
              <w:lastRenderedPageBreak/>
              <w:t>Primary analysis population</w:t>
            </w:r>
          </w:p>
        </w:tc>
        <w:tc>
          <w:tcPr>
            <w:tcW w:w="3544" w:type="dxa"/>
          </w:tcPr>
          <w:p w14:paraId="3F605790" w14:textId="77777777" w:rsidR="00A478CA" w:rsidRPr="00625A76" w:rsidRDefault="00A478CA" w:rsidP="00AE0A6C">
            <w:pPr>
              <w:rPr>
                <w:color w:val="000000" w:themeColor="text1"/>
                <w:sz w:val="22"/>
                <w:szCs w:val="22"/>
              </w:rPr>
            </w:pPr>
            <w:r w:rsidRPr="00625A76">
              <w:rPr>
                <w:color w:val="000000" w:themeColor="text1"/>
                <w:sz w:val="22"/>
                <w:szCs w:val="22"/>
              </w:rPr>
              <w:t>Patients with high-risk clinical features and low-risk gene-expression profile who did not receive chemotherapy (per protocol), n=644</w:t>
            </w:r>
          </w:p>
        </w:tc>
        <w:tc>
          <w:tcPr>
            <w:tcW w:w="3402" w:type="dxa"/>
          </w:tcPr>
          <w:p w14:paraId="6E0BFC56" w14:textId="77777777" w:rsidR="00A478CA" w:rsidRPr="00625A76" w:rsidRDefault="00A478CA" w:rsidP="00AE0A6C">
            <w:pPr>
              <w:rPr>
                <w:color w:val="000000" w:themeColor="text1"/>
                <w:sz w:val="22"/>
                <w:szCs w:val="22"/>
              </w:rPr>
            </w:pPr>
            <w:r w:rsidRPr="00625A76">
              <w:rPr>
                <w:color w:val="000000" w:themeColor="text1"/>
                <w:sz w:val="22"/>
                <w:szCs w:val="22"/>
              </w:rPr>
              <w:t>Women with a Oncotype DX score of 11 to 25 (intention-to-treat), n =6711</w:t>
            </w:r>
          </w:p>
        </w:tc>
      </w:tr>
      <w:tr w:rsidR="00A478CA" w:rsidRPr="00B21CA2" w14:paraId="5BB8B14F" w14:textId="77777777" w:rsidTr="00612EB4">
        <w:tc>
          <w:tcPr>
            <w:tcW w:w="2405" w:type="dxa"/>
          </w:tcPr>
          <w:p w14:paraId="0E19CC45" w14:textId="77777777" w:rsidR="00A478CA" w:rsidRPr="00625A76" w:rsidRDefault="00A478CA" w:rsidP="00AE0A6C">
            <w:pPr>
              <w:rPr>
                <w:b/>
                <w:bCs/>
                <w:color w:val="000000" w:themeColor="text1"/>
                <w:sz w:val="22"/>
                <w:szCs w:val="22"/>
              </w:rPr>
            </w:pPr>
            <w:r w:rsidRPr="00625A76">
              <w:rPr>
                <w:b/>
                <w:bCs/>
                <w:color w:val="000000" w:themeColor="text1"/>
                <w:sz w:val="22"/>
                <w:szCs w:val="22"/>
              </w:rPr>
              <w:t>Results</w:t>
            </w:r>
          </w:p>
        </w:tc>
        <w:tc>
          <w:tcPr>
            <w:tcW w:w="3544" w:type="dxa"/>
          </w:tcPr>
          <w:p w14:paraId="0EBE2E90" w14:textId="77777777" w:rsidR="00A478CA" w:rsidRPr="00625A76" w:rsidRDefault="00A478CA" w:rsidP="00AE0A6C">
            <w:pPr>
              <w:rPr>
                <w:color w:val="000000" w:themeColor="text1"/>
                <w:sz w:val="22"/>
                <w:szCs w:val="22"/>
              </w:rPr>
            </w:pPr>
            <w:r w:rsidRPr="00625A76">
              <w:rPr>
                <w:color w:val="000000" w:themeColor="text1"/>
                <w:sz w:val="22"/>
                <w:szCs w:val="22"/>
              </w:rPr>
              <w:t>In the clinical high-risk, genomic low-risk group who did not receive chemotherapy 5-year distant metastasis free survival was 94.7% (95% CI 92.5-96.2%).</w:t>
            </w:r>
          </w:p>
        </w:tc>
        <w:tc>
          <w:tcPr>
            <w:tcW w:w="3402" w:type="dxa"/>
          </w:tcPr>
          <w:p w14:paraId="310D0655" w14:textId="77777777" w:rsidR="00A478CA" w:rsidRPr="00625A76" w:rsidRDefault="00A478CA" w:rsidP="00AE0A6C">
            <w:pPr>
              <w:rPr>
                <w:color w:val="000000" w:themeColor="text1"/>
                <w:sz w:val="22"/>
                <w:szCs w:val="22"/>
              </w:rPr>
            </w:pPr>
            <w:r w:rsidRPr="00625A76">
              <w:rPr>
                <w:color w:val="000000" w:themeColor="text1"/>
                <w:sz w:val="22"/>
                <w:szCs w:val="22"/>
              </w:rPr>
              <w:t>The hazard ratio for invasive disease-free survival was 1.08 (95% CI, 0.94-1.24, p=0.26) for the endocrine alone arm compared to the chemotherapy + endocrine therapy arm.</w:t>
            </w:r>
          </w:p>
        </w:tc>
      </w:tr>
    </w:tbl>
    <w:p w14:paraId="57771A03" w14:textId="77777777" w:rsidR="00A478CA" w:rsidRPr="00625A76" w:rsidRDefault="00A478CA" w:rsidP="00A478CA">
      <w:pPr>
        <w:rPr>
          <w:color w:val="000000" w:themeColor="text1"/>
          <w:sz w:val="28"/>
          <w:szCs w:val="28"/>
          <w:lang w:val="en-US"/>
        </w:rPr>
      </w:pPr>
    </w:p>
    <w:p w14:paraId="0F2DB7AA" w14:textId="77777777" w:rsidR="00A478CA" w:rsidRPr="00625A76" w:rsidRDefault="00A478CA" w:rsidP="00A478CA">
      <w:pPr>
        <w:rPr>
          <w:color w:val="000000" w:themeColor="text1"/>
          <w:sz w:val="28"/>
          <w:szCs w:val="28"/>
          <w:lang w:val="en-US"/>
        </w:rPr>
      </w:pPr>
      <w:r w:rsidRPr="00625A76">
        <w:rPr>
          <w:color w:val="000000" w:themeColor="text1"/>
          <w:sz w:val="28"/>
          <w:szCs w:val="28"/>
          <w:lang w:val="en-US"/>
        </w:rPr>
        <w:t>Table 3</w:t>
      </w:r>
    </w:p>
    <w:tbl>
      <w:tblPr>
        <w:tblStyle w:val="TableGrid"/>
        <w:tblW w:w="9351" w:type="dxa"/>
        <w:tblLook w:val="04A0" w:firstRow="1" w:lastRow="0" w:firstColumn="1" w:lastColumn="0" w:noHBand="0" w:noVBand="1"/>
      </w:tblPr>
      <w:tblGrid>
        <w:gridCol w:w="2405"/>
        <w:gridCol w:w="3601"/>
        <w:gridCol w:w="3345"/>
      </w:tblGrid>
      <w:tr w:rsidR="00625A76" w:rsidRPr="00625A76" w14:paraId="0E4D5637" w14:textId="77777777" w:rsidTr="00612EB4">
        <w:tc>
          <w:tcPr>
            <w:tcW w:w="2405" w:type="dxa"/>
          </w:tcPr>
          <w:p w14:paraId="67EBAEAD" w14:textId="77777777" w:rsidR="00A478CA" w:rsidRPr="00625A76" w:rsidRDefault="00A478CA" w:rsidP="00AE0A6C">
            <w:pPr>
              <w:rPr>
                <w:color w:val="000000" w:themeColor="text1"/>
              </w:rPr>
            </w:pPr>
          </w:p>
        </w:tc>
        <w:tc>
          <w:tcPr>
            <w:tcW w:w="3601" w:type="dxa"/>
          </w:tcPr>
          <w:p w14:paraId="57990C58" w14:textId="77777777" w:rsidR="00A478CA" w:rsidRPr="00625A76" w:rsidRDefault="00A478CA" w:rsidP="00AE0A6C">
            <w:pPr>
              <w:rPr>
                <w:b/>
                <w:bCs/>
                <w:color w:val="000000" w:themeColor="text1"/>
              </w:rPr>
            </w:pPr>
            <w:r w:rsidRPr="00625A76">
              <w:rPr>
                <w:b/>
                <w:bCs/>
                <w:color w:val="000000" w:themeColor="text1"/>
              </w:rPr>
              <w:t>COMPASS</w:t>
            </w:r>
          </w:p>
        </w:tc>
        <w:tc>
          <w:tcPr>
            <w:tcW w:w="3345" w:type="dxa"/>
          </w:tcPr>
          <w:p w14:paraId="257B8295" w14:textId="77777777" w:rsidR="00A478CA" w:rsidRPr="00625A76" w:rsidRDefault="00A478CA" w:rsidP="00AE0A6C">
            <w:pPr>
              <w:rPr>
                <w:b/>
                <w:bCs/>
                <w:color w:val="000000" w:themeColor="text1"/>
              </w:rPr>
            </w:pPr>
            <w:r w:rsidRPr="00625A76">
              <w:rPr>
                <w:b/>
                <w:bCs/>
                <w:color w:val="000000" w:themeColor="text1"/>
              </w:rPr>
              <w:t>DECRESCENDO</w:t>
            </w:r>
          </w:p>
        </w:tc>
      </w:tr>
      <w:tr w:rsidR="00625A76" w:rsidRPr="00B21CA2" w14:paraId="0A7395B8" w14:textId="77777777" w:rsidTr="00612EB4">
        <w:tc>
          <w:tcPr>
            <w:tcW w:w="2405" w:type="dxa"/>
          </w:tcPr>
          <w:p w14:paraId="47F1256A" w14:textId="77777777" w:rsidR="00A478CA" w:rsidRPr="00625A76" w:rsidRDefault="00A478CA" w:rsidP="00AE0A6C">
            <w:pPr>
              <w:rPr>
                <w:rFonts w:asciiTheme="majorHAnsi" w:hAnsiTheme="majorHAnsi" w:cstheme="majorHAnsi"/>
                <w:b/>
                <w:bCs/>
                <w:color w:val="000000" w:themeColor="text1"/>
              </w:rPr>
            </w:pPr>
            <w:r w:rsidRPr="00625A76">
              <w:rPr>
                <w:rFonts w:asciiTheme="majorHAnsi" w:hAnsiTheme="majorHAnsi" w:cstheme="majorHAnsi"/>
                <w:b/>
                <w:bCs/>
                <w:color w:val="000000" w:themeColor="text1"/>
                <w:sz w:val="22"/>
                <w:szCs w:val="22"/>
              </w:rPr>
              <w:t>Study population</w:t>
            </w:r>
          </w:p>
        </w:tc>
        <w:tc>
          <w:tcPr>
            <w:tcW w:w="3601" w:type="dxa"/>
          </w:tcPr>
          <w:p w14:paraId="09353E82" w14:textId="77777777" w:rsidR="00A478CA" w:rsidRPr="00625A76" w:rsidRDefault="00A478CA" w:rsidP="00AE0A6C">
            <w:pPr>
              <w:rPr>
                <w:color w:val="000000" w:themeColor="text1"/>
              </w:rPr>
            </w:pPr>
            <w:r w:rsidRPr="00625A76">
              <w:rPr>
                <w:color w:val="000000" w:themeColor="text1"/>
              </w:rPr>
              <w:t>Stage 2 or 3a HER2-positive breast cancer, n=1250</w:t>
            </w:r>
          </w:p>
        </w:tc>
        <w:tc>
          <w:tcPr>
            <w:tcW w:w="3345" w:type="dxa"/>
          </w:tcPr>
          <w:p w14:paraId="5AABC363" w14:textId="77777777" w:rsidR="00A478CA" w:rsidRPr="00625A76" w:rsidRDefault="00A478CA" w:rsidP="00AE0A6C">
            <w:pPr>
              <w:rPr>
                <w:color w:val="000000" w:themeColor="text1"/>
              </w:rPr>
            </w:pPr>
            <w:r w:rsidRPr="00625A76">
              <w:rPr>
                <w:color w:val="000000" w:themeColor="text1"/>
              </w:rPr>
              <w:t>HER2-positiver, ER-negative, breast cancer, &gt;=15mm and =&lt;50mm, axillary node negative, non-metastatic, n=1065</w:t>
            </w:r>
          </w:p>
        </w:tc>
      </w:tr>
      <w:tr w:rsidR="00625A76" w:rsidRPr="00B21CA2" w14:paraId="5BA9A94E" w14:textId="77777777" w:rsidTr="00612EB4">
        <w:tc>
          <w:tcPr>
            <w:tcW w:w="2405" w:type="dxa"/>
          </w:tcPr>
          <w:p w14:paraId="0F4364C6" w14:textId="77777777" w:rsidR="00A478CA" w:rsidRPr="00625A76" w:rsidRDefault="00A478CA" w:rsidP="00AE0A6C">
            <w:pPr>
              <w:rPr>
                <w:rFonts w:asciiTheme="majorHAnsi" w:hAnsiTheme="majorHAnsi" w:cstheme="majorHAnsi"/>
                <w:b/>
                <w:bCs/>
                <w:color w:val="000000" w:themeColor="text1"/>
              </w:rPr>
            </w:pPr>
            <w:r w:rsidRPr="00625A76">
              <w:rPr>
                <w:rFonts w:asciiTheme="majorHAnsi" w:hAnsiTheme="majorHAnsi" w:cstheme="majorHAnsi"/>
                <w:b/>
                <w:bCs/>
                <w:color w:val="000000" w:themeColor="text1"/>
                <w:sz w:val="22"/>
                <w:szCs w:val="22"/>
              </w:rPr>
              <w:t>Neoadjuvant treatment</w:t>
            </w:r>
          </w:p>
        </w:tc>
        <w:tc>
          <w:tcPr>
            <w:tcW w:w="3601" w:type="dxa"/>
          </w:tcPr>
          <w:p w14:paraId="277DCADC" w14:textId="77777777" w:rsidR="00A478CA" w:rsidRPr="00625A76" w:rsidRDefault="00A478CA" w:rsidP="00AE0A6C">
            <w:pPr>
              <w:rPr>
                <w:color w:val="000000" w:themeColor="text1"/>
              </w:rPr>
            </w:pPr>
            <w:r w:rsidRPr="00625A76">
              <w:rPr>
                <w:color w:val="000000" w:themeColor="text1"/>
              </w:rPr>
              <w:t>Paclitaxel or docetaxel plus trastuzumab and pertuzumab for 12 weeks.</w:t>
            </w:r>
          </w:p>
        </w:tc>
        <w:tc>
          <w:tcPr>
            <w:tcW w:w="3345" w:type="dxa"/>
          </w:tcPr>
          <w:p w14:paraId="1FDC25FA" w14:textId="77777777" w:rsidR="00A478CA" w:rsidRPr="00625A76" w:rsidRDefault="00A478CA" w:rsidP="00AE0A6C">
            <w:pPr>
              <w:rPr>
                <w:color w:val="000000" w:themeColor="text1"/>
              </w:rPr>
            </w:pPr>
            <w:r w:rsidRPr="00625A76">
              <w:rPr>
                <w:color w:val="000000" w:themeColor="text1"/>
              </w:rPr>
              <w:t>Paclitaxel or docetaxel plus (subcutaneous) trastuzumab and pertuzumab for 12 weeks</w:t>
            </w:r>
          </w:p>
        </w:tc>
      </w:tr>
      <w:tr w:rsidR="00625A76" w:rsidRPr="00B21CA2" w14:paraId="3A44FDD3" w14:textId="77777777" w:rsidTr="00612EB4">
        <w:tc>
          <w:tcPr>
            <w:tcW w:w="2405" w:type="dxa"/>
          </w:tcPr>
          <w:p w14:paraId="16D10C1A" w14:textId="4AFFE2EE" w:rsidR="00A478CA" w:rsidRPr="00625A76" w:rsidRDefault="00A478CA" w:rsidP="00AE0A6C">
            <w:pPr>
              <w:rPr>
                <w:rFonts w:asciiTheme="majorHAnsi" w:hAnsiTheme="majorHAnsi" w:cstheme="majorHAnsi"/>
                <w:b/>
                <w:bCs/>
                <w:color w:val="000000" w:themeColor="text1"/>
              </w:rPr>
            </w:pPr>
            <w:r w:rsidRPr="00625A76">
              <w:rPr>
                <w:rFonts w:asciiTheme="majorHAnsi" w:hAnsiTheme="majorHAnsi" w:cstheme="majorHAnsi"/>
                <w:b/>
                <w:bCs/>
                <w:color w:val="000000" w:themeColor="text1"/>
              </w:rPr>
              <w:t>Adjuvant treatment if pCR</w:t>
            </w:r>
            <w:r w:rsidR="00612EB4" w:rsidRPr="00625A76">
              <w:rPr>
                <w:rFonts w:asciiTheme="majorHAnsi" w:hAnsiTheme="majorHAnsi" w:cstheme="majorHAnsi"/>
                <w:b/>
                <w:bCs/>
                <w:color w:val="000000" w:themeColor="text1"/>
              </w:rPr>
              <w:t xml:space="preserve"> achieved</w:t>
            </w:r>
          </w:p>
        </w:tc>
        <w:tc>
          <w:tcPr>
            <w:tcW w:w="3601" w:type="dxa"/>
          </w:tcPr>
          <w:p w14:paraId="6CC9F119" w14:textId="77777777" w:rsidR="00A478CA" w:rsidRPr="00625A76" w:rsidRDefault="00A478CA" w:rsidP="00AE0A6C">
            <w:pPr>
              <w:rPr>
                <w:color w:val="000000" w:themeColor="text1"/>
              </w:rPr>
            </w:pPr>
            <w:r w:rsidRPr="00625A76">
              <w:rPr>
                <w:color w:val="000000" w:themeColor="text1"/>
              </w:rPr>
              <w:t>Complete 1 year of trastuzumab and pertuzumab, no further chemotherapy.</w:t>
            </w:r>
          </w:p>
        </w:tc>
        <w:tc>
          <w:tcPr>
            <w:tcW w:w="3345" w:type="dxa"/>
          </w:tcPr>
          <w:p w14:paraId="1A333A01" w14:textId="77777777" w:rsidR="00A478CA" w:rsidRPr="00625A76" w:rsidRDefault="00A478CA" w:rsidP="00AE0A6C">
            <w:pPr>
              <w:rPr>
                <w:color w:val="000000" w:themeColor="text1"/>
              </w:rPr>
            </w:pPr>
            <w:r w:rsidRPr="00625A76">
              <w:rPr>
                <w:color w:val="000000" w:themeColor="text1"/>
              </w:rPr>
              <w:t>Complete 1 year of (subcutaneous) trastuzumab and pertuzumab, no further chemotherapy</w:t>
            </w:r>
          </w:p>
        </w:tc>
      </w:tr>
      <w:tr w:rsidR="00625A76" w:rsidRPr="00B21CA2" w14:paraId="32A642CA" w14:textId="77777777" w:rsidTr="00612EB4">
        <w:tc>
          <w:tcPr>
            <w:tcW w:w="2405" w:type="dxa"/>
          </w:tcPr>
          <w:p w14:paraId="03CA49BE" w14:textId="77777777" w:rsidR="00A478CA" w:rsidRPr="00625A76" w:rsidRDefault="00A478CA" w:rsidP="00AE0A6C">
            <w:pPr>
              <w:rPr>
                <w:rFonts w:asciiTheme="majorHAnsi" w:hAnsiTheme="majorHAnsi" w:cstheme="majorHAnsi"/>
                <w:b/>
                <w:bCs/>
                <w:color w:val="000000" w:themeColor="text1"/>
              </w:rPr>
            </w:pPr>
            <w:r w:rsidRPr="00625A76">
              <w:rPr>
                <w:rFonts w:asciiTheme="majorHAnsi" w:hAnsiTheme="majorHAnsi" w:cstheme="majorHAnsi"/>
                <w:b/>
                <w:bCs/>
                <w:color w:val="000000" w:themeColor="text1"/>
              </w:rPr>
              <w:t>Adjuvant treatment if no pCR</w:t>
            </w:r>
          </w:p>
        </w:tc>
        <w:tc>
          <w:tcPr>
            <w:tcW w:w="3601" w:type="dxa"/>
          </w:tcPr>
          <w:p w14:paraId="027BB972" w14:textId="77777777" w:rsidR="00A478CA" w:rsidRPr="00625A76" w:rsidRDefault="00A478CA" w:rsidP="00AE0A6C">
            <w:pPr>
              <w:rPr>
                <w:color w:val="000000" w:themeColor="text1"/>
              </w:rPr>
            </w:pPr>
            <w:r w:rsidRPr="00625A76">
              <w:rPr>
                <w:color w:val="000000" w:themeColor="text1"/>
              </w:rPr>
              <w:t>Randomization between T-DM1 alone or T-DM1 + tucatinib for 1 year.</w:t>
            </w:r>
          </w:p>
        </w:tc>
        <w:tc>
          <w:tcPr>
            <w:tcW w:w="3345" w:type="dxa"/>
          </w:tcPr>
          <w:p w14:paraId="5F85FF76" w14:textId="77777777" w:rsidR="00A478CA" w:rsidRPr="00625A76" w:rsidRDefault="00A478CA" w:rsidP="00AE0A6C">
            <w:pPr>
              <w:rPr>
                <w:color w:val="000000" w:themeColor="text1"/>
              </w:rPr>
            </w:pPr>
            <w:r w:rsidRPr="00625A76">
              <w:rPr>
                <w:color w:val="000000" w:themeColor="text1"/>
              </w:rPr>
              <w:t xml:space="preserve">T-DM1 to complete 1 year of anti-HER2 therapy, patients with a </w:t>
            </w:r>
            <w:proofErr w:type="spellStart"/>
            <w:r w:rsidRPr="00625A76">
              <w:rPr>
                <w:color w:val="000000" w:themeColor="text1"/>
              </w:rPr>
              <w:t>recidual</w:t>
            </w:r>
            <w:proofErr w:type="spellEnd"/>
            <w:r w:rsidRPr="00625A76">
              <w:rPr>
                <w:color w:val="000000" w:themeColor="text1"/>
              </w:rPr>
              <w:t xml:space="preserve"> burden score of 2 or larger can receive 3-4 cycles of anthracycline-based chemotherapy at the investigator’s discretion.</w:t>
            </w:r>
          </w:p>
        </w:tc>
      </w:tr>
      <w:tr w:rsidR="00A478CA" w:rsidRPr="00B21CA2" w14:paraId="013C1D0A" w14:textId="77777777" w:rsidTr="00612EB4">
        <w:tc>
          <w:tcPr>
            <w:tcW w:w="2405" w:type="dxa"/>
          </w:tcPr>
          <w:p w14:paraId="2F5CFF99" w14:textId="77777777" w:rsidR="00A478CA" w:rsidRPr="00625A76" w:rsidRDefault="00A478CA" w:rsidP="00AE0A6C">
            <w:pPr>
              <w:rPr>
                <w:rFonts w:asciiTheme="majorHAnsi" w:hAnsiTheme="majorHAnsi" w:cstheme="majorHAnsi"/>
                <w:b/>
                <w:bCs/>
                <w:color w:val="000000" w:themeColor="text1"/>
              </w:rPr>
            </w:pPr>
            <w:r w:rsidRPr="00625A76">
              <w:rPr>
                <w:rFonts w:asciiTheme="majorHAnsi" w:hAnsiTheme="majorHAnsi" w:cstheme="majorHAnsi"/>
                <w:b/>
                <w:bCs/>
                <w:color w:val="000000" w:themeColor="text1"/>
              </w:rPr>
              <w:t>Non-inferiority margin</w:t>
            </w:r>
          </w:p>
        </w:tc>
        <w:tc>
          <w:tcPr>
            <w:tcW w:w="3601" w:type="dxa"/>
          </w:tcPr>
          <w:p w14:paraId="1DC65D9C" w14:textId="77777777" w:rsidR="00A478CA" w:rsidRPr="00625A76" w:rsidRDefault="00A478CA" w:rsidP="00AE0A6C">
            <w:pPr>
              <w:rPr>
                <w:color w:val="000000" w:themeColor="text1"/>
              </w:rPr>
            </w:pPr>
            <w:r w:rsidRPr="00625A76">
              <w:rPr>
                <w:color w:val="000000" w:themeColor="text1"/>
              </w:rPr>
              <w:t>3-year recurrence-free survival &gt;=95%, lower 95% CI limit &gt; 92%</w:t>
            </w:r>
          </w:p>
        </w:tc>
        <w:tc>
          <w:tcPr>
            <w:tcW w:w="3345" w:type="dxa"/>
          </w:tcPr>
          <w:p w14:paraId="5E01F905" w14:textId="77777777" w:rsidR="00A478CA" w:rsidRPr="00625A76" w:rsidRDefault="00A478CA" w:rsidP="00AE0A6C">
            <w:pPr>
              <w:rPr>
                <w:color w:val="000000" w:themeColor="text1"/>
              </w:rPr>
            </w:pPr>
            <w:r w:rsidRPr="00625A76">
              <w:rPr>
                <w:color w:val="000000" w:themeColor="text1"/>
              </w:rPr>
              <w:t>3-year recurrence-free survival &gt;=94%, lower 95% CI limit &gt; 92%</w:t>
            </w:r>
          </w:p>
          <w:p w14:paraId="0CBB1C5F" w14:textId="77777777" w:rsidR="00A478CA" w:rsidRPr="00625A76" w:rsidRDefault="00A478CA" w:rsidP="00AE0A6C">
            <w:pPr>
              <w:rPr>
                <w:color w:val="000000" w:themeColor="text1"/>
              </w:rPr>
            </w:pPr>
            <w:proofErr w:type="spellStart"/>
            <w:r w:rsidRPr="00625A76">
              <w:rPr>
                <w:color w:val="000000" w:themeColor="text1"/>
              </w:rPr>
              <w:t>Hierachical</w:t>
            </w:r>
            <w:proofErr w:type="spellEnd"/>
            <w:r w:rsidRPr="00625A76">
              <w:rPr>
                <w:color w:val="000000" w:themeColor="text1"/>
              </w:rPr>
              <w:t xml:space="preserve"> analysis: first patients with HER2-enriched tumors by PAM50, then overall population</w:t>
            </w:r>
          </w:p>
        </w:tc>
      </w:tr>
    </w:tbl>
    <w:p w14:paraId="60B1670B" w14:textId="123561FD" w:rsidR="00A478CA" w:rsidRPr="00625A76" w:rsidRDefault="00A478CA" w:rsidP="00083C5D">
      <w:pPr>
        <w:rPr>
          <w:color w:val="000000" w:themeColor="text1"/>
          <w:sz w:val="28"/>
          <w:szCs w:val="28"/>
          <w:lang w:val="en-US"/>
        </w:rPr>
      </w:pPr>
    </w:p>
    <w:p w14:paraId="24FCEC5F" w14:textId="77777777" w:rsidR="00A478CA" w:rsidRPr="00625A76" w:rsidRDefault="00A478CA">
      <w:pPr>
        <w:rPr>
          <w:color w:val="000000" w:themeColor="text1"/>
          <w:sz w:val="28"/>
          <w:szCs w:val="28"/>
          <w:lang w:val="en-US"/>
        </w:rPr>
      </w:pPr>
      <w:r w:rsidRPr="00625A76">
        <w:rPr>
          <w:color w:val="000000" w:themeColor="text1"/>
          <w:sz w:val="28"/>
          <w:szCs w:val="28"/>
          <w:lang w:val="en-US"/>
        </w:rPr>
        <w:br w:type="page"/>
      </w:r>
    </w:p>
    <w:p w14:paraId="1FA4EEA6" w14:textId="1384D302" w:rsidR="00A478CA" w:rsidRPr="00625A76" w:rsidRDefault="00A478CA" w:rsidP="00083C5D">
      <w:pPr>
        <w:rPr>
          <w:b/>
          <w:bCs/>
          <w:color w:val="000000" w:themeColor="text1"/>
          <w:sz w:val="32"/>
          <w:szCs w:val="32"/>
          <w:lang w:val="en-US"/>
        </w:rPr>
      </w:pPr>
      <w:r w:rsidRPr="00625A76">
        <w:rPr>
          <w:b/>
          <w:bCs/>
          <w:color w:val="000000" w:themeColor="text1"/>
          <w:sz w:val="32"/>
          <w:szCs w:val="32"/>
          <w:lang w:val="en-US"/>
        </w:rPr>
        <w:lastRenderedPageBreak/>
        <w:t>Figure</w:t>
      </w:r>
      <w:r w:rsidR="00AA0036" w:rsidRPr="00625A76">
        <w:rPr>
          <w:b/>
          <w:bCs/>
          <w:color w:val="000000" w:themeColor="text1"/>
          <w:sz w:val="32"/>
          <w:szCs w:val="32"/>
          <w:lang w:val="en-US"/>
        </w:rPr>
        <w:t>s</w:t>
      </w:r>
    </w:p>
    <w:p w14:paraId="3DF8D66A" w14:textId="74821AA6" w:rsidR="00A478CA" w:rsidRPr="00625A76" w:rsidRDefault="006557B5" w:rsidP="00083C5D">
      <w:pPr>
        <w:rPr>
          <w:b/>
          <w:bCs/>
          <w:color w:val="000000" w:themeColor="text1"/>
          <w:sz w:val="28"/>
          <w:szCs w:val="28"/>
          <w:lang w:val="en-US"/>
        </w:rPr>
      </w:pPr>
      <w:r w:rsidRPr="00625A76">
        <w:rPr>
          <w:b/>
          <w:bCs/>
          <w:noProof/>
          <w:color w:val="000000" w:themeColor="text1"/>
          <w:sz w:val="28"/>
          <w:szCs w:val="28"/>
          <w:lang w:val="en-US"/>
        </w:rPr>
        <w:drawing>
          <wp:inline distT="0" distB="0" distL="0" distR="0" wp14:anchorId="3E454266" wp14:editId="4AF5F31F">
            <wp:extent cx="6159206" cy="2257425"/>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 Roadmap_draft3.pdf"/>
                    <pic:cNvPicPr/>
                  </pic:nvPicPr>
                  <pic:blipFill>
                    <a:blip r:embed="rId9">
                      <a:extLst>
                        <a:ext uri="{28A0092B-C50C-407E-A947-70E740481C1C}">
                          <a14:useLocalDpi xmlns:a14="http://schemas.microsoft.com/office/drawing/2010/main" val="0"/>
                        </a:ext>
                      </a:extLst>
                    </a:blip>
                    <a:stretch>
                      <a:fillRect/>
                    </a:stretch>
                  </pic:blipFill>
                  <pic:spPr>
                    <a:xfrm>
                      <a:off x="0" y="0"/>
                      <a:ext cx="6162510" cy="2258636"/>
                    </a:xfrm>
                    <a:prstGeom prst="rect">
                      <a:avLst/>
                    </a:prstGeom>
                  </pic:spPr>
                </pic:pic>
              </a:graphicData>
            </a:graphic>
          </wp:inline>
        </w:drawing>
      </w:r>
      <w:r w:rsidR="00A478CA" w:rsidRPr="00625A76">
        <w:rPr>
          <w:b/>
          <w:bCs/>
          <w:color w:val="000000" w:themeColor="text1"/>
          <w:sz w:val="28"/>
          <w:szCs w:val="28"/>
          <w:lang w:val="en-US"/>
        </w:rPr>
        <w:t xml:space="preserve">Figure 1. </w:t>
      </w:r>
      <w:r w:rsidR="00835090" w:rsidRPr="00625A76">
        <w:rPr>
          <w:color w:val="000000" w:themeColor="text1"/>
          <w:sz w:val="28"/>
          <w:szCs w:val="28"/>
          <w:lang w:val="en-US"/>
        </w:rPr>
        <w:t>The proposed roadmap to safe and well-designed de-escalation trials of systemic adjuvant therapies in solid tumors</w:t>
      </w:r>
    </w:p>
    <w:sectPr w:rsidR="00A478CA" w:rsidRPr="00625A7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FFA1F" w14:textId="77777777" w:rsidR="006D6078" w:rsidRDefault="006D6078" w:rsidP="004107E3">
      <w:r>
        <w:separator/>
      </w:r>
    </w:p>
  </w:endnote>
  <w:endnote w:type="continuationSeparator" w:id="0">
    <w:p w14:paraId="7A44FAAC" w14:textId="77777777" w:rsidR="006D6078" w:rsidRDefault="006D6078" w:rsidP="0041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CC752" w14:textId="34272161" w:rsidR="003D1C98" w:rsidRDefault="003D1C98">
    <w:pPr>
      <w:pStyle w:val="Footer"/>
    </w:pPr>
    <w:r>
      <w:fldChar w:fldCharType="begin"/>
    </w:r>
    <w:r>
      <w:instrText xml:space="preserve"> TIME \@ "dd-MM-yy HH:mm" </w:instrText>
    </w:r>
    <w:r>
      <w:fldChar w:fldCharType="separate"/>
    </w:r>
    <w:r w:rsidR="00D733D1">
      <w:rPr>
        <w:noProof/>
      </w:rPr>
      <w:t>10-08-20 12:46</w:t>
    </w:r>
    <w:r>
      <w:fldChar w:fldCharType="end"/>
    </w:r>
  </w:p>
  <w:p w14:paraId="488EBAEB" w14:textId="77777777" w:rsidR="003D1C98" w:rsidRDefault="003D1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FA796" w14:textId="77777777" w:rsidR="006D6078" w:rsidRDefault="006D6078" w:rsidP="004107E3">
      <w:r>
        <w:separator/>
      </w:r>
    </w:p>
  </w:footnote>
  <w:footnote w:type="continuationSeparator" w:id="0">
    <w:p w14:paraId="0DECB416" w14:textId="77777777" w:rsidR="006D6078" w:rsidRDefault="006D6078" w:rsidP="00410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5875080"/>
      <w:docPartObj>
        <w:docPartGallery w:val="Page Numbers (Top of Page)"/>
        <w:docPartUnique/>
      </w:docPartObj>
    </w:sdtPr>
    <w:sdtEndPr>
      <w:rPr>
        <w:noProof/>
      </w:rPr>
    </w:sdtEndPr>
    <w:sdtContent>
      <w:p w14:paraId="1F755E57" w14:textId="4221017F" w:rsidR="003D1C98" w:rsidRDefault="003D1C9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A41C00A" w14:textId="77777777" w:rsidR="003D1C98" w:rsidRDefault="003D1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05EE"/>
    <w:multiLevelType w:val="hybridMultilevel"/>
    <w:tmpl w:val="6CD828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633B1"/>
    <w:multiLevelType w:val="hybridMultilevel"/>
    <w:tmpl w:val="C28892F0"/>
    <w:lvl w:ilvl="0" w:tplc="AC024B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3F0CB6"/>
    <w:multiLevelType w:val="hybridMultilevel"/>
    <w:tmpl w:val="B06832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D6"/>
    <w:rsid w:val="00003056"/>
    <w:rsid w:val="00003182"/>
    <w:rsid w:val="00025707"/>
    <w:rsid w:val="00026C3F"/>
    <w:rsid w:val="0003575E"/>
    <w:rsid w:val="00035817"/>
    <w:rsid w:val="00040A57"/>
    <w:rsid w:val="000432C5"/>
    <w:rsid w:val="00046E54"/>
    <w:rsid w:val="00053A68"/>
    <w:rsid w:val="00055AA8"/>
    <w:rsid w:val="000573C8"/>
    <w:rsid w:val="000619FC"/>
    <w:rsid w:val="0006343C"/>
    <w:rsid w:val="0006486F"/>
    <w:rsid w:val="0006778F"/>
    <w:rsid w:val="000730A0"/>
    <w:rsid w:val="00083C5D"/>
    <w:rsid w:val="00084C25"/>
    <w:rsid w:val="00090337"/>
    <w:rsid w:val="0009637A"/>
    <w:rsid w:val="000970A3"/>
    <w:rsid w:val="000B6D28"/>
    <w:rsid w:val="000C30B7"/>
    <w:rsid w:val="000D35D6"/>
    <w:rsid w:val="000D550E"/>
    <w:rsid w:val="000D57C1"/>
    <w:rsid w:val="000D5E34"/>
    <w:rsid w:val="000E0A9C"/>
    <w:rsid w:val="000E6A80"/>
    <w:rsid w:val="000E7FEB"/>
    <w:rsid w:val="000F3D45"/>
    <w:rsid w:val="001004A2"/>
    <w:rsid w:val="00107381"/>
    <w:rsid w:val="001128B0"/>
    <w:rsid w:val="00112B8E"/>
    <w:rsid w:val="00114F36"/>
    <w:rsid w:val="00122AB9"/>
    <w:rsid w:val="001251F5"/>
    <w:rsid w:val="00133EAE"/>
    <w:rsid w:val="00137A83"/>
    <w:rsid w:val="001614ED"/>
    <w:rsid w:val="00165080"/>
    <w:rsid w:val="00171B16"/>
    <w:rsid w:val="0017309B"/>
    <w:rsid w:val="0017452A"/>
    <w:rsid w:val="00193BAF"/>
    <w:rsid w:val="00194252"/>
    <w:rsid w:val="001A1C1C"/>
    <w:rsid w:val="001B6055"/>
    <w:rsid w:val="001B6FF8"/>
    <w:rsid w:val="001C3504"/>
    <w:rsid w:val="001D24F0"/>
    <w:rsid w:val="001D5413"/>
    <w:rsid w:val="001E367A"/>
    <w:rsid w:val="001E7AA6"/>
    <w:rsid w:val="001E7AE3"/>
    <w:rsid w:val="001F3045"/>
    <w:rsid w:val="00200032"/>
    <w:rsid w:val="00200730"/>
    <w:rsid w:val="00212A8E"/>
    <w:rsid w:val="00212C7E"/>
    <w:rsid w:val="002138D9"/>
    <w:rsid w:val="00214B0C"/>
    <w:rsid w:val="00226B90"/>
    <w:rsid w:val="0023424C"/>
    <w:rsid w:val="00236ECC"/>
    <w:rsid w:val="0024137D"/>
    <w:rsid w:val="00243571"/>
    <w:rsid w:val="00245360"/>
    <w:rsid w:val="00254898"/>
    <w:rsid w:val="002768C0"/>
    <w:rsid w:val="00281DDE"/>
    <w:rsid w:val="00283D86"/>
    <w:rsid w:val="002868B7"/>
    <w:rsid w:val="002A0B41"/>
    <w:rsid w:val="002A4AA4"/>
    <w:rsid w:val="002A633B"/>
    <w:rsid w:val="002A6F26"/>
    <w:rsid w:val="002A7BC0"/>
    <w:rsid w:val="002B1BE4"/>
    <w:rsid w:val="002E6264"/>
    <w:rsid w:val="002F3AF2"/>
    <w:rsid w:val="003127FE"/>
    <w:rsid w:val="00327062"/>
    <w:rsid w:val="00331BFD"/>
    <w:rsid w:val="003320E0"/>
    <w:rsid w:val="00332EBA"/>
    <w:rsid w:val="003348EB"/>
    <w:rsid w:val="00365473"/>
    <w:rsid w:val="0037113C"/>
    <w:rsid w:val="00373359"/>
    <w:rsid w:val="0037359A"/>
    <w:rsid w:val="0037473E"/>
    <w:rsid w:val="0037739F"/>
    <w:rsid w:val="00380949"/>
    <w:rsid w:val="00386427"/>
    <w:rsid w:val="003923FD"/>
    <w:rsid w:val="003A3BB0"/>
    <w:rsid w:val="003A4385"/>
    <w:rsid w:val="003B133F"/>
    <w:rsid w:val="003B76E0"/>
    <w:rsid w:val="003C0A98"/>
    <w:rsid w:val="003D1C98"/>
    <w:rsid w:val="003D6E25"/>
    <w:rsid w:val="003E3729"/>
    <w:rsid w:val="003E61AC"/>
    <w:rsid w:val="003E61C2"/>
    <w:rsid w:val="003F1816"/>
    <w:rsid w:val="004054B6"/>
    <w:rsid w:val="00407294"/>
    <w:rsid w:val="004107E3"/>
    <w:rsid w:val="00420408"/>
    <w:rsid w:val="004242FE"/>
    <w:rsid w:val="00426612"/>
    <w:rsid w:val="00441116"/>
    <w:rsid w:val="00461388"/>
    <w:rsid w:val="004762D4"/>
    <w:rsid w:val="00481EE8"/>
    <w:rsid w:val="0048569A"/>
    <w:rsid w:val="00492B6F"/>
    <w:rsid w:val="004A42D0"/>
    <w:rsid w:val="004A66E2"/>
    <w:rsid w:val="004A7D73"/>
    <w:rsid w:val="004C654E"/>
    <w:rsid w:val="004D1E8A"/>
    <w:rsid w:val="004D5F95"/>
    <w:rsid w:val="004E1FFA"/>
    <w:rsid w:val="004E6C2A"/>
    <w:rsid w:val="004F0318"/>
    <w:rsid w:val="004F0F4C"/>
    <w:rsid w:val="00520DC6"/>
    <w:rsid w:val="005219E1"/>
    <w:rsid w:val="005268A2"/>
    <w:rsid w:val="00557040"/>
    <w:rsid w:val="005725CC"/>
    <w:rsid w:val="005B55B9"/>
    <w:rsid w:val="005B7A72"/>
    <w:rsid w:val="005C1453"/>
    <w:rsid w:val="005C7D55"/>
    <w:rsid w:val="005D0F0F"/>
    <w:rsid w:val="005D2612"/>
    <w:rsid w:val="005D28EE"/>
    <w:rsid w:val="005F2F65"/>
    <w:rsid w:val="00601F4A"/>
    <w:rsid w:val="00612EB4"/>
    <w:rsid w:val="00621823"/>
    <w:rsid w:val="00625A76"/>
    <w:rsid w:val="00635475"/>
    <w:rsid w:val="00643A67"/>
    <w:rsid w:val="00644C34"/>
    <w:rsid w:val="00650564"/>
    <w:rsid w:val="006507EA"/>
    <w:rsid w:val="006557B5"/>
    <w:rsid w:val="00662CFF"/>
    <w:rsid w:val="00667CBD"/>
    <w:rsid w:val="006727C7"/>
    <w:rsid w:val="006776DB"/>
    <w:rsid w:val="006900D1"/>
    <w:rsid w:val="00696F47"/>
    <w:rsid w:val="006A3821"/>
    <w:rsid w:val="006A6952"/>
    <w:rsid w:val="006B60C5"/>
    <w:rsid w:val="006C7A15"/>
    <w:rsid w:val="006D211F"/>
    <w:rsid w:val="006D25C2"/>
    <w:rsid w:val="006D6078"/>
    <w:rsid w:val="006D7631"/>
    <w:rsid w:val="006E12C8"/>
    <w:rsid w:val="006E1E04"/>
    <w:rsid w:val="006E3BE8"/>
    <w:rsid w:val="006E4554"/>
    <w:rsid w:val="006F0FA7"/>
    <w:rsid w:val="006F1D7D"/>
    <w:rsid w:val="006F28FD"/>
    <w:rsid w:val="00702BD4"/>
    <w:rsid w:val="007063DC"/>
    <w:rsid w:val="00720C31"/>
    <w:rsid w:val="007235B0"/>
    <w:rsid w:val="00744A26"/>
    <w:rsid w:val="0074618F"/>
    <w:rsid w:val="007513F1"/>
    <w:rsid w:val="0075480B"/>
    <w:rsid w:val="00761507"/>
    <w:rsid w:val="0076355A"/>
    <w:rsid w:val="0076772A"/>
    <w:rsid w:val="0077794A"/>
    <w:rsid w:val="00780F33"/>
    <w:rsid w:val="00786A2A"/>
    <w:rsid w:val="00786A35"/>
    <w:rsid w:val="007968C5"/>
    <w:rsid w:val="00797193"/>
    <w:rsid w:val="007B1872"/>
    <w:rsid w:val="007C1B31"/>
    <w:rsid w:val="007C5FB7"/>
    <w:rsid w:val="007E1300"/>
    <w:rsid w:val="007F4BEA"/>
    <w:rsid w:val="00816023"/>
    <w:rsid w:val="00822B17"/>
    <w:rsid w:val="00835090"/>
    <w:rsid w:val="00840617"/>
    <w:rsid w:val="008445B3"/>
    <w:rsid w:val="0085300B"/>
    <w:rsid w:val="00867FCE"/>
    <w:rsid w:val="00870F63"/>
    <w:rsid w:val="008806E2"/>
    <w:rsid w:val="00890757"/>
    <w:rsid w:val="0089133E"/>
    <w:rsid w:val="008966E0"/>
    <w:rsid w:val="008A1E31"/>
    <w:rsid w:val="008A346D"/>
    <w:rsid w:val="008A5A01"/>
    <w:rsid w:val="008B4A2A"/>
    <w:rsid w:val="008C3791"/>
    <w:rsid w:val="008C49D9"/>
    <w:rsid w:val="008C4ED5"/>
    <w:rsid w:val="008C6479"/>
    <w:rsid w:val="008E52E5"/>
    <w:rsid w:val="008F2D5C"/>
    <w:rsid w:val="00902E60"/>
    <w:rsid w:val="009045E6"/>
    <w:rsid w:val="00905673"/>
    <w:rsid w:val="00913565"/>
    <w:rsid w:val="00924274"/>
    <w:rsid w:val="00925E04"/>
    <w:rsid w:val="00927E6A"/>
    <w:rsid w:val="009318F2"/>
    <w:rsid w:val="00943B36"/>
    <w:rsid w:val="00943E58"/>
    <w:rsid w:val="0094786B"/>
    <w:rsid w:val="00971496"/>
    <w:rsid w:val="00974486"/>
    <w:rsid w:val="0097638F"/>
    <w:rsid w:val="009853FE"/>
    <w:rsid w:val="00986763"/>
    <w:rsid w:val="009B4B71"/>
    <w:rsid w:val="009C09BD"/>
    <w:rsid w:val="009C1850"/>
    <w:rsid w:val="009C309F"/>
    <w:rsid w:val="009C3D74"/>
    <w:rsid w:val="009C7014"/>
    <w:rsid w:val="009C7C53"/>
    <w:rsid w:val="009D09E5"/>
    <w:rsid w:val="009E05C2"/>
    <w:rsid w:val="009E16AD"/>
    <w:rsid w:val="009F34DB"/>
    <w:rsid w:val="00A10D43"/>
    <w:rsid w:val="00A23DD5"/>
    <w:rsid w:val="00A402BC"/>
    <w:rsid w:val="00A44824"/>
    <w:rsid w:val="00A450E1"/>
    <w:rsid w:val="00A478CA"/>
    <w:rsid w:val="00A52A9D"/>
    <w:rsid w:val="00A57E72"/>
    <w:rsid w:val="00A70AA7"/>
    <w:rsid w:val="00A736D5"/>
    <w:rsid w:val="00A91588"/>
    <w:rsid w:val="00A92C0D"/>
    <w:rsid w:val="00A93BD9"/>
    <w:rsid w:val="00AA0036"/>
    <w:rsid w:val="00AA299D"/>
    <w:rsid w:val="00AA4B38"/>
    <w:rsid w:val="00AB0263"/>
    <w:rsid w:val="00AB1907"/>
    <w:rsid w:val="00AB40C9"/>
    <w:rsid w:val="00AB5536"/>
    <w:rsid w:val="00AC1A4B"/>
    <w:rsid w:val="00AC2CB1"/>
    <w:rsid w:val="00AD2DE3"/>
    <w:rsid w:val="00AD4C8A"/>
    <w:rsid w:val="00AD6E3F"/>
    <w:rsid w:val="00AE0A91"/>
    <w:rsid w:val="00AF3E5F"/>
    <w:rsid w:val="00AF6B96"/>
    <w:rsid w:val="00B009BC"/>
    <w:rsid w:val="00B1186A"/>
    <w:rsid w:val="00B21CA2"/>
    <w:rsid w:val="00B264B8"/>
    <w:rsid w:val="00B33804"/>
    <w:rsid w:val="00B34220"/>
    <w:rsid w:val="00B46389"/>
    <w:rsid w:val="00B6332C"/>
    <w:rsid w:val="00B63DB3"/>
    <w:rsid w:val="00B72975"/>
    <w:rsid w:val="00B82701"/>
    <w:rsid w:val="00B8397E"/>
    <w:rsid w:val="00B94987"/>
    <w:rsid w:val="00BA0D71"/>
    <w:rsid w:val="00BA6D51"/>
    <w:rsid w:val="00BA795C"/>
    <w:rsid w:val="00BB3CA1"/>
    <w:rsid w:val="00BB6C5D"/>
    <w:rsid w:val="00BB7A8C"/>
    <w:rsid w:val="00BC4513"/>
    <w:rsid w:val="00BD073C"/>
    <w:rsid w:val="00BD548F"/>
    <w:rsid w:val="00BD6A01"/>
    <w:rsid w:val="00BD6EB5"/>
    <w:rsid w:val="00BD743E"/>
    <w:rsid w:val="00BE4E54"/>
    <w:rsid w:val="00BE7643"/>
    <w:rsid w:val="00C118CB"/>
    <w:rsid w:val="00C13D06"/>
    <w:rsid w:val="00C253C7"/>
    <w:rsid w:val="00C370D8"/>
    <w:rsid w:val="00C46626"/>
    <w:rsid w:val="00C514FE"/>
    <w:rsid w:val="00C63711"/>
    <w:rsid w:val="00C65DF1"/>
    <w:rsid w:val="00C67233"/>
    <w:rsid w:val="00C92815"/>
    <w:rsid w:val="00C9542E"/>
    <w:rsid w:val="00CB0310"/>
    <w:rsid w:val="00CB0D75"/>
    <w:rsid w:val="00CC0B10"/>
    <w:rsid w:val="00CC211B"/>
    <w:rsid w:val="00CC7EFF"/>
    <w:rsid w:val="00CE195F"/>
    <w:rsid w:val="00CE6F7F"/>
    <w:rsid w:val="00CE71B2"/>
    <w:rsid w:val="00CF19EC"/>
    <w:rsid w:val="00D05E9A"/>
    <w:rsid w:val="00D11F70"/>
    <w:rsid w:val="00D13422"/>
    <w:rsid w:val="00D23691"/>
    <w:rsid w:val="00D3167F"/>
    <w:rsid w:val="00D327B8"/>
    <w:rsid w:val="00D34240"/>
    <w:rsid w:val="00D35E85"/>
    <w:rsid w:val="00D43E8B"/>
    <w:rsid w:val="00D501F6"/>
    <w:rsid w:val="00D50BBA"/>
    <w:rsid w:val="00D51707"/>
    <w:rsid w:val="00D52E97"/>
    <w:rsid w:val="00D57C0A"/>
    <w:rsid w:val="00D60EA0"/>
    <w:rsid w:val="00D616B9"/>
    <w:rsid w:val="00D62BD2"/>
    <w:rsid w:val="00D66EF0"/>
    <w:rsid w:val="00D733D1"/>
    <w:rsid w:val="00D73DD3"/>
    <w:rsid w:val="00D755F6"/>
    <w:rsid w:val="00D76BC4"/>
    <w:rsid w:val="00D84545"/>
    <w:rsid w:val="00D86B95"/>
    <w:rsid w:val="00DB0573"/>
    <w:rsid w:val="00DB6E04"/>
    <w:rsid w:val="00DD72C9"/>
    <w:rsid w:val="00DE6A53"/>
    <w:rsid w:val="00DF6ECF"/>
    <w:rsid w:val="00E02127"/>
    <w:rsid w:val="00E03827"/>
    <w:rsid w:val="00E145F1"/>
    <w:rsid w:val="00E35338"/>
    <w:rsid w:val="00E35BEF"/>
    <w:rsid w:val="00E35DBC"/>
    <w:rsid w:val="00E50AC1"/>
    <w:rsid w:val="00E54BD8"/>
    <w:rsid w:val="00E76BFD"/>
    <w:rsid w:val="00E8621B"/>
    <w:rsid w:val="00E87159"/>
    <w:rsid w:val="00E91761"/>
    <w:rsid w:val="00EA7734"/>
    <w:rsid w:val="00EB3885"/>
    <w:rsid w:val="00EB7C5C"/>
    <w:rsid w:val="00EC5C33"/>
    <w:rsid w:val="00EC68DB"/>
    <w:rsid w:val="00EF4539"/>
    <w:rsid w:val="00F14B9E"/>
    <w:rsid w:val="00F17E39"/>
    <w:rsid w:val="00F2373B"/>
    <w:rsid w:val="00F259B6"/>
    <w:rsid w:val="00F31805"/>
    <w:rsid w:val="00F4659E"/>
    <w:rsid w:val="00F522AD"/>
    <w:rsid w:val="00F53928"/>
    <w:rsid w:val="00F55B28"/>
    <w:rsid w:val="00F60810"/>
    <w:rsid w:val="00F70CC3"/>
    <w:rsid w:val="00F755C8"/>
    <w:rsid w:val="00F8502A"/>
    <w:rsid w:val="00F911E7"/>
    <w:rsid w:val="00FA2AF0"/>
    <w:rsid w:val="00FA49D8"/>
    <w:rsid w:val="00FA6837"/>
    <w:rsid w:val="00FA7619"/>
    <w:rsid w:val="00FB14D3"/>
    <w:rsid w:val="00FB3D29"/>
    <w:rsid w:val="00FC4EC7"/>
    <w:rsid w:val="00FD41FD"/>
    <w:rsid w:val="00FE0CD1"/>
    <w:rsid w:val="00FE4203"/>
    <w:rsid w:val="00FE424A"/>
    <w:rsid w:val="00FF1A1D"/>
    <w:rsid w:val="00FF1A65"/>
    <w:rsid w:val="00FF526E"/>
    <w:rsid w:val="00FF54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B5B27"/>
  <w15:chartTrackingRefBased/>
  <w15:docId w15:val="{5D29E201-A363-41B3-A0E6-429AB9C0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772A"/>
    <w:rPr>
      <w:sz w:val="16"/>
      <w:szCs w:val="16"/>
    </w:rPr>
  </w:style>
  <w:style w:type="paragraph" w:styleId="CommentText">
    <w:name w:val="annotation text"/>
    <w:basedOn w:val="Normal"/>
    <w:link w:val="CommentTextChar"/>
    <w:uiPriority w:val="99"/>
    <w:unhideWhenUsed/>
    <w:rsid w:val="0076772A"/>
    <w:rPr>
      <w:sz w:val="20"/>
      <w:szCs w:val="20"/>
    </w:rPr>
  </w:style>
  <w:style w:type="character" w:customStyle="1" w:styleId="CommentTextChar">
    <w:name w:val="Comment Text Char"/>
    <w:basedOn w:val="DefaultParagraphFont"/>
    <w:link w:val="CommentText"/>
    <w:uiPriority w:val="99"/>
    <w:rsid w:val="0076772A"/>
    <w:rPr>
      <w:sz w:val="20"/>
      <w:szCs w:val="20"/>
    </w:rPr>
  </w:style>
  <w:style w:type="paragraph" w:styleId="CommentSubject">
    <w:name w:val="annotation subject"/>
    <w:basedOn w:val="CommentText"/>
    <w:next w:val="CommentText"/>
    <w:link w:val="CommentSubjectChar"/>
    <w:uiPriority w:val="99"/>
    <w:semiHidden/>
    <w:unhideWhenUsed/>
    <w:rsid w:val="0076772A"/>
    <w:rPr>
      <w:b/>
      <w:bCs/>
    </w:rPr>
  </w:style>
  <w:style w:type="character" w:customStyle="1" w:styleId="CommentSubjectChar">
    <w:name w:val="Comment Subject Char"/>
    <w:basedOn w:val="CommentTextChar"/>
    <w:link w:val="CommentSubject"/>
    <w:uiPriority w:val="99"/>
    <w:semiHidden/>
    <w:rsid w:val="0076772A"/>
    <w:rPr>
      <w:b/>
      <w:bCs/>
      <w:sz w:val="20"/>
      <w:szCs w:val="20"/>
    </w:rPr>
  </w:style>
  <w:style w:type="paragraph" w:styleId="BalloonText">
    <w:name w:val="Balloon Text"/>
    <w:basedOn w:val="Normal"/>
    <w:link w:val="BalloonTextChar"/>
    <w:uiPriority w:val="99"/>
    <w:semiHidden/>
    <w:unhideWhenUsed/>
    <w:rsid w:val="00767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72A"/>
    <w:rPr>
      <w:rFonts w:ascii="Segoe UI" w:hAnsi="Segoe UI" w:cs="Segoe UI"/>
      <w:sz w:val="18"/>
      <w:szCs w:val="18"/>
    </w:rPr>
  </w:style>
  <w:style w:type="paragraph" w:styleId="ListParagraph">
    <w:name w:val="List Paragraph"/>
    <w:basedOn w:val="Normal"/>
    <w:uiPriority w:val="34"/>
    <w:qFormat/>
    <w:rsid w:val="0077794A"/>
    <w:pPr>
      <w:ind w:left="720"/>
      <w:contextualSpacing/>
    </w:pPr>
  </w:style>
  <w:style w:type="paragraph" w:styleId="BodyTextIndent">
    <w:name w:val="Body Text Indent"/>
    <w:basedOn w:val="Normal"/>
    <w:link w:val="BodyTextIndentChar"/>
    <w:rsid w:val="0077794A"/>
    <w:pPr>
      <w:tabs>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rsid w:val="0077794A"/>
    <w:rPr>
      <w:rFonts w:ascii="Times New Roman" w:eastAsia="Times New Roman" w:hAnsi="Times New Roman" w:cs="Times New Roman"/>
      <w:snapToGrid w:val="0"/>
      <w:sz w:val="24"/>
      <w:szCs w:val="20"/>
      <w:lang w:val="en-US"/>
    </w:rPr>
  </w:style>
  <w:style w:type="paragraph" w:styleId="Revision">
    <w:name w:val="Revision"/>
    <w:hidden/>
    <w:uiPriority w:val="99"/>
    <w:semiHidden/>
    <w:rsid w:val="00FF1A1D"/>
  </w:style>
  <w:style w:type="character" w:styleId="Hyperlink">
    <w:name w:val="Hyperlink"/>
    <w:basedOn w:val="DefaultParagraphFont"/>
    <w:uiPriority w:val="99"/>
    <w:unhideWhenUsed/>
    <w:rsid w:val="00FF545F"/>
    <w:rPr>
      <w:color w:val="0000FF"/>
      <w:u w:val="single"/>
    </w:rPr>
  </w:style>
  <w:style w:type="table" w:styleId="TableGrid">
    <w:name w:val="Table Grid"/>
    <w:basedOn w:val="TableNormal"/>
    <w:uiPriority w:val="39"/>
    <w:rsid w:val="009C09BD"/>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E71B2"/>
    <w:rPr>
      <w:color w:val="605E5C"/>
      <w:shd w:val="clear" w:color="auto" w:fill="E1DFDD"/>
    </w:rPr>
  </w:style>
  <w:style w:type="paragraph" w:styleId="Header">
    <w:name w:val="header"/>
    <w:basedOn w:val="Normal"/>
    <w:link w:val="HeaderChar"/>
    <w:uiPriority w:val="99"/>
    <w:unhideWhenUsed/>
    <w:rsid w:val="004107E3"/>
    <w:pPr>
      <w:tabs>
        <w:tab w:val="center" w:pos="4513"/>
        <w:tab w:val="right" w:pos="9026"/>
      </w:tabs>
    </w:pPr>
  </w:style>
  <w:style w:type="character" w:customStyle="1" w:styleId="HeaderChar">
    <w:name w:val="Header Char"/>
    <w:basedOn w:val="DefaultParagraphFont"/>
    <w:link w:val="Header"/>
    <w:uiPriority w:val="99"/>
    <w:rsid w:val="004107E3"/>
  </w:style>
  <w:style w:type="paragraph" w:styleId="Footer">
    <w:name w:val="footer"/>
    <w:basedOn w:val="Normal"/>
    <w:link w:val="FooterChar"/>
    <w:uiPriority w:val="99"/>
    <w:unhideWhenUsed/>
    <w:rsid w:val="004107E3"/>
    <w:pPr>
      <w:tabs>
        <w:tab w:val="center" w:pos="4513"/>
        <w:tab w:val="right" w:pos="9026"/>
      </w:tabs>
    </w:pPr>
  </w:style>
  <w:style w:type="character" w:customStyle="1" w:styleId="FooterChar">
    <w:name w:val="Footer Char"/>
    <w:basedOn w:val="DefaultParagraphFont"/>
    <w:link w:val="Footer"/>
    <w:uiPriority w:val="99"/>
    <w:rsid w:val="004107E3"/>
  </w:style>
  <w:style w:type="character" w:customStyle="1" w:styleId="em-addr">
    <w:name w:val="em-addr"/>
    <w:basedOn w:val="DefaultParagraphFont"/>
    <w:rsid w:val="005268A2"/>
  </w:style>
  <w:style w:type="character" w:styleId="FollowedHyperlink">
    <w:name w:val="FollowedHyperlink"/>
    <w:basedOn w:val="DefaultParagraphFont"/>
    <w:uiPriority w:val="99"/>
    <w:semiHidden/>
    <w:unhideWhenUsed/>
    <w:rsid w:val="00943E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7219">
      <w:bodyDiv w:val="1"/>
      <w:marLeft w:val="0"/>
      <w:marRight w:val="0"/>
      <w:marTop w:val="0"/>
      <w:marBottom w:val="0"/>
      <w:divBdr>
        <w:top w:val="none" w:sz="0" w:space="0" w:color="auto"/>
        <w:left w:val="none" w:sz="0" w:space="0" w:color="auto"/>
        <w:bottom w:val="none" w:sz="0" w:space="0" w:color="auto"/>
        <w:right w:val="none" w:sz="0" w:space="0" w:color="auto"/>
      </w:divBdr>
    </w:div>
    <w:div w:id="62801721">
      <w:bodyDiv w:val="1"/>
      <w:marLeft w:val="0"/>
      <w:marRight w:val="0"/>
      <w:marTop w:val="0"/>
      <w:marBottom w:val="0"/>
      <w:divBdr>
        <w:top w:val="none" w:sz="0" w:space="0" w:color="auto"/>
        <w:left w:val="none" w:sz="0" w:space="0" w:color="auto"/>
        <w:bottom w:val="none" w:sz="0" w:space="0" w:color="auto"/>
        <w:right w:val="none" w:sz="0" w:space="0" w:color="auto"/>
      </w:divBdr>
    </w:div>
    <w:div w:id="110132369">
      <w:bodyDiv w:val="1"/>
      <w:marLeft w:val="0"/>
      <w:marRight w:val="0"/>
      <w:marTop w:val="0"/>
      <w:marBottom w:val="0"/>
      <w:divBdr>
        <w:top w:val="none" w:sz="0" w:space="0" w:color="auto"/>
        <w:left w:val="none" w:sz="0" w:space="0" w:color="auto"/>
        <w:bottom w:val="none" w:sz="0" w:space="0" w:color="auto"/>
        <w:right w:val="none" w:sz="0" w:space="0" w:color="auto"/>
      </w:divBdr>
    </w:div>
    <w:div w:id="133642479">
      <w:bodyDiv w:val="1"/>
      <w:marLeft w:val="0"/>
      <w:marRight w:val="0"/>
      <w:marTop w:val="0"/>
      <w:marBottom w:val="0"/>
      <w:divBdr>
        <w:top w:val="none" w:sz="0" w:space="0" w:color="auto"/>
        <w:left w:val="none" w:sz="0" w:space="0" w:color="auto"/>
        <w:bottom w:val="none" w:sz="0" w:space="0" w:color="auto"/>
        <w:right w:val="none" w:sz="0" w:space="0" w:color="auto"/>
      </w:divBdr>
      <w:divsChild>
        <w:div w:id="812870099">
          <w:marLeft w:val="0"/>
          <w:marRight w:val="0"/>
          <w:marTop w:val="0"/>
          <w:marBottom w:val="0"/>
          <w:divBdr>
            <w:top w:val="none" w:sz="0" w:space="0" w:color="auto"/>
            <w:left w:val="none" w:sz="0" w:space="0" w:color="auto"/>
            <w:bottom w:val="none" w:sz="0" w:space="0" w:color="auto"/>
            <w:right w:val="none" w:sz="0" w:space="0" w:color="auto"/>
          </w:divBdr>
        </w:div>
        <w:div w:id="1742363840">
          <w:marLeft w:val="0"/>
          <w:marRight w:val="0"/>
          <w:marTop w:val="0"/>
          <w:marBottom w:val="0"/>
          <w:divBdr>
            <w:top w:val="none" w:sz="0" w:space="0" w:color="auto"/>
            <w:left w:val="none" w:sz="0" w:space="0" w:color="auto"/>
            <w:bottom w:val="none" w:sz="0" w:space="0" w:color="auto"/>
            <w:right w:val="none" w:sz="0" w:space="0" w:color="auto"/>
          </w:divBdr>
        </w:div>
        <w:div w:id="1690370442">
          <w:marLeft w:val="0"/>
          <w:marRight w:val="0"/>
          <w:marTop w:val="0"/>
          <w:marBottom w:val="0"/>
          <w:divBdr>
            <w:top w:val="none" w:sz="0" w:space="0" w:color="auto"/>
            <w:left w:val="none" w:sz="0" w:space="0" w:color="auto"/>
            <w:bottom w:val="none" w:sz="0" w:space="0" w:color="auto"/>
            <w:right w:val="none" w:sz="0" w:space="0" w:color="auto"/>
          </w:divBdr>
        </w:div>
        <w:div w:id="50544071">
          <w:marLeft w:val="0"/>
          <w:marRight w:val="0"/>
          <w:marTop w:val="0"/>
          <w:marBottom w:val="0"/>
          <w:divBdr>
            <w:top w:val="none" w:sz="0" w:space="0" w:color="auto"/>
            <w:left w:val="none" w:sz="0" w:space="0" w:color="auto"/>
            <w:bottom w:val="none" w:sz="0" w:space="0" w:color="auto"/>
            <w:right w:val="none" w:sz="0" w:space="0" w:color="auto"/>
          </w:divBdr>
        </w:div>
        <w:div w:id="449669915">
          <w:marLeft w:val="0"/>
          <w:marRight w:val="0"/>
          <w:marTop w:val="0"/>
          <w:marBottom w:val="0"/>
          <w:divBdr>
            <w:top w:val="none" w:sz="0" w:space="0" w:color="auto"/>
            <w:left w:val="none" w:sz="0" w:space="0" w:color="auto"/>
            <w:bottom w:val="none" w:sz="0" w:space="0" w:color="auto"/>
            <w:right w:val="none" w:sz="0" w:space="0" w:color="auto"/>
          </w:divBdr>
        </w:div>
        <w:div w:id="281151966">
          <w:marLeft w:val="0"/>
          <w:marRight w:val="0"/>
          <w:marTop w:val="0"/>
          <w:marBottom w:val="0"/>
          <w:divBdr>
            <w:top w:val="none" w:sz="0" w:space="0" w:color="auto"/>
            <w:left w:val="none" w:sz="0" w:space="0" w:color="auto"/>
            <w:bottom w:val="none" w:sz="0" w:space="0" w:color="auto"/>
            <w:right w:val="none" w:sz="0" w:space="0" w:color="auto"/>
          </w:divBdr>
        </w:div>
        <w:div w:id="72818277">
          <w:marLeft w:val="0"/>
          <w:marRight w:val="0"/>
          <w:marTop w:val="0"/>
          <w:marBottom w:val="0"/>
          <w:divBdr>
            <w:top w:val="none" w:sz="0" w:space="0" w:color="auto"/>
            <w:left w:val="none" w:sz="0" w:space="0" w:color="auto"/>
            <w:bottom w:val="none" w:sz="0" w:space="0" w:color="auto"/>
            <w:right w:val="none" w:sz="0" w:space="0" w:color="auto"/>
          </w:divBdr>
        </w:div>
        <w:div w:id="358244350">
          <w:marLeft w:val="0"/>
          <w:marRight w:val="0"/>
          <w:marTop w:val="0"/>
          <w:marBottom w:val="0"/>
          <w:divBdr>
            <w:top w:val="none" w:sz="0" w:space="0" w:color="auto"/>
            <w:left w:val="none" w:sz="0" w:space="0" w:color="auto"/>
            <w:bottom w:val="none" w:sz="0" w:space="0" w:color="auto"/>
            <w:right w:val="none" w:sz="0" w:space="0" w:color="auto"/>
          </w:divBdr>
        </w:div>
        <w:div w:id="963077975">
          <w:marLeft w:val="0"/>
          <w:marRight w:val="0"/>
          <w:marTop w:val="0"/>
          <w:marBottom w:val="0"/>
          <w:divBdr>
            <w:top w:val="none" w:sz="0" w:space="0" w:color="auto"/>
            <w:left w:val="none" w:sz="0" w:space="0" w:color="auto"/>
            <w:bottom w:val="none" w:sz="0" w:space="0" w:color="auto"/>
            <w:right w:val="none" w:sz="0" w:space="0" w:color="auto"/>
          </w:divBdr>
        </w:div>
        <w:div w:id="598106497">
          <w:marLeft w:val="0"/>
          <w:marRight w:val="0"/>
          <w:marTop w:val="0"/>
          <w:marBottom w:val="0"/>
          <w:divBdr>
            <w:top w:val="none" w:sz="0" w:space="0" w:color="auto"/>
            <w:left w:val="none" w:sz="0" w:space="0" w:color="auto"/>
            <w:bottom w:val="none" w:sz="0" w:space="0" w:color="auto"/>
            <w:right w:val="none" w:sz="0" w:space="0" w:color="auto"/>
          </w:divBdr>
        </w:div>
        <w:div w:id="896744668">
          <w:marLeft w:val="0"/>
          <w:marRight w:val="0"/>
          <w:marTop w:val="0"/>
          <w:marBottom w:val="0"/>
          <w:divBdr>
            <w:top w:val="none" w:sz="0" w:space="0" w:color="auto"/>
            <w:left w:val="none" w:sz="0" w:space="0" w:color="auto"/>
            <w:bottom w:val="none" w:sz="0" w:space="0" w:color="auto"/>
            <w:right w:val="none" w:sz="0" w:space="0" w:color="auto"/>
          </w:divBdr>
        </w:div>
        <w:div w:id="1446652315">
          <w:marLeft w:val="0"/>
          <w:marRight w:val="0"/>
          <w:marTop w:val="0"/>
          <w:marBottom w:val="0"/>
          <w:divBdr>
            <w:top w:val="none" w:sz="0" w:space="0" w:color="auto"/>
            <w:left w:val="none" w:sz="0" w:space="0" w:color="auto"/>
            <w:bottom w:val="none" w:sz="0" w:space="0" w:color="auto"/>
            <w:right w:val="none" w:sz="0" w:space="0" w:color="auto"/>
          </w:divBdr>
        </w:div>
        <w:div w:id="705523556">
          <w:marLeft w:val="0"/>
          <w:marRight w:val="0"/>
          <w:marTop w:val="0"/>
          <w:marBottom w:val="0"/>
          <w:divBdr>
            <w:top w:val="none" w:sz="0" w:space="0" w:color="auto"/>
            <w:left w:val="none" w:sz="0" w:space="0" w:color="auto"/>
            <w:bottom w:val="none" w:sz="0" w:space="0" w:color="auto"/>
            <w:right w:val="none" w:sz="0" w:space="0" w:color="auto"/>
          </w:divBdr>
        </w:div>
        <w:div w:id="181555221">
          <w:marLeft w:val="0"/>
          <w:marRight w:val="0"/>
          <w:marTop w:val="0"/>
          <w:marBottom w:val="0"/>
          <w:divBdr>
            <w:top w:val="none" w:sz="0" w:space="0" w:color="auto"/>
            <w:left w:val="none" w:sz="0" w:space="0" w:color="auto"/>
            <w:bottom w:val="none" w:sz="0" w:space="0" w:color="auto"/>
            <w:right w:val="none" w:sz="0" w:space="0" w:color="auto"/>
          </w:divBdr>
        </w:div>
        <w:div w:id="1606843056">
          <w:marLeft w:val="0"/>
          <w:marRight w:val="0"/>
          <w:marTop w:val="0"/>
          <w:marBottom w:val="0"/>
          <w:divBdr>
            <w:top w:val="none" w:sz="0" w:space="0" w:color="auto"/>
            <w:left w:val="none" w:sz="0" w:space="0" w:color="auto"/>
            <w:bottom w:val="none" w:sz="0" w:space="0" w:color="auto"/>
            <w:right w:val="none" w:sz="0" w:space="0" w:color="auto"/>
          </w:divBdr>
        </w:div>
        <w:div w:id="1485077979">
          <w:marLeft w:val="0"/>
          <w:marRight w:val="0"/>
          <w:marTop w:val="0"/>
          <w:marBottom w:val="0"/>
          <w:divBdr>
            <w:top w:val="none" w:sz="0" w:space="0" w:color="auto"/>
            <w:left w:val="none" w:sz="0" w:space="0" w:color="auto"/>
            <w:bottom w:val="none" w:sz="0" w:space="0" w:color="auto"/>
            <w:right w:val="none" w:sz="0" w:space="0" w:color="auto"/>
          </w:divBdr>
        </w:div>
        <w:div w:id="1762948422">
          <w:marLeft w:val="0"/>
          <w:marRight w:val="0"/>
          <w:marTop w:val="0"/>
          <w:marBottom w:val="0"/>
          <w:divBdr>
            <w:top w:val="none" w:sz="0" w:space="0" w:color="auto"/>
            <w:left w:val="none" w:sz="0" w:space="0" w:color="auto"/>
            <w:bottom w:val="none" w:sz="0" w:space="0" w:color="auto"/>
            <w:right w:val="none" w:sz="0" w:space="0" w:color="auto"/>
          </w:divBdr>
        </w:div>
        <w:div w:id="717170954">
          <w:marLeft w:val="0"/>
          <w:marRight w:val="0"/>
          <w:marTop w:val="0"/>
          <w:marBottom w:val="0"/>
          <w:divBdr>
            <w:top w:val="none" w:sz="0" w:space="0" w:color="auto"/>
            <w:left w:val="none" w:sz="0" w:space="0" w:color="auto"/>
            <w:bottom w:val="none" w:sz="0" w:space="0" w:color="auto"/>
            <w:right w:val="none" w:sz="0" w:space="0" w:color="auto"/>
          </w:divBdr>
        </w:div>
        <w:div w:id="2034304698">
          <w:marLeft w:val="0"/>
          <w:marRight w:val="0"/>
          <w:marTop w:val="0"/>
          <w:marBottom w:val="0"/>
          <w:divBdr>
            <w:top w:val="none" w:sz="0" w:space="0" w:color="auto"/>
            <w:left w:val="none" w:sz="0" w:space="0" w:color="auto"/>
            <w:bottom w:val="none" w:sz="0" w:space="0" w:color="auto"/>
            <w:right w:val="none" w:sz="0" w:space="0" w:color="auto"/>
          </w:divBdr>
        </w:div>
        <w:div w:id="461965647">
          <w:marLeft w:val="0"/>
          <w:marRight w:val="0"/>
          <w:marTop w:val="0"/>
          <w:marBottom w:val="0"/>
          <w:divBdr>
            <w:top w:val="none" w:sz="0" w:space="0" w:color="auto"/>
            <w:left w:val="none" w:sz="0" w:space="0" w:color="auto"/>
            <w:bottom w:val="none" w:sz="0" w:space="0" w:color="auto"/>
            <w:right w:val="none" w:sz="0" w:space="0" w:color="auto"/>
          </w:divBdr>
        </w:div>
        <w:div w:id="847989288">
          <w:marLeft w:val="0"/>
          <w:marRight w:val="0"/>
          <w:marTop w:val="0"/>
          <w:marBottom w:val="0"/>
          <w:divBdr>
            <w:top w:val="none" w:sz="0" w:space="0" w:color="auto"/>
            <w:left w:val="none" w:sz="0" w:space="0" w:color="auto"/>
            <w:bottom w:val="none" w:sz="0" w:space="0" w:color="auto"/>
            <w:right w:val="none" w:sz="0" w:space="0" w:color="auto"/>
          </w:divBdr>
        </w:div>
      </w:divsChild>
    </w:div>
    <w:div w:id="171456855">
      <w:bodyDiv w:val="1"/>
      <w:marLeft w:val="0"/>
      <w:marRight w:val="0"/>
      <w:marTop w:val="0"/>
      <w:marBottom w:val="0"/>
      <w:divBdr>
        <w:top w:val="none" w:sz="0" w:space="0" w:color="auto"/>
        <w:left w:val="none" w:sz="0" w:space="0" w:color="auto"/>
        <w:bottom w:val="none" w:sz="0" w:space="0" w:color="auto"/>
        <w:right w:val="none" w:sz="0" w:space="0" w:color="auto"/>
      </w:divBdr>
      <w:divsChild>
        <w:div w:id="1055010999">
          <w:marLeft w:val="0"/>
          <w:marRight w:val="0"/>
          <w:marTop w:val="0"/>
          <w:marBottom w:val="0"/>
          <w:divBdr>
            <w:top w:val="none" w:sz="0" w:space="0" w:color="auto"/>
            <w:left w:val="none" w:sz="0" w:space="0" w:color="auto"/>
            <w:bottom w:val="none" w:sz="0" w:space="0" w:color="auto"/>
            <w:right w:val="none" w:sz="0" w:space="0" w:color="auto"/>
          </w:divBdr>
        </w:div>
        <w:div w:id="2097164705">
          <w:marLeft w:val="0"/>
          <w:marRight w:val="0"/>
          <w:marTop w:val="0"/>
          <w:marBottom w:val="0"/>
          <w:divBdr>
            <w:top w:val="none" w:sz="0" w:space="0" w:color="auto"/>
            <w:left w:val="none" w:sz="0" w:space="0" w:color="auto"/>
            <w:bottom w:val="none" w:sz="0" w:space="0" w:color="auto"/>
            <w:right w:val="none" w:sz="0" w:space="0" w:color="auto"/>
          </w:divBdr>
        </w:div>
      </w:divsChild>
    </w:div>
    <w:div w:id="227300952">
      <w:bodyDiv w:val="1"/>
      <w:marLeft w:val="0"/>
      <w:marRight w:val="0"/>
      <w:marTop w:val="0"/>
      <w:marBottom w:val="0"/>
      <w:divBdr>
        <w:top w:val="none" w:sz="0" w:space="0" w:color="auto"/>
        <w:left w:val="none" w:sz="0" w:space="0" w:color="auto"/>
        <w:bottom w:val="none" w:sz="0" w:space="0" w:color="auto"/>
        <w:right w:val="none" w:sz="0" w:space="0" w:color="auto"/>
      </w:divBdr>
    </w:div>
    <w:div w:id="258292353">
      <w:bodyDiv w:val="1"/>
      <w:marLeft w:val="0"/>
      <w:marRight w:val="0"/>
      <w:marTop w:val="0"/>
      <w:marBottom w:val="0"/>
      <w:divBdr>
        <w:top w:val="none" w:sz="0" w:space="0" w:color="auto"/>
        <w:left w:val="none" w:sz="0" w:space="0" w:color="auto"/>
        <w:bottom w:val="none" w:sz="0" w:space="0" w:color="auto"/>
        <w:right w:val="none" w:sz="0" w:space="0" w:color="auto"/>
      </w:divBdr>
    </w:div>
    <w:div w:id="320472316">
      <w:bodyDiv w:val="1"/>
      <w:marLeft w:val="0"/>
      <w:marRight w:val="0"/>
      <w:marTop w:val="0"/>
      <w:marBottom w:val="0"/>
      <w:divBdr>
        <w:top w:val="none" w:sz="0" w:space="0" w:color="auto"/>
        <w:left w:val="none" w:sz="0" w:space="0" w:color="auto"/>
        <w:bottom w:val="none" w:sz="0" w:space="0" w:color="auto"/>
        <w:right w:val="none" w:sz="0" w:space="0" w:color="auto"/>
      </w:divBdr>
    </w:div>
    <w:div w:id="323582775">
      <w:bodyDiv w:val="1"/>
      <w:marLeft w:val="0"/>
      <w:marRight w:val="0"/>
      <w:marTop w:val="0"/>
      <w:marBottom w:val="0"/>
      <w:divBdr>
        <w:top w:val="none" w:sz="0" w:space="0" w:color="auto"/>
        <w:left w:val="none" w:sz="0" w:space="0" w:color="auto"/>
        <w:bottom w:val="none" w:sz="0" w:space="0" w:color="auto"/>
        <w:right w:val="none" w:sz="0" w:space="0" w:color="auto"/>
      </w:divBdr>
    </w:div>
    <w:div w:id="514080265">
      <w:bodyDiv w:val="1"/>
      <w:marLeft w:val="0"/>
      <w:marRight w:val="0"/>
      <w:marTop w:val="0"/>
      <w:marBottom w:val="0"/>
      <w:divBdr>
        <w:top w:val="none" w:sz="0" w:space="0" w:color="auto"/>
        <w:left w:val="none" w:sz="0" w:space="0" w:color="auto"/>
        <w:bottom w:val="none" w:sz="0" w:space="0" w:color="auto"/>
        <w:right w:val="none" w:sz="0" w:space="0" w:color="auto"/>
      </w:divBdr>
    </w:div>
    <w:div w:id="518399928">
      <w:bodyDiv w:val="1"/>
      <w:marLeft w:val="0"/>
      <w:marRight w:val="0"/>
      <w:marTop w:val="0"/>
      <w:marBottom w:val="0"/>
      <w:divBdr>
        <w:top w:val="none" w:sz="0" w:space="0" w:color="auto"/>
        <w:left w:val="none" w:sz="0" w:space="0" w:color="auto"/>
        <w:bottom w:val="none" w:sz="0" w:space="0" w:color="auto"/>
        <w:right w:val="none" w:sz="0" w:space="0" w:color="auto"/>
      </w:divBdr>
    </w:div>
    <w:div w:id="540169620">
      <w:bodyDiv w:val="1"/>
      <w:marLeft w:val="0"/>
      <w:marRight w:val="0"/>
      <w:marTop w:val="0"/>
      <w:marBottom w:val="0"/>
      <w:divBdr>
        <w:top w:val="none" w:sz="0" w:space="0" w:color="auto"/>
        <w:left w:val="none" w:sz="0" w:space="0" w:color="auto"/>
        <w:bottom w:val="none" w:sz="0" w:space="0" w:color="auto"/>
        <w:right w:val="none" w:sz="0" w:space="0" w:color="auto"/>
      </w:divBdr>
    </w:div>
    <w:div w:id="564687746">
      <w:bodyDiv w:val="1"/>
      <w:marLeft w:val="0"/>
      <w:marRight w:val="0"/>
      <w:marTop w:val="0"/>
      <w:marBottom w:val="0"/>
      <w:divBdr>
        <w:top w:val="none" w:sz="0" w:space="0" w:color="auto"/>
        <w:left w:val="none" w:sz="0" w:space="0" w:color="auto"/>
        <w:bottom w:val="none" w:sz="0" w:space="0" w:color="auto"/>
        <w:right w:val="none" w:sz="0" w:space="0" w:color="auto"/>
      </w:divBdr>
    </w:div>
    <w:div w:id="589243869">
      <w:bodyDiv w:val="1"/>
      <w:marLeft w:val="0"/>
      <w:marRight w:val="0"/>
      <w:marTop w:val="0"/>
      <w:marBottom w:val="0"/>
      <w:divBdr>
        <w:top w:val="none" w:sz="0" w:space="0" w:color="auto"/>
        <w:left w:val="none" w:sz="0" w:space="0" w:color="auto"/>
        <w:bottom w:val="none" w:sz="0" w:space="0" w:color="auto"/>
        <w:right w:val="none" w:sz="0" w:space="0" w:color="auto"/>
      </w:divBdr>
    </w:div>
    <w:div w:id="648946945">
      <w:bodyDiv w:val="1"/>
      <w:marLeft w:val="0"/>
      <w:marRight w:val="0"/>
      <w:marTop w:val="0"/>
      <w:marBottom w:val="0"/>
      <w:divBdr>
        <w:top w:val="none" w:sz="0" w:space="0" w:color="auto"/>
        <w:left w:val="none" w:sz="0" w:space="0" w:color="auto"/>
        <w:bottom w:val="none" w:sz="0" w:space="0" w:color="auto"/>
        <w:right w:val="none" w:sz="0" w:space="0" w:color="auto"/>
      </w:divBdr>
    </w:div>
    <w:div w:id="671109371">
      <w:bodyDiv w:val="1"/>
      <w:marLeft w:val="0"/>
      <w:marRight w:val="0"/>
      <w:marTop w:val="0"/>
      <w:marBottom w:val="0"/>
      <w:divBdr>
        <w:top w:val="none" w:sz="0" w:space="0" w:color="auto"/>
        <w:left w:val="none" w:sz="0" w:space="0" w:color="auto"/>
        <w:bottom w:val="none" w:sz="0" w:space="0" w:color="auto"/>
        <w:right w:val="none" w:sz="0" w:space="0" w:color="auto"/>
      </w:divBdr>
    </w:div>
    <w:div w:id="785151689">
      <w:bodyDiv w:val="1"/>
      <w:marLeft w:val="0"/>
      <w:marRight w:val="0"/>
      <w:marTop w:val="0"/>
      <w:marBottom w:val="0"/>
      <w:divBdr>
        <w:top w:val="none" w:sz="0" w:space="0" w:color="auto"/>
        <w:left w:val="none" w:sz="0" w:space="0" w:color="auto"/>
        <w:bottom w:val="none" w:sz="0" w:space="0" w:color="auto"/>
        <w:right w:val="none" w:sz="0" w:space="0" w:color="auto"/>
      </w:divBdr>
    </w:div>
    <w:div w:id="805781686">
      <w:bodyDiv w:val="1"/>
      <w:marLeft w:val="0"/>
      <w:marRight w:val="0"/>
      <w:marTop w:val="0"/>
      <w:marBottom w:val="0"/>
      <w:divBdr>
        <w:top w:val="none" w:sz="0" w:space="0" w:color="auto"/>
        <w:left w:val="none" w:sz="0" w:space="0" w:color="auto"/>
        <w:bottom w:val="none" w:sz="0" w:space="0" w:color="auto"/>
        <w:right w:val="none" w:sz="0" w:space="0" w:color="auto"/>
      </w:divBdr>
    </w:div>
    <w:div w:id="828912270">
      <w:bodyDiv w:val="1"/>
      <w:marLeft w:val="0"/>
      <w:marRight w:val="0"/>
      <w:marTop w:val="0"/>
      <w:marBottom w:val="0"/>
      <w:divBdr>
        <w:top w:val="none" w:sz="0" w:space="0" w:color="auto"/>
        <w:left w:val="none" w:sz="0" w:space="0" w:color="auto"/>
        <w:bottom w:val="none" w:sz="0" w:space="0" w:color="auto"/>
        <w:right w:val="none" w:sz="0" w:space="0" w:color="auto"/>
      </w:divBdr>
    </w:div>
    <w:div w:id="868177341">
      <w:bodyDiv w:val="1"/>
      <w:marLeft w:val="0"/>
      <w:marRight w:val="0"/>
      <w:marTop w:val="0"/>
      <w:marBottom w:val="0"/>
      <w:divBdr>
        <w:top w:val="none" w:sz="0" w:space="0" w:color="auto"/>
        <w:left w:val="none" w:sz="0" w:space="0" w:color="auto"/>
        <w:bottom w:val="none" w:sz="0" w:space="0" w:color="auto"/>
        <w:right w:val="none" w:sz="0" w:space="0" w:color="auto"/>
      </w:divBdr>
    </w:div>
    <w:div w:id="870217298">
      <w:bodyDiv w:val="1"/>
      <w:marLeft w:val="0"/>
      <w:marRight w:val="0"/>
      <w:marTop w:val="0"/>
      <w:marBottom w:val="0"/>
      <w:divBdr>
        <w:top w:val="none" w:sz="0" w:space="0" w:color="auto"/>
        <w:left w:val="none" w:sz="0" w:space="0" w:color="auto"/>
        <w:bottom w:val="none" w:sz="0" w:space="0" w:color="auto"/>
        <w:right w:val="none" w:sz="0" w:space="0" w:color="auto"/>
      </w:divBdr>
    </w:div>
    <w:div w:id="907417470">
      <w:bodyDiv w:val="1"/>
      <w:marLeft w:val="0"/>
      <w:marRight w:val="0"/>
      <w:marTop w:val="0"/>
      <w:marBottom w:val="0"/>
      <w:divBdr>
        <w:top w:val="none" w:sz="0" w:space="0" w:color="auto"/>
        <w:left w:val="none" w:sz="0" w:space="0" w:color="auto"/>
        <w:bottom w:val="none" w:sz="0" w:space="0" w:color="auto"/>
        <w:right w:val="none" w:sz="0" w:space="0" w:color="auto"/>
      </w:divBdr>
    </w:div>
    <w:div w:id="910886854">
      <w:bodyDiv w:val="1"/>
      <w:marLeft w:val="0"/>
      <w:marRight w:val="0"/>
      <w:marTop w:val="0"/>
      <w:marBottom w:val="0"/>
      <w:divBdr>
        <w:top w:val="none" w:sz="0" w:space="0" w:color="auto"/>
        <w:left w:val="none" w:sz="0" w:space="0" w:color="auto"/>
        <w:bottom w:val="none" w:sz="0" w:space="0" w:color="auto"/>
        <w:right w:val="none" w:sz="0" w:space="0" w:color="auto"/>
      </w:divBdr>
    </w:div>
    <w:div w:id="938754245">
      <w:bodyDiv w:val="1"/>
      <w:marLeft w:val="0"/>
      <w:marRight w:val="0"/>
      <w:marTop w:val="0"/>
      <w:marBottom w:val="0"/>
      <w:divBdr>
        <w:top w:val="none" w:sz="0" w:space="0" w:color="auto"/>
        <w:left w:val="none" w:sz="0" w:space="0" w:color="auto"/>
        <w:bottom w:val="none" w:sz="0" w:space="0" w:color="auto"/>
        <w:right w:val="none" w:sz="0" w:space="0" w:color="auto"/>
      </w:divBdr>
    </w:div>
    <w:div w:id="966203762">
      <w:bodyDiv w:val="1"/>
      <w:marLeft w:val="0"/>
      <w:marRight w:val="0"/>
      <w:marTop w:val="0"/>
      <w:marBottom w:val="0"/>
      <w:divBdr>
        <w:top w:val="none" w:sz="0" w:space="0" w:color="auto"/>
        <w:left w:val="none" w:sz="0" w:space="0" w:color="auto"/>
        <w:bottom w:val="none" w:sz="0" w:space="0" w:color="auto"/>
        <w:right w:val="none" w:sz="0" w:space="0" w:color="auto"/>
      </w:divBdr>
    </w:div>
    <w:div w:id="1015814270">
      <w:bodyDiv w:val="1"/>
      <w:marLeft w:val="0"/>
      <w:marRight w:val="0"/>
      <w:marTop w:val="0"/>
      <w:marBottom w:val="0"/>
      <w:divBdr>
        <w:top w:val="none" w:sz="0" w:space="0" w:color="auto"/>
        <w:left w:val="none" w:sz="0" w:space="0" w:color="auto"/>
        <w:bottom w:val="none" w:sz="0" w:space="0" w:color="auto"/>
        <w:right w:val="none" w:sz="0" w:space="0" w:color="auto"/>
      </w:divBdr>
    </w:div>
    <w:div w:id="1031027724">
      <w:bodyDiv w:val="1"/>
      <w:marLeft w:val="0"/>
      <w:marRight w:val="0"/>
      <w:marTop w:val="0"/>
      <w:marBottom w:val="0"/>
      <w:divBdr>
        <w:top w:val="none" w:sz="0" w:space="0" w:color="auto"/>
        <w:left w:val="none" w:sz="0" w:space="0" w:color="auto"/>
        <w:bottom w:val="none" w:sz="0" w:space="0" w:color="auto"/>
        <w:right w:val="none" w:sz="0" w:space="0" w:color="auto"/>
      </w:divBdr>
    </w:div>
    <w:div w:id="1034387167">
      <w:bodyDiv w:val="1"/>
      <w:marLeft w:val="0"/>
      <w:marRight w:val="0"/>
      <w:marTop w:val="0"/>
      <w:marBottom w:val="0"/>
      <w:divBdr>
        <w:top w:val="none" w:sz="0" w:space="0" w:color="auto"/>
        <w:left w:val="none" w:sz="0" w:space="0" w:color="auto"/>
        <w:bottom w:val="none" w:sz="0" w:space="0" w:color="auto"/>
        <w:right w:val="none" w:sz="0" w:space="0" w:color="auto"/>
      </w:divBdr>
    </w:div>
    <w:div w:id="1047412767">
      <w:bodyDiv w:val="1"/>
      <w:marLeft w:val="0"/>
      <w:marRight w:val="0"/>
      <w:marTop w:val="0"/>
      <w:marBottom w:val="0"/>
      <w:divBdr>
        <w:top w:val="none" w:sz="0" w:space="0" w:color="auto"/>
        <w:left w:val="none" w:sz="0" w:space="0" w:color="auto"/>
        <w:bottom w:val="none" w:sz="0" w:space="0" w:color="auto"/>
        <w:right w:val="none" w:sz="0" w:space="0" w:color="auto"/>
      </w:divBdr>
    </w:div>
    <w:div w:id="1052772288">
      <w:bodyDiv w:val="1"/>
      <w:marLeft w:val="0"/>
      <w:marRight w:val="0"/>
      <w:marTop w:val="0"/>
      <w:marBottom w:val="0"/>
      <w:divBdr>
        <w:top w:val="none" w:sz="0" w:space="0" w:color="auto"/>
        <w:left w:val="none" w:sz="0" w:space="0" w:color="auto"/>
        <w:bottom w:val="none" w:sz="0" w:space="0" w:color="auto"/>
        <w:right w:val="none" w:sz="0" w:space="0" w:color="auto"/>
      </w:divBdr>
    </w:div>
    <w:div w:id="1055004146">
      <w:bodyDiv w:val="1"/>
      <w:marLeft w:val="0"/>
      <w:marRight w:val="0"/>
      <w:marTop w:val="0"/>
      <w:marBottom w:val="0"/>
      <w:divBdr>
        <w:top w:val="none" w:sz="0" w:space="0" w:color="auto"/>
        <w:left w:val="none" w:sz="0" w:space="0" w:color="auto"/>
        <w:bottom w:val="none" w:sz="0" w:space="0" w:color="auto"/>
        <w:right w:val="none" w:sz="0" w:space="0" w:color="auto"/>
      </w:divBdr>
    </w:div>
    <w:div w:id="1132136912">
      <w:bodyDiv w:val="1"/>
      <w:marLeft w:val="0"/>
      <w:marRight w:val="0"/>
      <w:marTop w:val="0"/>
      <w:marBottom w:val="0"/>
      <w:divBdr>
        <w:top w:val="none" w:sz="0" w:space="0" w:color="auto"/>
        <w:left w:val="none" w:sz="0" w:space="0" w:color="auto"/>
        <w:bottom w:val="none" w:sz="0" w:space="0" w:color="auto"/>
        <w:right w:val="none" w:sz="0" w:space="0" w:color="auto"/>
      </w:divBdr>
    </w:div>
    <w:div w:id="1134786179">
      <w:bodyDiv w:val="1"/>
      <w:marLeft w:val="0"/>
      <w:marRight w:val="0"/>
      <w:marTop w:val="0"/>
      <w:marBottom w:val="0"/>
      <w:divBdr>
        <w:top w:val="none" w:sz="0" w:space="0" w:color="auto"/>
        <w:left w:val="none" w:sz="0" w:space="0" w:color="auto"/>
        <w:bottom w:val="none" w:sz="0" w:space="0" w:color="auto"/>
        <w:right w:val="none" w:sz="0" w:space="0" w:color="auto"/>
      </w:divBdr>
    </w:div>
    <w:div w:id="1148202572">
      <w:bodyDiv w:val="1"/>
      <w:marLeft w:val="0"/>
      <w:marRight w:val="0"/>
      <w:marTop w:val="0"/>
      <w:marBottom w:val="0"/>
      <w:divBdr>
        <w:top w:val="none" w:sz="0" w:space="0" w:color="auto"/>
        <w:left w:val="none" w:sz="0" w:space="0" w:color="auto"/>
        <w:bottom w:val="none" w:sz="0" w:space="0" w:color="auto"/>
        <w:right w:val="none" w:sz="0" w:space="0" w:color="auto"/>
      </w:divBdr>
    </w:div>
    <w:div w:id="1171021229">
      <w:bodyDiv w:val="1"/>
      <w:marLeft w:val="0"/>
      <w:marRight w:val="0"/>
      <w:marTop w:val="0"/>
      <w:marBottom w:val="0"/>
      <w:divBdr>
        <w:top w:val="none" w:sz="0" w:space="0" w:color="auto"/>
        <w:left w:val="none" w:sz="0" w:space="0" w:color="auto"/>
        <w:bottom w:val="none" w:sz="0" w:space="0" w:color="auto"/>
        <w:right w:val="none" w:sz="0" w:space="0" w:color="auto"/>
      </w:divBdr>
      <w:divsChild>
        <w:div w:id="826477553">
          <w:marLeft w:val="0"/>
          <w:marRight w:val="0"/>
          <w:marTop w:val="0"/>
          <w:marBottom w:val="0"/>
          <w:divBdr>
            <w:top w:val="none" w:sz="0" w:space="0" w:color="auto"/>
            <w:left w:val="none" w:sz="0" w:space="0" w:color="auto"/>
            <w:bottom w:val="none" w:sz="0" w:space="0" w:color="auto"/>
            <w:right w:val="none" w:sz="0" w:space="0" w:color="auto"/>
          </w:divBdr>
        </w:div>
        <w:div w:id="729883620">
          <w:marLeft w:val="0"/>
          <w:marRight w:val="0"/>
          <w:marTop w:val="0"/>
          <w:marBottom w:val="0"/>
          <w:divBdr>
            <w:top w:val="none" w:sz="0" w:space="0" w:color="auto"/>
            <w:left w:val="none" w:sz="0" w:space="0" w:color="auto"/>
            <w:bottom w:val="none" w:sz="0" w:space="0" w:color="auto"/>
            <w:right w:val="none" w:sz="0" w:space="0" w:color="auto"/>
          </w:divBdr>
        </w:div>
        <w:div w:id="1661732579">
          <w:marLeft w:val="0"/>
          <w:marRight w:val="0"/>
          <w:marTop w:val="0"/>
          <w:marBottom w:val="0"/>
          <w:divBdr>
            <w:top w:val="none" w:sz="0" w:space="0" w:color="auto"/>
            <w:left w:val="none" w:sz="0" w:space="0" w:color="auto"/>
            <w:bottom w:val="none" w:sz="0" w:space="0" w:color="auto"/>
            <w:right w:val="none" w:sz="0" w:space="0" w:color="auto"/>
          </w:divBdr>
        </w:div>
      </w:divsChild>
    </w:div>
    <w:div w:id="1205827201">
      <w:bodyDiv w:val="1"/>
      <w:marLeft w:val="0"/>
      <w:marRight w:val="0"/>
      <w:marTop w:val="0"/>
      <w:marBottom w:val="0"/>
      <w:divBdr>
        <w:top w:val="none" w:sz="0" w:space="0" w:color="auto"/>
        <w:left w:val="none" w:sz="0" w:space="0" w:color="auto"/>
        <w:bottom w:val="none" w:sz="0" w:space="0" w:color="auto"/>
        <w:right w:val="none" w:sz="0" w:space="0" w:color="auto"/>
      </w:divBdr>
    </w:div>
    <w:div w:id="1359700790">
      <w:bodyDiv w:val="1"/>
      <w:marLeft w:val="0"/>
      <w:marRight w:val="0"/>
      <w:marTop w:val="0"/>
      <w:marBottom w:val="0"/>
      <w:divBdr>
        <w:top w:val="none" w:sz="0" w:space="0" w:color="auto"/>
        <w:left w:val="none" w:sz="0" w:space="0" w:color="auto"/>
        <w:bottom w:val="none" w:sz="0" w:space="0" w:color="auto"/>
        <w:right w:val="none" w:sz="0" w:space="0" w:color="auto"/>
      </w:divBdr>
    </w:div>
    <w:div w:id="1428961519">
      <w:bodyDiv w:val="1"/>
      <w:marLeft w:val="0"/>
      <w:marRight w:val="0"/>
      <w:marTop w:val="0"/>
      <w:marBottom w:val="0"/>
      <w:divBdr>
        <w:top w:val="none" w:sz="0" w:space="0" w:color="auto"/>
        <w:left w:val="none" w:sz="0" w:space="0" w:color="auto"/>
        <w:bottom w:val="none" w:sz="0" w:space="0" w:color="auto"/>
        <w:right w:val="none" w:sz="0" w:space="0" w:color="auto"/>
      </w:divBdr>
    </w:div>
    <w:div w:id="1495681830">
      <w:bodyDiv w:val="1"/>
      <w:marLeft w:val="0"/>
      <w:marRight w:val="0"/>
      <w:marTop w:val="0"/>
      <w:marBottom w:val="0"/>
      <w:divBdr>
        <w:top w:val="none" w:sz="0" w:space="0" w:color="auto"/>
        <w:left w:val="none" w:sz="0" w:space="0" w:color="auto"/>
        <w:bottom w:val="none" w:sz="0" w:space="0" w:color="auto"/>
        <w:right w:val="none" w:sz="0" w:space="0" w:color="auto"/>
      </w:divBdr>
    </w:div>
    <w:div w:id="1521772796">
      <w:bodyDiv w:val="1"/>
      <w:marLeft w:val="0"/>
      <w:marRight w:val="0"/>
      <w:marTop w:val="0"/>
      <w:marBottom w:val="0"/>
      <w:divBdr>
        <w:top w:val="none" w:sz="0" w:space="0" w:color="auto"/>
        <w:left w:val="none" w:sz="0" w:space="0" w:color="auto"/>
        <w:bottom w:val="none" w:sz="0" w:space="0" w:color="auto"/>
        <w:right w:val="none" w:sz="0" w:space="0" w:color="auto"/>
      </w:divBdr>
    </w:div>
    <w:div w:id="1531411929">
      <w:bodyDiv w:val="1"/>
      <w:marLeft w:val="0"/>
      <w:marRight w:val="0"/>
      <w:marTop w:val="0"/>
      <w:marBottom w:val="0"/>
      <w:divBdr>
        <w:top w:val="none" w:sz="0" w:space="0" w:color="auto"/>
        <w:left w:val="none" w:sz="0" w:space="0" w:color="auto"/>
        <w:bottom w:val="none" w:sz="0" w:space="0" w:color="auto"/>
        <w:right w:val="none" w:sz="0" w:space="0" w:color="auto"/>
      </w:divBdr>
    </w:div>
    <w:div w:id="1552114387">
      <w:bodyDiv w:val="1"/>
      <w:marLeft w:val="0"/>
      <w:marRight w:val="0"/>
      <w:marTop w:val="0"/>
      <w:marBottom w:val="0"/>
      <w:divBdr>
        <w:top w:val="none" w:sz="0" w:space="0" w:color="auto"/>
        <w:left w:val="none" w:sz="0" w:space="0" w:color="auto"/>
        <w:bottom w:val="none" w:sz="0" w:space="0" w:color="auto"/>
        <w:right w:val="none" w:sz="0" w:space="0" w:color="auto"/>
      </w:divBdr>
    </w:div>
    <w:div w:id="1572498968">
      <w:bodyDiv w:val="1"/>
      <w:marLeft w:val="0"/>
      <w:marRight w:val="0"/>
      <w:marTop w:val="0"/>
      <w:marBottom w:val="0"/>
      <w:divBdr>
        <w:top w:val="none" w:sz="0" w:space="0" w:color="auto"/>
        <w:left w:val="none" w:sz="0" w:space="0" w:color="auto"/>
        <w:bottom w:val="none" w:sz="0" w:space="0" w:color="auto"/>
        <w:right w:val="none" w:sz="0" w:space="0" w:color="auto"/>
      </w:divBdr>
    </w:div>
    <w:div w:id="1630428382">
      <w:bodyDiv w:val="1"/>
      <w:marLeft w:val="0"/>
      <w:marRight w:val="0"/>
      <w:marTop w:val="0"/>
      <w:marBottom w:val="0"/>
      <w:divBdr>
        <w:top w:val="none" w:sz="0" w:space="0" w:color="auto"/>
        <w:left w:val="none" w:sz="0" w:space="0" w:color="auto"/>
        <w:bottom w:val="none" w:sz="0" w:space="0" w:color="auto"/>
        <w:right w:val="none" w:sz="0" w:space="0" w:color="auto"/>
      </w:divBdr>
    </w:div>
    <w:div w:id="1651210029">
      <w:bodyDiv w:val="1"/>
      <w:marLeft w:val="0"/>
      <w:marRight w:val="0"/>
      <w:marTop w:val="0"/>
      <w:marBottom w:val="0"/>
      <w:divBdr>
        <w:top w:val="none" w:sz="0" w:space="0" w:color="auto"/>
        <w:left w:val="none" w:sz="0" w:space="0" w:color="auto"/>
        <w:bottom w:val="none" w:sz="0" w:space="0" w:color="auto"/>
        <w:right w:val="none" w:sz="0" w:space="0" w:color="auto"/>
      </w:divBdr>
    </w:div>
    <w:div w:id="1678926506">
      <w:bodyDiv w:val="1"/>
      <w:marLeft w:val="0"/>
      <w:marRight w:val="0"/>
      <w:marTop w:val="0"/>
      <w:marBottom w:val="0"/>
      <w:divBdr>
        <w:top w:val="none" w:sz="0" w:space="0" w:color="auto"/>
        <w:left w:val="none" w:sz="0" w:space="0" w:color="auto"/>
        <w:bottom w:val="none" w:sz="0" w:space="0" w:color="auto"/>
        <w:right w:val="none" w:sz="0" w:space="0" w:color="auto"/>
      </w:divBdr>
    </w:div>
    <w:div w:id="1683193540">
      <w:bodyDiv w:val="1"/>
      <w:marLeft w:val="0"/>
      <w:marRight w:val="0"/>
      <w:marTop w:val="0"/>
      <w:marBottom w:val="0"/>
      <w:divBdr>
        <w:top w:val="none" w:sz="0" w:space="0" w:color="auto"/>
        <w:left w:val="none" w:sz="0" w:space="0" w:color="auto"/>
        <w:bottom w:val="none" w:sz="0" w:space="0" w:color="auto"/>
        <w:right w:val="none" w:sz="0" w:space="0" w:color="auto"/>
      </w:divBdr>
    </w:div>
    <w:div w:id="1686856633">
      <w:bodyDiv w:val="1"/>
      <w:marLeft w:val="0"/>
      <w:marRight w:val="0"/>
      <w:marTop w:val="0"/>
      <w:marBottom w:val="0"/>
      <w:divBdr>
        <w:top w:val="none" w:sz="0" w:space="0" w:color="auto"/>
        <w:left w:val="none" w:sz="0" w:space="0" w:color="auto"/>
        <w:bottom w:val="none" w:sz="0" w:space="0" w:color="auto"/>
        <w:right w:val="none" w:sz="0" w:space="0" w:color="auto"/>
      </w:divBdr>
    </w:div>
    <w:div w:id="1699235447">
      <w:bodyDiv w:val="1"/>
      <w:marLeft w:val="0"/>
      <w:marRight w:val="0"/>
      <w:marTop w:val="0"/>
      <w:marBottom w:val="0"/>
      <w:divBdr>
        <w:top w:val="none" w:sz="0" w:space="0" w:color="auto"/>
        <w:left w:val="none" w:sz="0" w:space="0" w:color="auto"/>
        <w:bottom w:val="none" w:sz="0" w:space="0" w:color="auto"/>
        <w:right w:val="none" w:sz="0" w:space="0" w:color="auto"/>
      </w:divBdr>
    </w:div>
    <w:div w:id="1731147118">
      <w:bodyDiv w:val="1"/>
      <w:marLeft w:val="0"/>
      <w:marRight w:val="0"/>
      <w:marTop w:val="0"/>
      <w:marBottom w:val="0"/>
      <w:divBdr>
        <w:top w:val="none" w:sz="0" w:space="0" w:color="auto"/>
        <w:left w:val="none" w:sz="0" w:space="0" w:color="auto"/>
        <w:bottom w:val="none" w:sz="0" w:space="0" w:color="auto"/>
        <w:right w:val="none" w:sz="0" w:space="0" w:color="auto"/>
      </w:divBdr>
    </w:div>
    <w:div w:id="1754274753">
      <w:bodyDiv w:val="1"/>
      <w:marLeft w:val="0"/>
      <w:marRight w:val="0"/>
      <w:marTop w:val="0"/>
      <w:marBottom w:val="0"/>
      <w:divBdr>
        <w:top w:val="none" w:sz="0" w:space="0" w:color="auto"/>
        <w:left w:val="none" w:sz="0" w:space="0" w:color="auto"/>
        <w:bottom w:val="none" w:sz="0" w:space="0" w:color="auto"/>
        <w:right w:val="none" w:sz="0" w:space="0" w:color="auto"/>
      </w:divBdr>
    </w:div>
    <w:div w:id="1800302202">
      <w:bodyDiv w:val="1"/>
      <w:marLeft w:val="0"/>
      <w:marRight w:val="0"/>
      <w:marTop w:val="0"/>
      <w:marBottom w:val="0"/>
      <w:divBdr>
        <w:top w:val="none" w:sz="0" w:space="0" w:color="auto"/>
        <w:left w:val="none" w:sz="0" w:space="0" w:color="auto"/>
        <w:bottom w:val="none" w:sz="0" w:space="0" w:color="auto"/>
        <w:right w:val="none" w:sz="0" w:space="0" w:color="auto"/>
      </w:divBdr>
    </w:div>
    <w:div w:id="1811942260">
      <w:bodyDiv w:val="1"/>
      <w:marLeft w:val="0"/>
      <w:marRight w:val="0"/>
      <w:marTop w:val="0"/>
      <w:marBottom w:val="0"/>
      <w:divBdr>
        <w:top w:val="none" w:sz="0" w:space="0" w:color="auto"/>
        <w:left w:val="none" w:sz="0" w:space="0" w:color="auto"/>
        <w:bottom w:val="none" w:sz="0" w:space="0" w:color="auto"/>
        <w:right w:val="none" w:sz="0" w:space="0" w:color="auto"/>
      </w:divBdr>
    </w:div>
    <w:div w:id="1851410181">
      <w:bodyDiv w:val="1"/>
      <w:marLeft w:val="0"/>
      <w:marRight w:val="0"/>
      <w:marTop w:val="0"/>
      <w:marBottom w:val="0"/>
      <w:divBdr>
        <w:top w:val="none" w:sz="0" w:space="0" w:color="auto"/>
        <w:left w:val="none" w:sz="0" w:space="0" w:color="auto"/>
        <w:bottom w:val="none" w:sz="0" w:space="0" w:color="auto"/>
        <w:right w:val="none" w:sz="0" w:space="0" w:color="auto"/>
      </w:divBdr>
      <w:divsChild>
        <w:div w:id="49111316">
          <w:marLeft w:val="0"/>
          <w:marRight w:val="0"/>
          <w:marTop w:val="0"/>
          <w:marBottom w:val="0"/>
          <w:divBdr>
            <w:top w:val="none" w:sz="0" w:space="0" w:color="auto"/>
            <w:left w:val="none" w:sz="0" w:space="0" w:color="auto"/>
            <w:bottom w:val="none" w:sz="0" w:space="0" w:color="auto"/>
            <w:right w:val="none" w:sz="0" w:space="0" w:color="auto"/>
          </w:divBdr>
        </w:div>
        <w:div w:id="1621379584">
          <w:marLeft w:val="0"/>
          <w:marRight w:val="0"/>
          <w:marTop w:val="0"/>
          <w:marBottom w:val="0"/>
          <w:divBdr>
            <w:top w:val="none" w:sz="0" w:space="0" w:color="auto"/>
            <w:left w:val="none" w:sz="0" w:space="0" w:color="auto"/>
            <w:bottom w:val="none" w:sz="0" w:space="0" w:color="auto"/>
            <w:right w:val="none" w:sz="0" w:space="0" w:color="auto"/>
          </w:divBdr>
        </w:div>
        <w:div w:id="163395598">
          <w:marLeft w:val="0"/>
          <w:marRight w:val="0"/>
          <w:marTop w:val="0"/>
          <w:marBottom w:val="0"/>
          <w:divBdr>
            <w:top w:val="none" w:sz="0" w:space="0" w:color="auto"/>
            <w:left w:val="none" w:sz="0" w:space="0" w:color="auto"/>
            <w:bottom w:val="none" w:sz="0" w:space="0" w:color="auto"/>
            <w:right w:val="none" w:sz="0" w:space="0" w:color="auto"/>
          </w:divBdr>
        </w:div>
        <w:div w:id="2006516218">
          <w:marLeft w:val="0"/>
          <w:marRight w:val="0"/>
          <w:marTop w:val="0"/>
          <w:marBottom w:val="0"/>
          <w:divBdr>
            <w:top w:val="none" w:sz="0" w:space="0" w:color="auto"/>
            <w:left w:val="none" w:sz="0" w:space="0" w:color="auto"/>
            <w:bottom w:val="none" w:sz="0" w:space="0" w:color="auto"/>
            <w:right w:val="none" w:sz="0" w:space="0" w:color="auto"/>
          </w:divBdr>
        </w:div>
        <w:div w:id="1838383096">
          <w:marLeft w:val="0"/>
          <w:marRight w:val="0"/>
          <w:marTop w:val="0"/>
          <w:marBottom w:val="0"/>
          <w:divBdr>
            <w:top w:val="none" w:sz="0" w:space="0" w:color="auto"/>
            <w:left w:val="none" w:sz="0" w:space="0" w:color="auto"/>
            <w:bottom w:val="none" w:sz="0" w:space="0" w:color="auto"/>
            <w:right w:val="none" w:sz="0" w:space="0" w:color="auto"/>
          </w:divBdr>
        </w:div>
        <w:div w:id="1786272862">
          <w:marLeft w:val="0"/>
          <w:marRight w:val="0"/>
          <w:marTop w:val="0"/>
          <w:marBottom w:val="0"/>
          <w:divBdr>
            <w:top w:val="none" w:sz="0" w:space="0" w:color="auto"/>
            <w:left w:val="none" w:sz="0" w:space="0" w:color="auto"/>
            <w:bottom w:val="none" w:sz="0" w:space="0" w:color="auto"/>
            <w:right w:val="none" w:sz="0" w:space="0" w:color="auto"/>
          </w:divBdr>
        </w:div>
        <w:div w:id="714502558">
          <w:marLeft w:val="0"/>
          <w:marRight w:val="0"/>
          <w:marTop w:val="0"/>
          <w:marBottom w:val="0"/>
          <w:divBdr>
            <w:top w:val="none" w:sz="0" w:space="0" w:color="auto"/>
            <w:left w:val="none" w:sz="0" w:space="0" w:color="auto"/>
            <w:bottom w:val="none" w:sz="0" w:space="0" w:color="auto"/>
            <w:right w:val="none" w:sz="0" w:space="0" w:color="auto"/>
          </w:divBdr>
        </w:div>
        <w:div w:id="1645157347">
          <w:marLeft w:val="0"/>
          <w:marRight w:val="0"/>
          <w:marTop w:val="0"/>
          <w:marBottom w:val="0"/>
          <w:divBdr>
            <w:top w:val="none" w:sz="0" w:space="0" w:color="auto"/>
            <w:left w:val="none" w:sz="0" w:space="0" w:color="auto"/>
            <w:bottom w:val="none" w:sz="0" w:space="0" w:color="auto"/>
            <w:right w:val="none" w:sz="0" w:space="0" w:color="auto"/>
          </w:divBdr>
        </w:div>
        <w:div w:id="1824195243">
          <w:marLeft w:val="0"/>
          <w:marRight w:val="0"/>
          <w:marTop w:val="0"/>
          <w:marBottom w:val="0"/>
          <w:divBdr>
            <w:top w:val="none" w:sz="0" w:space="0" w:color="auto"/>
            <w:left w:val="none" w:sz="0" w:space="0" w:color="auto"/>
            <w:bottom w:val="none" w:sz="0" w:space="0" w:color="auto"/>
            <w:right w:val="none" w:sz="0" w:space="0" w:color="auto"/>
          </w:divBdr>
        </w:div>
      </w:divsChild>
    </w:div>
    <w:div w:id="1907835526">
      <w:bodyDiv w:val="1"/>
      <w:marLeft w:val="0"/>
      <w:marRight w:val="0"/>
      <w:marTop w:val="0"/>
      <w:marBottom w:val="0"/>
      <w:divBdr>
        <w:top w:val="none" w:sz="0" w:space="0" w:color="auto"/>
        <w:left w:val="none" w:sz="0" w:space="0" w:color="auto"/>
        <w:bottom w:val="none" w:sz="0" w:space="0" w:color="auto"/>
        <w:right w:val="none" w:sz="0" w:space="0" w:color="auto"/>
      </w:divBdr>
    </w:div>
    <w:div w:id="1997028644">
      <w:bodyDiv w:val="1"/>
      <w:marLeft w:val="0"/>
      <w:marRight w:val="0"/>
      <w:marTop w:val="0"/>
      <w:marBottom w:val="0"/>
      <w:divBdr>
        <w:top w:val="none" w:sz="0" w:space="0" w:color="auto"/>
        <w:left w:val="none" w:sz="0" w:space="0" w:color="auto"/>
        <w:bottom w:val="none" w:sz="0" w:space="0" w:color="auto"/>
        <w:right w:val="none" w:sz="0" w:space="0" w:color="auto"/>
      </w:divBdr>
    </w:div>
    <w:div w:id="2029478031">
      <w:bodyDiv w:val="1"/>
      <w:marLeft w:val="0"/>
      <w:marRight w:val="0"/>
      <w:marTop w:val="0"/>
      <w:marBottom w:val="0"/>
      <w:divBdr>
        <w:top w:val="none" w:sz="0" w:space="0" w:color="auto"/>
        <w:left w:val="none" w:sz="0" w:space="0" w:color="auto"/>
        <w:bottom w:val="none" w:sz="0" w:space="0" w:color="auto"/>
        <w:right w:val="none" w:sz="0" w:space="0" w:color="auto"/>
      </w:divBdr>
    </w:div>
    <w:div w:id="2032484608">
      <w:bodyDiv w:val="1"/>
      <w:marLeft w:val="0"/>
      <w:marRight w:val="0"/>
      <w:marTop w:val="0"/>
      <w:marBottom w:val="0"/>
      <w:divBdr>
        <w:top w:val="none" w:sz="0" w:space="0" w:color="auto"/>
        <w:left w:val="none" w:sz="0" w:space="0" w:color="auto"/>
        <w:bottom w:val="none" w:sz="0" w:space="0" w:color="auto"/>
        <w:right w:val="none" w:sz="0" w:space="0" w:color="auto"/>
      </w:divBdr>
      <w:divsChild>
        <w:div w:id="702554368">
          <w:marLeft w:val="0"/>
          <w:marRight w:val="0"/>
          <w:marTop w:val="0"/>
          <w:marBottom w:val="0"/>
          <w:divBdr>
            <w:top w:val="none" w:sz="0" w:space="0" w:color="auto"/>
            <w:left w:val="none" w:sz="0" w:space="0" w:color="auto"/>
            <w:bottom w:val="none" w:sz="0" w:space="0" w:color="auto"/>
            <w:right w:val="none" w:sz="0" w:space="0" w:color="auto"/>
          </w:divBdr>
        </w:div>
        <w:div w:id="415522519">
          <w:marLeft w:val="0"/>
          <w:marRight w:val="0"/>
          <w:marTop w:val="0"/>
          <w:marBottom w:val="0"/>
          <w:divBdr>
            <w:top w:val="none" w:sz="0" w:space="0" w:color="auto"/>
            <w:left w:val="none" w:sz="0" w:space="0" w:color="auto"/>
            <w:bottom w:val="none" w:sz="0" w:space="0" w:color="auto"/>
            <w:right w:val="none" w:sz="0" w:space="0" w:color="auto"/>
          </w:divBdr>
        </w:div>
      </w:divsChild>
    </w:div>
    <w:div w:id="2047944148">
      <w:bodyDiv w:val="1"/>
      <w:marLeft w:val="0"/>
      <w:marRight w:val="0"/>
      <w:marTop w:val="0"/>
      <w:marBottom w:val="0"/>
      <w:divBdr>
        <w:top w:val="none" w:sz="0" w:space="0" w:color="auto"/>
        <w:left w:val="none" w:sz="0" w:space="0" w:color="auto"/>
        <w:bottom w:val="none" w:sz="0" w:space="0" w:color="auto"/>
        <w:right w:val="none" w:sz="0" w:space="0" w:color="auto"/>
      </w:divBdr>
    </w:div>
    <w:div w:id="211185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piccart@borde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AEBA1-27F2-4EBD-BA42-B69D0BB8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20</Pages>
  <Words>35741</Words>
  <Characters>203725</Characters>
  <Application>Microsoft Office Word</Application>
  <DocSecurity>0</DocSecurity>
  <Lines>1697</Lines>
  <Paragraphs>477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Institut Jules Bordet</Company>
  <LinksUpToDate>false</LinksUpToDate>
  <CharactersWithSpaces>238989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Rotsaert Catherine</dc:creator>
  <cp:keywords/>
  <dc:description/>
  <cp:lastModifiedBy>Hilbers Florentine</cp:lastModifiedBy>
  <cp:revision>17</cp:revision>
  <cp:lastPrinted>2019-12-03T12:02:00Z</cp:lastPrinted>
  <dcterms:created xsi:type="dcterms:W3CDTF">2020-08-04T20:49:00Z</dcterms:created>
  <dcterms:modified xsi:type="dcterms:W3CDTF">2020-08-10T10:56:00Z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Citation Style_1">
    <vt:lpwstr>http://www.zotero.org/styles/american-medical-association</vt:lpwstr>
  </property>
  <property fmtid="{D5CDD505-2E9C-101B-9397-08002B2CF9AE}" pid="24" name="Mendeley Unique User Id_1">
    <vt:lpwstr>5af7aee4-cc73-3778-ba4c-d4e386cae7b8</vt:lpwstr>
  </property>
</Properties>
</file>